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44650B" w14:textId="2BC6F6B1" w:rsidR="00C97D36" w:rsidRPr="00476C6F" w:rsidRDefault="00C97D36" w:rsidP="007D475C">
      <w:pPr>
        <w:spacing w:after="0" w:line="240" w:lineRule="auto"/>
        <w:ind w:firstLine="284"/>
        <w:jc w:val="center"/>
        <w:rPr>
          <w:rFonts w:ascii="Garamond" w:hAnsi="Garamond"/>
          <w:sz w:val="24"/>
          <w:szCs w:val="24"/>
          <w:lang w:val="sq-AL"/>
        </w:rPr>
      </w:pPr>
      <w:r w:rsidRPr="00476C6F">
        <w:rPr>
          <w:rFonts w:ascii="Garamond" w:hAnsi="Garamond"/>
          <w:sz w:val="24"/>
          <w:szCs w:val="24"/>
          <w:lang w:val="sq-AL"/>
        </w:rPr>
        <w:t>GJYKATA E</w:t>
      </w:r>
      <w:r w:rsidR="006A54D1" w:rsidRPr="00476C6F">
        <w:rPr>
          <w:rFonts w:ascii="Garamond" w:hAnsi="Garamond"/>
          <w:sz w:val="24"/>
          <w:szCs w:val="24"/>
          <w:lang w:val="sq-AL"/>
        </w:rPr>
        <w:t>V</w:t>
      </w:r>
      <w:r w:rsidRPr="00476C6F">
        <w:rPr>
          <w:rFonts w:ascii="Garamond" w:hAnsi="Garamond"/>
          <w:sz w:val="24"/>
          <w:szCs w:val="24"/>
          <w:lang w:val="sq-AL"/>
        </w:rPr>
        <w:t>ROPIANE E TË DREJTAVE TË NJERIUT</w:t>
      </w:r>
    </w:p>
    <w:p w14:paraId="5DE52F43" w14:textId="77777777" w:rsidR="00C97D36" w:rsidRPr="00476C6F" w:rsidRDefault="00C97D36" w:rsidP="007D475C">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476C6F">
        <w:rPr>
          <w:rFonts w:ascii="Garamond" w:hAnsi="Garamond" w:cs="Times New Roman"/>
          <w:color w:val="000000"/>
          <w:sz w:val="24"/>
          <w:szCs w:val="24"/>
          <w:lang w:val="sq-AL"/>
        </w:rPr>
        <w:t>SEKSIONI I TRETË</w:t>
      </w:r>
    </w:p>
    <w:p w14:paraId="770DF4CF" w14:textId="4F3E3873" w:rsidR="00B03E89" w:rsidRPr="00476C6F" w:rsidRDefault="00B03E89" w:rsidP="007D475C">
      <w:pPr>
        <w:spacing w:after="0" w:line="240" w:lineRule="auto"/>
        <w:ind w:firstLine="284"/>
        <w:jc w:val="center"/>
        <w:rPr>
          <w:rFonts w:ascii="Garamond" w:hAnsi="Garamond"/>
          <w:b/>
          <w:sz w:val="24"/>
          <w:szCs w:val="24"/>
          <w:lang w:val="sq-AL"/>
        </w:rPr>
      </w:pPr>
    </w:p>
    <w:p w14:paraId="34E021DF" w14:textId="77777777" w:rsidR="007D475C" w:rsidRPr="00476C6F" w:rsidRDefault="007D475C" w:rsidP="007D475C">
      <w:pPr>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476C6F">
        <w:rPr>
          <w:rFonts w:ascii="Garamond" w:hAnsi="Garamond" w:cs="Times New Roman"/>
          <w:b/>
          <w:color w:val="000000"/>
          <w:sz w:val="24"/>
          <w:szCs w:val="24"/>
          <w:lang w:val="sq-AL"/>
        </w:rPr>
        <w:t>VENDIM</w:t>
      </w:r>
    </w:p>
    <w:p w14:paraId="15803F02" w14:textId="244ADFBD" w:rsidR="007D475C" w:rsidRPr="00476C6F" w:rsidRDefault="007D475C" w:rsidP="007D475C">
      <w:pPr>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476C6F">
        <w:rPr>
          <w:rFonts w:ascii="Garamond" w:hAnsi="Garamond" w:cs="Times New Roman"/>
          <w:b/>
          <w:color w:val="000000"/>
          <w:sz w:val="24"/>
          <w:szCs w:val="24"/>
          <w:lang w:val="sq-AL"/>
        </w:rPr>
        <w:t>Kërkesa nr. 12756/22</w:t>
      </w:r>
    </w:p>
    <w:p w14:paraId="6D587B31" w14:textId="0D88B2A3" w:rsidR="007D475C" w:rsidRPr="00476C6F" w:rsidRDefault="007D475C" w:rsidP="007D475C">
      <w:pPr>
        <w:autoSpaceDE w:val="0"/>
        <w:autoSpaceDN w:val="0"/>
        <w:adjustRightInd w:val="0"/>
        <w:spacing w:after="0" w:line="240" w:lineRule="auto"/>
        <w:ind w:firstLine="284"/>
        <w:jc w:val="center"/>
        <w:rPr>
          <w:rFonts w:ascii="Garamond" w:hAnsi="Garamond" w:cs="Times New Roman"/>
          <w:b/>
          <w:i/>
          <w:iCs/>
          <w:color w:val="000000"/>
          <w:sz w:val="24"/>
          <w:szCs w:val="24"/>
          <w:lang w:val="sq-AL"/>
        </w:rPr>
      </w:pPr>
      <w:r w:rsidRPr="00476C6F">
        <w:rPr>
          <w:rFonts w:ascii="Garamond" w:hAnsi="Garamond" w:cs="Times New Roman"/>
          <w:b/>
          <w:color w:val="000000"/>
          <w:sz w:val="24"/>
          <w:szCs w:val="24"/>
          <w:lang w:val="sq-AL"/>
        </w:rPr>
        <w:t>Agron LAMAJ</w:t>
      </w:r>
      <w:r w:rsidR="006A54D1" w:rsidRPr="00476C6F">
        <w:rPr>
          <w:rFonts w:ascii="Garamond" w:hAnsi="Garamond" w:cs="Times New Roman"/>
          <w:b/>
          <w:color w:val="000000"/>
          <w:sz w:val="24"/>
          <w:szCs w:val="24"/>
          <w:lang w:val="sq-AL"/>
        </w:rPr>
        <w:t xml:space="preserve"> </w:t>
      </w:r>
      <w:r w:rsidRPr="00476C6F">
        <w:rPr>
          <w:rFonts w:ascii="Garamond" w:hAnsi="Garamond" w:cs="Times New Roman"/>
          <w:b/>
          <w:color w:val="000000"/>
          <w:sz w:val="24"/>
          <w:szCs w:val="24"/>
          <w:lang w:val="sq-AL"/>
        </w:rPr>
        <w:t>kundër Shqipërisë</w:t>
      </w:r>
    </w:p>
    <w:p w14:paraId="767AED3A" w14:textId="77777777" w:rsidR="007D475C" w:rsidRPr="00476C6F" w:rsidRDefault="007D475C" w:rsidP="007D475C">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p>
    <w:p w14:paraId="64EBAF99" w14:textId="19EEA55C" w:rsidR="007D475C" w:rsidRPr="00476C6F" w:rsidRDefault="007D475C" w:rsidP="007D475C">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476C6F">
        <w:rPr>
          <w:rFonts w:ascii="Garamond" w:eastAsia="MS Mincho" w:hAnsi="Garamond" w:cs="MS Mincho"/>
          <w:color w:val="000000"/>
          <w:sz w:val="24"/>
          <w:szCs w:val="24"/>
          <w:lang w:val="sq-AL"/>
        </w:rPr>
        <w:t>Gjykata E</w:t>
      </w:r>
      <w:r w:rsidR="006A54D1" w:rsidRPr="00476C6F">
        <w:rPr>
          <w:rFonts w:ascii="Garamond" w:eastAsia="MS Mincho" w:hAnsi="Garamond" w:cs="MS Mincho"/>
          <w:color w:val="000000"/>
          <w:sz w:val="24"/>
          <w:szCs w:val="24"/>
          <w:lang w:val="sq-AL"/>
        </w:rPr>
        <w:t>v</w:t>
      </w:r>
      <w:r w:rsidRPr="00476C6F">
        <w:rPr>
          <w:rFonts w:ascii="Garamond" w:eastAsia="MS Mincho" w:hAnsi="Garamond" w:cs="MS Mincho"/>
          <w:color w:val="000000"/>
          <w:sz w:val="24"/>
          <w:szCs w:val="24"/>
          <w:lang w:val="sq-AL"/>
        </w:rPr>
        <w:t>ropiane e të Drejtave të Njeriut (Seksioni i Tretë), e mbledhur më 20 maj 2025, si Komitet i përbërë nga:</w:t>
      </w:r>
    </w:p>
    <w:p w14:paraId="40BC5F37" w14:textId="3D5CFC5D" w:rsidR="007D475C" w:rsidRPr="00476C6F" w:rsidRDefault="007D475C" w:rsidP="007D475C">
      <w:pPr>
        <w:tabs>
          <w:tab w:val="left" w:pos="280"/>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76C6F">
        <w:rPr>
          <w:rFonts w:ascii="Garamond" w:hAnsi="Garamond" w:cs="Times New Roman"/>
          <w:color w:val="000000"/>
          <w:sz w:val="24"/>
          <w:szCs w:val="24"/>
          <w:lang w:val="sq-AL"/>
        </w:rPr>
        <w:t>Úna Ní Raifeartaigh</w:t>
      </w:r>
      <w:r w:rsidRPr="00476C6F">
        <w:rPr>
          <w:rFonts w:ascii="Garamond" w:hAnsi="Garamond" w:cs="Times New Roman"/>
          <w:i/>
          <w:iCs/>
          <w:color w:val="000000"/>
          <w:sz w:val="24"/>
          <w:szCs w:val="24"/>
          <w:lang w:val="sq-AL"/>
        </w:rPr>
        <w:t>, President</w:t>
      </w:r>
      <w:r w:rsidRPr="00476C6F">
        <w:rPr>
          <w:rFonts w:ascii="Garamond" w:hAnsi="Garamond" w:cs="Times New Roman"/>
          <w:color w:val="000000"/>
          <w:sz w:val="24"/>
          <w:szCs w:val="24"/>
          <w:lang w:val="sq-AL"/>
        </w:rPr>
        <w:t>,</w:t>
      </w:r>
    </w:p>
    <w:p w14:paraId="159DAAA2" w14:textId="334A516E" w:rsidR="007D475C" w:rsidRPr="00476C6F" w:rsidRDefault="007D475C" w:rsidP="007D475C">
      <w:pPr>
        <w:tabs>
          <w:tab w:val="left" w:pos="280"/>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76C6F">
        <w:rPr>
          <w:rFonts w:ascii="Garamond" w:hAnsi="Garamond" w:cs="Times New Roman"/>
          <w:color w:val="000000"/>
          <w:sz w:val="24"/>
          <w:szCs w:val="24"/>
          <w:lang w:val="sq-AL"/>
        </w:rPr>
        <w:t>Darian Pavli,</w:t>
      </w:r>
    </w:p>
    <w:p w14:paraId="5CA7C0AC" w14:textId="4522B40A" w:rsidR="007D475C" w:rsidRPr="00476C6F" w:rsidRDefault="007D475C" w:rsidP="007D475C">
      <w:pPr>
        <w:tabs>
          <w:tab w:val="left" w:pos="280"/>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76C6F">
        <w:rPr>
          <w:rFonts w:ascii="Garamond" w:hAnsi="Garamond" w:cs="Times New Roman"/>
          <w:color w:val="000000"/>
          <w:sz w:val="24"/>
          <w:szCs w:val="24"/>
          <w:lang w:val="sq-AL"/>
        </w:rPr>
        <w:t>Mateja Đurović</w:t>
      </w:r>
      <w:r w:rsidRPr="00476C6F">
        <w:rPr>
          <w:rFonts w:ascii="Garamond" w:hAnsi="Garamond" w:cs="Times New Roman"/>
          <w:i/>
          <w:iCs/>
          <w:color w:val="000000"/>
          <w:sz w:val="24"/>
          <w:szCs w:val="24"/>
          <w:lang w:val="sq-AL"/>
        </w:rPr>
        <w:t>, gjyqtarë</w:t>
      </w:r>
      <w:r w:rsidRPr="00476C6F">
        <w:rPr>
          <w:rFonts w:ascii="Garamond" w:hAnsi="Garamond" w:cs="Times New Roman"/>
          <w:color w:val="000000"/>
          <w:sz w:val="24"/>
          <w:szCs w:val="24"/>
          <w:lang w:val="sq-AL"/>
        </w:rPr>
        <w:t>,</w:t>
      </w:r>
    </w:p>
    <w:p w14:paraId="2A976CB0" w14:textId="42F68B49" w:rsidR="007D475C" w:rsidRPr="00476C6F" w:rsidRDefault="007D475C" w:rsidP="007D475C">
      <w:pPr>
        <w:tabs>
          <w:tab w:val="left" w:pos="280"/>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76C6F">
        <w:rPr>
          <w:rFonts w:ascii="Garamond" w:hAnsi="Garamond" w:cs="Times New Roman"/>
          <w:color w:val="000000"/>
          <w:sz w:val="24"/>
          <w:szCs w:val="24"/>
          <w:lang w:val="sq-AL"/>
        </w:rPr>
        <w:t xml:space="preserve">dhe Olga Chernishova, </w:t>
      </w:r>
      <w:r w:rsidR="006A54D1" w:rsidRPr="00476C6F">
        <w:rPr>
          <w:rFonts w:ascii="Garamond" w:hAnsi="Garamond" w:cs="Times New Roman"/>
          <w:i/>
          <w:iCs/>
          <w:color w:val="000000"/>
          <w:sz w:val="24"/>
          <w:szCs w:val="24"/>
          <w:lang w:val="sq-AL"/>
        </w:rPr>
        <w:t xml:space="preserve">zëvendëskancelar </w:t>
      </w:r>
      <w:r w:rsidRPr="00476C6F">
        <w:rPr>
          <w:rFonts w:ascii="Garamond" w:hAnsi="Garamond" w:cs="Times New Roman"/>
          <w:i/>
          <w:iCs/>
          <w:color w:val="000000"/>
          <w:sz w:val="24"/>
          <w:szCs w:val="24"/>
          <w:lang w:val="sq-AL"/>
        </w:rPr>
        <w:t>i Seksionit,</w:t>
      </w:r>
    </w:p>
    <w:p w14:paraId="0E316C7D" w14:textId="77777777" w:rsidR="007D475C" w:rsidRPr="00476C6F" w:rsidRDefault="007D475C" w:rsidP="007D475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76C6F">
        <w:rPr>
          <w:rFonts w:ascii="Garamond" w:hAnsi="Garamond" w:cs="Times New Roman"/>
          <w:color w:val="000000"/>
          <w:sz w:val="24"/>
          <w:szCs w:val="24"/>
          <w:lang w:val="sq-AL"/>
        </w:rPr>
        <w:t>Duke pasur parasysh:</w:t>
      </w:r>
    </w:p>
    <w:p w14:paraId="191BB501" w14:textId="07CA7489" w:rsidR="007D475C" w:rsidRPr="00476C6F" w:rsidRDefault="007D475C" w:rsidP="007D475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76C6F">
        <w:rPr>
          <w:rFonts w:ascii="Garamond" w:hAnsi="Garamond" w:cs="Times New Roman"/>
          <w:color w:val="000000"/>
          <w:sz w:val="24"/>
          <w:szCs w:val="24"/>
          <w:lang w:val="sq-AL"/>
        </w:rPr>
        <w:t>kërkesën (nr. 12756/22) kundër Republikës së Shqipërisë të depozituar në Gjykatë sipas nenit 34 të Konventës për Mbrojtjen e të Drejtave dhe Lirive Themelore të Njeriut (“Konventa”)</w:t>
      </w:r>
      <w:r w:rsidR="00405484">
        <w:rPr>
          <w:rFonts w:ascii="Garamond" w:hAnsi="Garamond" w:cs="Times New Roman"/>
          <w:color w:val="000000"/>
          <w:sz w:val="24"/>
          <w:szCs w:val="24"/>
          <w:lang w:val="sq-AL"/>
        </w:rPr>
        <w:t>,</w:t>
      </w:r>
      <w:r w:rsidRPr="00476C6F">
        <w:rPr>
          <w:rFonts w:ascii="Garamond" w:hAnsi="Garamond" w:cs="Times New Roman"/>
          <w:color w:val="000000"/>
          <w:sz w:val="24"/>
          <w:szCs w:val="24"/>
          <w:lang w:val="sq-AL"/>
        </w:rPr>
        <w:t xml:space="preserve"> më 24 shkurt 2022</w:t>
      </w:r>
      <w:r w:rsidR="00405484">
        <w:rPr>
          <w:rFonts w:ascii="Garamond" w:hAnsi="Garamond" w:cs="Times New Roman"/>
          <w:color w:val="000000"/>
          <w:sz w:val="24"/>
          <w:szCs w:val="24"/>
          <w:lang w:val="sq-AL"/>
        </w:rPr>
        <w:t>,</w:t>
      </w:r>
      <w:r w:rsidRPr="00476C6F">
        <w:rPr>
          <w:rFonts w:ascii="Garamond" w:hAnsi="Garamond" w:cs="Times New Roman"/>
          <w:color w:val="000000"/>
          <w:sz w:val="24"/>
          <w:szCs w:val="24"/>
          <w:lang w:val="sq-AL"/>
        </w:rPr>
        <w:t xml:space="preserve"> nga shtetasi shqiptar </w:t>
      </w:r>
      <w:r w:rsidR="00A52C5B">
        <w:rPr>
          <w:rFonts w:ascii="Garamond" w:hAnsi="Garamond" w:cs="Times New Roman"/>
          <w:color w:val="000000"/>
          <w:sz w:val="24"/>
          <w:szCs w:val="24"/>
          <w:lang w:val="sq-AL"/>
        </w:rPr>
        <w:t>z</w:t>
      </w:r>
      <w:r w:rsidRPr="00476C6F">
        <w:rPr>
          <w:rFonts w:ascii="Garamond" w:hAnsi="Garamond" w:cs="Times New Roman"/>
          <w:color w:val="000000"/>
          <w:sz w:val="24"/>
          <w:szCs w:val="24"/>
          <w:lang w:val="sq-AL"/>
        </w:rPr>
        <w:t>. Agron Lamaj (“kërkuesi”), i lindur në vitin 1954 dhe me banim në Tiranë;</w:t>
      </w:r>
    </w:p>
    <w:p w14:paraId="56FBA6AD" w14:textId="3F40BE4A" w:rsidR="007D475C" w:rsidRPr="00476C6F" w:rsidRDefault="007D475C" w:rsidP="007D475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76C6F">
        <w:rPr>
          <w:rFonts w:ascii="Garamond" w:hAnsi="Garamond" w:cs="Times New Roman"/>
          <w:color w:val="000000"/>
          <w:sz w:val="24"/>
          <w:szCs w:val="24"/>
          <w:lang w:val="sq-AL"/>
        </w:rPr>
        <w:t>vendimin për të njoftuar Qeverinë e Shqipërisë (“Qeveria”)</w:t>
      </w:r>
      <w:r w:rsidR="008977C4">
        <w:rPr>
          <w:rFonts w:ascii="Garamond" w:hAnsi="Garamond" w:cs="Times New Roman"/>
          <w:color w:val="000000"/>
          <w:sz w:val="24"/>
          <w:szCs w:val="24"/>
          <w:lang w:val="sq-AL"/>
        </w:rPr>
        <w:t>,</w:t>
      </w:r>
      <w:r w:rsidRPr="00476C6F">
        <w:rPr>
          <w:rFonts w:ascii="Garamond" w:hAnsi="Garamond" w:cs="Times New Roman"/>
          <w:color w:val="000000"/>
          <w:sz w:val="24"/>
          <w:szCs w:val="24"/>
          <w:lang w:val="sq-AL"/>
        </w:rPr>
        <w:t xml:space="preserve"> të përfaqësuar nga agjenti z. O.</w:t>
      </w:r>
      <w:r w:rsidR="00476C6F">
        <w:rPr>
          <w:rFonts w:ascii="Garamond" w:hAnsi="Garamond" w:cs="Times New Roman"/>
          <w:color w:val="000000"/>
          <w:sz w:val="24"/>
          <w:szCs w:val="24"/>
          <w:lang w:val="sq-AL"/>
        </w:rPr>
        <w:t xml:space="preserve"> </w:t>
      </w:r>
      <w:r w:rsidRPr="00476C6F">
        <w:rPr>
          <w:rFonts w:ascii="Garamond" w:hAnsi="Garamond" w:cs="Times New Roman"/>
          <w:color w:val="000000"/>
          <w:sz w:val="24"/>
          <w:szCs w:val="24"/>
          <w:lang w:val="sq-AL"/>
        </w:rPr>
        <w:t xml:space="preserve">Moçka, </w:t>
      </w:r>
      <w:r w:rsidR="00433202" w:rsidRPr="00476C6F">
        <w:rPr>
          <w:rFonts w:ascii="Garamond" w:hAnsi="Garamond" w:cs="Times New Roman"/>
          <w:color w:val="000000"/>
          <w:sz w:val="24"/>
          <w:szCs w:val="24"/>
          <w:lang w:val="sq-AL"/>
        </w:rPr>
        <w:t>avokat i përgjithshëm i shtetit</w:t>
      </w:r>
      <w:r w:rsidRPr="00476C6F">
        <w:rPr>
          <w:rFonts w:ascii="Garamond" w:hAnsi="Garamond" w:cs="Times New Roman"/>
          <w:color w:val="000000"/>
          <w:sz w:val="24"/>
          <w:szCs w:val="24"/>
          <w:lang w:val="sq-AL"/>
        </w:rPr>
        <w:t xml:space="preserve">, për ankimet në lidhje me pretendimin e mungesës së paanshmërisë </w:t>
      </w:r>
      <w:r w:rsidR="00405484">
        <w:rPr>
          <w:rFonts w:ascii="Garamond" w:hAnsi="Garamond" w:cs="Times New Roman"/>
          <w:color w:val="000000"/>
          <w:sz w:val="24"/>
          <w:szCs w:val="24"/>
          <w:lang w:val="sq-AL"/>
        </w:rPr>
        <w:t>s</w:t>
      </w:r>
      <w:r w:rsidRPr="00476C6F">
        <w:rPr>
          <w:rFonts w:ascii="Garamond" w:hAnsi="Garamond" w:cs="Times New Roman"/>
          <w:color w:val="000000"/>
          <w:sz w:val="24"/>
          <w:szCs w:val="24"/>
          <w:lang w:val="sq-AL"/>
        </w:rPr>
        <w:t>ë Gjykatës së Lartë dhe mungesës së aksesit në Gjykatën Kushtetuese sipas paragrafit 1 të nenit 6 të Konventës dhe për të shpallur të papranueshme pjesën tjetër të kërkesës;</w:t>
      </w:r>
    </w:p>
    <w:p w14:paraId="0F362759" w14:textId="77777777" w:rsidR="007D475C" w:rsidRPr="00476C6F" w:rsidRDefault="007D475C" w:rsidP="007D475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76C6F">
        <w:rPr>
          <w:rFonts w:ascii="Garamond" w:hAnsi="Garamond" w:cs="Times New Roman"/>
          <w:color w:val="000000"/>
          <w:sz w:val="24"/>
          <w:szCs w:val="24"/>
          <w:lang w:val="sq-AL"/>
        </w:rPr>
        <w:t>parashtrimet e palëve;</w:t>
      </w:r>
    </w:p>
    <w:p w14:paraId="2B903569" w14:textId="77777777" w:rsidR="007D475C" w:rsidRPr="00476C6F" w:rsidRDefault="007D475C" w:rsidP="007D475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76C6F">
        <w:rPr>
          <w:rFonts w:ascii="Garamond" w:hAnsi="Garamond" w:cs="Times New Roman"/>
          <w:color w:val="000000"/>
          <w:sz w:val="24"/>
          <w:szCs w:val="24"/>
          <w:lang w:val="sq-AL"/>
        </w:rPr>
        <w:t>Pas diskutimit, vendosi si më poshtë:</w:t>
      </w:r>
    </w:p>
    <w:p w14:paraId="565DB9D6" w14:textId="77777777" w:rsidR="007D475C" w:rsidRPr="00476C6F" w:rsidRDefault="007D475C" w:rsidP="007D475C">
      <w:pPr>
        <w:tabs>
          <w:tab w:val="left" w:pos="360"/>
        </w:tabs>
        <w:autoSpaceDE w:val="0"/>
        <w:autoSpaceDN w:val="0"/>
        <w:adjustRightInd w:val="0"/>
        <w:spacing w:after="0" w:line="240" w:lineRule="auto"/>
        <w:ind w:firstLine="284"/>
        <w:jc w:val="both"/>
        <w:rPr>
          <w:rFonts w:ascii="Garamond" w:hAnsi="Garamond" w:cs="Times New Roman"/>
          <w:caps/>
          <w:color w:val="000000"/>
          <w:sz w:val="24"/>
          <w:szCs w:val="24"/>
          <w:lang w:val="sq-AL"/>
        </w:rPr>
      </w:pPr>
      <w:r w:rsidRPr="00476C6F">
        <w:rPr>
          <w:rFonts w:ascii="Garamond" w:hAnsi="Garamond" w:cs="Times New Roman"/>
          <w:caps/>
          <w:color w:val="000000"/>
          <w:sz w:val="24"/>
          <w:szCs w:val="24"/>
          <w:lang w:val="sq-AL"/>
        </w:rPr>
        <w:t>OBJEKTI I ÇËSHTJES</w:t>
      </w:r>
    </w:p>
    <w:p w14:paraId="64AF2586" w14:textId="0F1A0F75" w:rsidR="007D475C" w:rsidRPr="00476C6F" w:rsidRDefault="007D475C" w:rsidP="007D475C">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76C6F">
        <w:rPr>
          <w:rFonts w:ascii="Garamond" w:hAnsi="Garamond" w:cs="Times New Roman"/>
          <w:color w:val="000000"/>
          <w:sz w:val="24"/>
          <w:szCs w:val="24"/>
          <w:lang w:val="sq-AL"/>
        </w:rPr>
        <w:t>1. Çështja ka të bëjë me një gjobë vendosur ndaj kërkuesit, avokat, për abuzimin me të drejtën e ankimit në Gjykatën e Lartë. Më së shumti kërkuesi u ankua sipas paragrafit 1 të nenit të Konventës se trupi gjykues i Gjykatës së Lartë që dëgjoi ankimin e tij për gjobën nuk ishte i paanshëm dhe se Gjykata Kushtetuese kishte shkelur të drejtën e tij për t’</w:t>
      </w:r>
      <w:r w:rsidR="00B820CA">
        <w:rPr>
          <w:rFonts w:ascii="Garamond" w:hAnsi="Garamond" w:cs="Times New Roman"/>
          <w:color w:val="000000"/>
          <w:sz w:val="24"/>
          <w:szCs w:val="24"/>
          <w:lang w:val="sq-AL"/>
        </w:rPr>
        <w:t>i</w:t>
      </w:r>
      <w:r w:rsidRPr="00476C6F">
        <w:rPr>
          <w:rFonts w:ascii="Garamond" w:hAnsi="Garamond" w:cs="Times New Roman"/>
          <w:color w:val="000000"/>
          <w:sz w:val="24"/>
          <w:szCs w:val="24"/>
          <w:lang w:val="sq-AL"/>
        </w:rPr>
        <w:t>u drejtuar gjykatës.</w:t>
      </w:r>
    </w:p>
    <w:p w14:paraId="2E3F7D44" w14:textId="1920FC57" w:rsidR="007D475C" w:rsidRPr="00476C6F" w:rsidRDefault="007D475C" w:rsidP="007D475C">
      <w:pPr>
        <w:tabs>
          <w:tab w:val="left" w:pos="360"/>
        </w:tabs>
        <w:autoSpaceDE w:val="0"/>
        <w:autoSpaceDN w:val="0"/>
        <w:adjustRightInd w:val="0"/>
        <w:spacing w:after="0" w:line="240" w:lineRule="auto"/>
        <w:ind w:firstLine="284"/>
        <w:jc w:val="both"/>
        <w:rPr>
          <w:rFonts w:ascii="Garamond" w:eastAsia="MS Mincho" w:hAnsi="Garamond" w:cs="MS Mincho"/>
          <w:caps/>
          <w:color w:val="000000"/>
          <w:sz w:val="24"/>
          <w:szCs w:val="24"/>
          <w:lang w:val="sq-AL"/>
        </w:rPr>
      </w:pPr>
      <w:r w:rsidRPr="00476C6F">
        <w:rPr>
          <w:rFonts w:ascii="Garamond" w:eastAsia="MS Mincho" w:hAnsi="Garamond" w:cs="MS Mincho"/>
          <w:caps/>
          <w:color w:val="000000"/>
          <w:sz w:val="24"/>
          <w:szCs w:val="24"/>
          <w:lang w:val="sq-AL"/>
        </w:rPr>
        <w:t>Fakte dhe procedura</w:t>
      </w:r>
    </w:p>
    <w:p w14:paraId="54B56FA5" w14:textId="0BBD3E78" w:rsidR="007D475C" w:rsidRPr="00476C6F" w:rsidRDefault="007D475C" w:rsidP="007D475C">
      <w:pPr>
        <w:tabs>
          <w:tab w:val="left" w:pos="36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476C6F">
        <w:rPr>
          <w:rFonts w:ascii="Garamond" w:hAnsi="Garamond" w:cs="Times New Roman"/>
          <w:b/>
          <w:bCs/>
          <w:color w:val="000000"/>
          <w:sz w:val="24"/>
          <w:szCs w:val="24"/>
          <w:lang w:val="sq-AL"/>
        </w:rPr>
        <w:t>A. Sfondi</w:t>
      </w:r>
    </w:p>
    <w:p w14:paraId="4F88F3E4" w14:textId="77777777" w:rsidR="007D475C" w:rsidRPr="00476C6F" w:rsidRDefault="007D475C" w:rsidP="007D475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76C6F">
        <w:rPr>
          <w:rFonts w:ascii="Garamond" w:hAnsi="Garamond" w:cs="Times New Roman"/>
          <w:color w:val="000000"/>
          <w:sz w:val="24"/>
          <w:szCs w:val="24"/>
          <w:lang w:val="sq-AL"/>
        </w:rPr>
        <w:t>2. Në nëntor 2020, kërkuesi përfaqësoi një klient i cili ishte i përfshirë në dy procese paralele që ishin në pritje para gjykatave të ndryshme dhe që lidheshin, përkatësisht, me çështje trashëgimie dhe pronësie të një pasurie.</w:t>
      </w:r>
    </w:p>
    <w:p w14:paraId="540161B2" w14:textId="77777777" w:rsidR="007D475C" w:rsidRPr="00476C6F" w:rsidRDefault="007D475C" w:rsidP="007D475C">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476C6F">
        <w:rPr>
          <w:rFonts w:ascii="Garamond" w:eastAsia="MS Mincho" w:hAnsi="Garamond" w:cs="MS Mincho"/>
          <w:color w:val="000000"/>
          <w:sz w:val="24"/>
          <w:szCs w:val="24"/>
          <w:lang w:val="sq-AL"/>
        </w:rPr>
        <w:t>3. Mosmarrëveshja mbi të drejtat e trashëgimisë së klientit ishte në proces para Gjykatës së Lartë që nga viti 2015.</w:t>
      </w:r>
    </w:p>
    <w:p w14:paraId="540DCAC5" w14:textId="77777777" w:rsidR="007D475C" w:rsidRPr="00476C6F" w:rsidRDefault="007D475C" w:rsidP="007D475C">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476C6F">
        <w:rPr>
          <w:rFonts w:ascii="Garamond" w:eastAsia="MS Mincho" w:hAnsi="Garamond" w:cs="MS Mincho"/>
          <w:color w:val="000000"/>
          <w:sz w:val="24"/>
          <w:szCs w:val="24"/>
          <w:lang w:val="sq-AL"/>
        </w:rPr>
        <w:t>4. Ndërkohë, në vitin 2019, klienti kishte ngritur një padi për njohjen e të drejtës së tij të pronësisë mbi një truall toke. Kjo padi ishte në proces para Gjykatës së Rrethit të Pogradecit.</w:t>
      </w:r>
    </w:p>
    <w:p w14:paraId="3028D0FE" w14:textId="365C44C0" w:rsidR="007D475C" w:rsidRPr="00476C6F" w:rsidRDefault="007D475C" w:rsidP="007D475C">
      <w:pPr>
        <w:tabs>
          <w:tab w:val="left" w:pos="36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476C6F">
        <w:rPr>
          <w:rFonts w:ascii="Garamond" w:hAnsi="Garamond" w:cs="Times New Roman"/>
          <w:b/>
          <w:bCs/>
          <w:color w:val="000000"/>
          <w:sz w:val="24"/>
          <w:szCs w:val="24"/>
          <w:lang w:val="sq-AL"/>
        </w:rPr>
        <w:t>B. Gjykata e Lartë</w:t>
      </w:r>
    </w:p>
    <w:p w14:paraId="28E6698E" w14:textId="77777777" w:rsidR="007D475C" w:rsidRPr="00476C6F" w:rsidRDefault="007D475C" w:rsidP="007D475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76C6F">
        <w:rPr>
          <w:rFonts w:ascii="Garamond" w:hAnsi="Garamond" w:cs="Times New Roman"/>
          <w:color w:val="000000"/>
          <w:sz w:val="24"/>
          <w:szCs w:val="24"/>
          <w:lang w:val="sq-AL"/>
        </w:rPr>
        <w:t>5. Më 20 nëntor 2020, kërkuesi i paraqiti Gjykatës së Lartë një kërkesë në emër të klientit të tij që, deri në zgjidhjen e mosmarrëveshjes së trashëgimisë që ishte në proces para kësaj gjykate, të pezullohej shqyrtimi i mosmarrëveshjes së pronësisë që ishte në proces para Gjykatës së Rrethit të Pogradecit.</w:t>
      </w:r>
    </w:p>
    <w:p w14:paraId="2A6C38CA" w14:textId="2FA9D7B8" w:rsidR="007D475C" w:rsidRPr="00476C6F" w:rsidRDefault="007D475C" w:rsidP="007D475C">
      <w:pPr>
        <w:tabs>
          <w:tab w:val="left" w:pos="36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476C6F">
        <w:rPr>
          <w:rFonts w:ascii="Garamond" w:hAnsi="Garamond" w:cs="Times New Roman"/>
          <w:i/>
          <w:iCs/>
          <w:color w:val="000000"/>
          <w:sz w:val="24"/>
          <w:szCs w:val="24"/>
          <w:lang w:val="sq-AL"/>
        </w:rPr>
        <w:t>1. Vendimi i ndërmjetëm për të gjobitur kërkuesin</w:t>
      </w:r>
    </w:p>
    <w:p w14:paraId="14CB6CCF" w14:textId="57AA76F8" w:rsidR="007D475C" w:rsidRPr="00476C6F" w:rsidRDefault="007D475C" w:rsidP="007D475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76C6F">
        <w:rPr>
          <w:rFonts w:ascii="Garamond" w:hAnsi="Garamond" w:cs="Times New Roman"/>
          <w:color w:val="000000"/>
          <w:sz w:val="24"/>
          <w:szCs w:val="24"/>
          <w:lang w:val="sq-AL"/>
        </w:rPr>
        <w:t>6. Më 8 janar 2021, Gjykata e Lartë e mbledhur me trup gjykues me gjyqtarë E.</w:t>
      </w:r>
      <w:r w:rsidR="008977C4">
        <w:rPr>
          <w:rFonts w:ascii="Garamond" w:hAnsi="Garamond" w:cs="Times New Roman"/>
          <w:color w:val="000000"/>
          <w:sz w:val="24"/>
          <w:szCs w:val="24"/>
          <w:lang w:val="sq-AL"/>
        </w:rPr>
        <w:t xml:space="preserve"> </w:t>
      </w:r>
      <w:r w:rsidRPr="00476C6F">
        <w:rPr>
          <w:rFonts w:ascii="Garamond" w:hAnsi="Garamond" w:cs="Times New Roman"/>
          <w:color w:val="000000"/>
          <w:sz w:val="24"/>
          <w:szCs w:val="24"/>
          <w:lang w:val="sq-AL"/>
        </w:rPr>
        <w:t>P., S.</w:t>
      </w:r>
      <w:r w:rsidR="008977C4">
        <w:rPr>
          <w:rFonts w:ascii="Garamond" w:hAnsi="Garamond" w:cs="Times New Roman"/>
          <w:color w:val="000000"/>
          <w:sz w:val="24"/>
          <w:szCs w:val="24"/>
          <w:lang w:val="sq-AL"/>
        </w:rPr>
        <w:t xml:space="preserve"> </w:t>
      </w:r>
      <w:r w:rsidRPr="00476C6F">
        <w:rPr>
          <w:rFonts w:ascii="Garamond" w:hAnsi="Garamond" w:cs="Times New Roman"/>
          <w:color w:val="000000"/>
          <w:sz w:val="24"/>
          <w:szCs w:val="24"/>
          <w:lang w:val="sq-AL"/>
        </w:rPr>
        <w:t>S., dhe I.</w:t>
      </w:r>
      <w:r w:rsidR="008977C4">
        <w:rPr>
          <w:rFonts w:ascii="Garamond" w:hAnsi="Garamond" w:cs="Times New Roman"/>
          <w:color w:val="000000"/>
          <w:sz w:val="24"/>
          <w:szCs w:val="24"/>
          <w:lang w:val="sq-AL"/>
        </w:rPr>
        <w:t xml:space="preserve"> </w:t>
      </w:r>
      <w:r w:rsidRPr="00476C6F">
        <w:rPr>
          <w:rFonts w:ascii="Garamond" w:hAnsi="Garamond" w:cs="Times New Roman"/>
          <w:color w:val="000000"/>
          <w:sz w:val="24"/>
          <w:szCs w:val="24"/>
          <w:lang w:val="sq-AL"/>
        </w:rPr>
        <w:t>P. mori një vendim të ndërmjetëm me të cilin refuzoi kërkesën. Ajo gjeti që kërkesa ishte abuzive sepse kërkuesi duhej ta dinte mirë që Gjykata e Lartë nuk kishte kompetencë pezullimin e proceseve përpara një gjykate rrethi.</w:t>
      </w:r>
    </w:p>
    <w:p w14:paraId="5B1A095B" w14:textId="77777777" w:rsidR="007D475C" w:rsidRPr="00476C6F" w:rsidRDefault="007D475C" w:rsidP="007D475C">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476C6F">
        <w:rPr>
          <w:rFonts w:ascii="Garamond" w:eastAsia="MS Mincho" w:hAnsi="Garamond" w:cs="MS Mincho"/>
          <w:color w:val="000000"/>
          <w:sz w:val="24"/>
          <w:szCs w:val="24"/>
          <w:lang w:val="sq-AL"/>
        </w:rPr>
        <w:t>7. Përveç refuzimit të kërkesës, Gjykata vendosi një gjobë prej 50,000 lekësh ndaj kërkuesit (përafërsisht 400 euro në atë kohë).</w:t>
      </w:r>
    </w:p>
    <w:p w14:paraId="10E5BED4" w14:textId="77777777" w:rsidR="007D475C" w:rsidRPr="00476C6F" w:rsidRDefault="007D475C" w:rsidP="007D475C">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476C6F">
        <w:rPr>
          <w:rFonts w:ascii="Garamond" w:eastAsia="MS Mincho" w:hAnsi="Garamond" w:cs="MS Mincho"/>
          <w:color w:val="000000"/>
          <w:sz w:val="24"/>
          <w:szCs w:val="24"/>
          <w:lang w:val="sq-AL"/>
        </w:rPr>
        <w:lastRenderedPageBreak/>
        <w:t>8. Vendimi i mësipërm u bazua në nenin 34/1 § 1 të Kodit të Procedurës Civile (“KPC”), pjesa përkatëse e të cilit lexon:</w:t>
      </w:r>
    </w:p>
    <w:p w14:paraId="58D68B87" w14:textId="4F2FC29D" w:rsidR="007D475C" w:rsidRPr="00476C6F" w:rsidRDefault="00F952A0" w:rsidP="007D475C">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w:t>
      </w:r>
      <w:bookmarkStart w:id="0" w:name="_GoBack"/>
      <w:bookmarkEnd w:id="0"/>
      <w:r w:rsidR="007D475C" w:rsidRPr="00476C6F">
        <w:rPr>
          <w:rFonts w:ascii="Garamond" w:hAnsi="Garamond" w:cs="Times New Roman"/>
          <w:color w:val="000000"/>
          <w:sz w:val="24"/>
          <w:szCs w:val="24"/>
          <w:lang w:val="sq-AL"/>
        </w:rPr>
        <w:t>Gjykata, në çdo shkallë të gjykimit, kur konstaton se palët ose përfaqësuesit e tyre me vetëdije paraqesin padi, ankime, kërkesa ose pretendime abuzive, ose të përsëritura dhe me keqdashje, ose kur kërkojnë qëllimisht të zvarrisin gjykimin, ose kur konstatohet se palët ose përfaqësuesit e tyre kanë fshehur ose shtrembëruar me keqbesim ose faj të rëndë, fakte dhe rrethana të rëndësishme që lidhen me çështjen, urdhëron me vendimin që jepet në përfundim të gjykimit, përveç kur në këtë Kod parashikohet ndryshe, gjobitjen e përgjegjësit në shumën nga 50 000 deri në 100 000 lekë.”</w:t>
      </w:r>
    </w:p>
    <w:p w14:paraId="39B3A2F1" w14:textId="77777777" w:rsidR="007D475C" w:rsidRPr="00476C6F" w:rsidRDefault="007D475C" w:rsidP="007D475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76C6F">
        <w:rPr>
          <w:rFonts w:ascii="Garamond" w:hAnsi="Garamond" w:cs="Times New Roman"/>
          <w:color w:val="000000"/>
          <w:sz w:val="24"/>
          <w:szCs w:val="24"/>
          <w:lang w:val="sq-AL"/>
        </w:rPr>
        <w:t>9. Gjithashtu gjykata u shpreh që çdo ankim kundër gjobës së vendosur do të shqyrtohej nga vetë Gjykata e Lartë.</w:t>
      </w:r>
    </w:p>
    <w:p w14:paraId="3B7EDCC8" w14:textId="2EFC3864" w:rsidR="007D475C" w:rsidRPr="00476C6F" w:rsidRDefault="007D475C" w:rsidP="007D475C">
      <w:pPr>
        <w:tabs>
          <w:tab w:val="left" w:pos="36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476C6F">
        <w:rPr>
          <w:rFonts w:ascii="Garamond" w:hAnsi="Garamond" w:cs="Times New Roman"/>
          <w:i/>
          <w:iCs/>
          <w:color w:val="000000"/>
          <w:sz w:val="24"/>
          <w:szCs w:val="24"/>
          <w:lang w:val="sq-AL"/>
        </w:rPr>
        <w:t>2. Shqyrtimi</w:t>
      </w:r>
    </w:p>
    <w:p w14:paraId="0CE8A759" w14:textId="77777777" w:rsidR="007D475C" w:rsidRPr="00476C6F" w:rsidRDefault="007D475C" w:rsidP="007D475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76C6F">
        <w:rPr>
          <w:rFonts w:ascii="Garamond" w:hAnsi="Garamond" w:cs="Times New Roman"/>
          <w:color w:val="000000"/>
          <w:sz w:val="24"/>
          <w:szCs w:val="24"/>
          <w:lang w:val="sq-AL"/>
        </w:rPr>
        <w:t>10. Më 24 shkurt 2021, kërkuesi apeloi duke argumentuar se procesi për trashëgiminë para Gjykatës së Lartë kishte zgjatur shumë, gjë që i kishte detyruar palët të fillonin proces paralel për të mbrojtur interesin e tyre. Ai shtoi se gjithçka që ishte përpjekur të bënte ishte ta sillte këtë situatë në vëmendjen e gjykatës pa asnjë qëllim për të abuzuar me të drejtën e tij të ankimit.</w:t>
      </w:r>
    </w:p>
    <w:p w14:paraId="5468A7C5" w14:textId="5CA98237" w:rsidR="007D475C" w:rsidRPr="00476C6F" w:rsidRDefault="007D475C" w:rsidP="007D475C">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476C6F">
        <w:rPr>
          <w:rFonts w:ascii="Garamond" w:eastAsia="MS Mincho" w:hAnsi="Garamond" w:cs="MS Mincho"/>
          <w:color w:val="000000"/>
          <w:sz w:val="24"/>
          <w:szCs w:val="24"/>
          <w:lang w:val="sq-AL"/>
        </w:rPr>
        <w:t>11. Më 30 prill 2021, Gjykata e Lartë, e mbledhur me trup gjykues prej tre gjyqtarësh, përfshirë E. P. dhe I. P., të cilët kishin qenë gjithashtu pjesë e trupës gjykuese të 8 janarit 2021 (shihni paragrafin 6 më sipër), rrëzoi ankimin e kërkuesit kundër gjobës. Ajo gjeti që avokatëve u ishte kërkuar të ndihmonin gjykatën në trajtimin e çështjeve, jo ta mbingarkonin atë me kërkesa të paraqitura në keqbesim. Ajo shtoi që kërkuesi nuk kishte paraqitur argumente që justifikonin një ndryshim të vendimit të ndërmjetëm që vendoste gjobën.</w:t>
      </w:r>
    </w:p>
    <w:p w14:paraId="4DF91160" w14:textId="7393E47C" w:rsidR="007D475C" w:rsidRPr="00476C6F" w:rsidRDefault="007D475C" w:rsidP="007D475C">
      <w:pPr>
        <w:tabs>
          <w:tab w:val="left" w:pos="36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476C6F">
        <w:rPr>
          <w:rFonts w:ascii="Garamond" w:hAnsi="Garamond" w:cs="Times New Roman"/>
          <w:b/>
          <w:bCs/>
          <w:color w:val="000000"/>
          <w:sz w:val="24"/>
          <w:szCs w:val="24"/>
          <w:lang w:val="sq-AL"/>
        </w:rPr>
        <w:t>C. Gjykata Kushtetuese</w:t>
      </w:r>
    </w:p>
    <w:p w14:paraId="671C5D6C" w14:textId="77777777" w:rsidR="007D475C" w:rsidRPr="00476C6F" w:rsidRDefault="007D475C" w:rsidP="007D475C">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76C6F">
        <w:rPr>
          <w:rFonts w:ascii="Garamond" w:hAnsi="Garamond" w:cs="Times New Roman"/>
          <w:color w:val="000000"/>
          <w:sz w:val="24"/>
          <w:szCs w:val="24"/>
          <w:lang w:val="sq-AL"/>
        </w:rPr>
        <w:t>12. Më 16 korrik 2021, kërkuesi paraqiti një ankim kushtetues duke pretenduar zbatim të gabuar të nenit 34/1 të Kodit të Procedurës Civile. Ai shtoi se trupi gjykues i Gjykatës së Lartë i datës 30 prill 2021 nuk kishte qenë i paanshëm sipas paragrafit 1 të nenit 6 të Konventës, sepse përfshinte dy gjyqtarë të cilët më 8 janar 2021 kishin vendosur tashmë për gjobën (shihni paragrafët 6 dhe 11 më sipër).</w:t>
      </w:r>
    </w:p>
    <w:p w14:paraId="4638F85D" w14:textId="77777777" w:rsidR="007D475C" w:rsidRPr="00476C6F" w:rsidRDefault="007D475C" w:rsidP="007D475C">
      <w:pPr>
        <w:tabs>
          <w:tab w:val="left" w:pos="360"/>
        </w:tabs>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476C6F">
        <w:rPr>
          <w:rFonts w:ascii="Garamond" w:eastAsia="MS Mincho" w:hAnsi="Garamond" w:cs="MS Mincho"/>
          <w:color w:val="000000"/>
          <w:sz w:val="24"/>
          <w:szCs w:val="24"/>
          <w:lang w:val="sq-AL"/>
        </w:rPr>
        <w:t>13. Me një vendim të datës 25 tetor 2021, që iu njoftua kërkuesit më 16 nëntor 2021, Gjykata Kushtetuese e rrëzoi ankimin kushtetues me arsyetimin se mosmarrëveshja e klientit të tij ishte ende në shqyrtim para gjykatave të zakonshme dhe kështu nuk ishin shteruar mjetet juridike. Gjykata u shpreh se gjoba nuk kishte një shkallë të mjaftueshme autonomie nga proceset kryesore për të justifikuar shqyrtimin kushtetues. Ajo shtoi se kërkuesi dhe klienti i tij mund të paraqesin një ankim kushtetues pasi të kenë përfunduar proceset për themelin.</w:t>
      </w:r>
    </w:p>
    <w:p w14:paraId="129CD27E" w14:textId="77777777" w:rsidR="007D475C" w:rsidRPr="00476C6F" w:rsidRDefault="007D475C" w:rsidP="007D475C">
      <w:pPr>
        <w:tabs>
          <w:tab w:val="left" w:pos="360"/>
        </w:tabs>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476C6F">
        <w:rPr>
          <w:rFonts w:ascii="Garamond" w:eastAsia="MS Mincho" w:hAnsi="Garamond" w:cs="MS Mincho"/>
          <w:color w:val="000000"/>
          <w:sz w:val="24"/>
          <w:szCs w:val="24"/>
          <w:lang w:val="sq-AL"/>
        </w:rPr>
        <w:t>14. Tre nga shtatë gjyqtarët paraqitën një mendim pakice duke u shprehur që proceset në lidhje me gjobën e kërkuesit ishin përfundimtare dhe gjykata duhej të kishte shqyrtuar ankimet e tij. Ata u mbështetën në një precedent të 8 prillit 2021 në të cilin gjykata kishte shpallur të pranueshëm një ankim të ngjashëm.</w:t>
      </w:r>
    </w:p>
    <w:p w14:paraId="2543E2EC" w14:textId="217D52C0" w:rsidR="007D475C" w:rsidRPr="00476C6F" w:rsidRDefault="007D475C" w:rsidP="007D475C">
      <w:pPr>
        <w:tabs>
          <w:tab w:val="left" w:pos="360"/>
        </w:tabs>
        <w:autoSpaceDE w:val="0"/>
        <w:autoSpaceDN w:val="0"/>
        <w:adjustRightInd w:val="0"/>
        <w:spacing w:after="0" w:line="240" w:lineRule="auto"/>
        <w:ind w:firstLine="284"/>
        <w:jc w:val="both"/>
        <w:rPr>
          <w:rFonts w:ascii="Garamond" w:eastAsia="MS Mincho" w:hAnsi="Garamond" w:cs="MS Mincho"/>
          <w:caps/>
          <w:color w:val="000000"/>
          <w:sz w:val="24"/>
          <w:szCs w:val="24"/>
          <w:lang w:val="sq-AL"/>
        </w:rPr>
      </w:pPr>
      <w:r w:rsidRPr="00476C6F">
        <w:rPr>
          <w:rFonts w:ascii="Garamond" w:eastAsia="MS Mincho" w:hAnsi="Garamond" w:cs="MS Mincho"/>
          <w:caps/>
          <w:color w:val="000000"/>
          <w:sz w:val="24"/>
          <w:szCs w:val="24"/>
          <w:lang w:val="sq-AL"/>
        </w:rPr>
        <w:t>VLERËSIMI I GJYKATËS</w:t>
      </w:r>
    </w:p>
    <w:p w14:paraId="38654596" w14:textId="77777777" w:rsidR="007D475C" w:rsidRPr="00476C6F" w:rsidRDefault="007D475C" w:rsidP="007D475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76C6F">
        <w:rPr>
          <w:rFonts w:ascii="Garamond" w:hAnsi="Garamond" w:cs="Times New Roman"/>
          <w:color w:val="000000"/>
          <w:sz w:val="24"/>
          <w:szCs w:val="24"/>
          <w:lang w:val="sq-AL"/>
        </w:rPr>
        <w:t xml:space="preserve">15. Qeveria parashtroi, për aq sa ishte relevante, që ankimet ishin të papajtueshme </w:t>
      </w:r>
      <w:r w:rsidRPr="00476C6F">
        <w:rPr>
          <w:rFonts w:ascii="Garamond" w:hAnsi="Garamond" w:cs="Times New Roman"/>
          <w:i/>
          <w:iCs/>
          <w:color w:val="000000"/>
          <w:sz w:val="24"/>
          <w:szCs w:val="24"/>
          <w:lang w:val="sq-AL"/>
        </w:rPr>
        <w:t>ratione materiae</w:t>
      </w:r>
      <w:r w:rsidRPr="00476C6F">
        <w:rPr>
          <w:rFonts w:ascii="Garamond" w:hAnsi="Garamond" w:cs="Times New Roman"/>
          <w:color w:val="000000"/>
          <w:sz w:val="24"/>
          <w:szCs w:val="24"/>
          <w:lang w:val="sq-AL"/>
        </w:rPr>
        <w:t xml:space="preserve"> me paragrafin 1 të nenit 6 të Konventës.</w:t>
      </w:r>
    </w:p>
    <w:p w14:paraId="202B5AC5" w14:textId="3992DAB6" w:rsidR="007D475C" w:rsidRPr="00476C6F" w:rsidRDefault="007D475C" w:rsidP="007D475C">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476C6F">
        <w:rPr>
          <w:rFonts w:ascii="Garamond" w:eastAsia="MS Mincho" w:hAnsi="Garamond" w:cs="MS Mincho"/>
          <w:color w:val="000000"/>
          <w:sz w:val="24"/>
          <w:szCs w:val="24"/>
          <w:lang w:val="sq-AL"/>
        </w:rPr>
        <w:t>16. Kërkuesi nuk iu përgjigj kësaj linje argumentimi, por u ankua sipas paragrafit 1 të nenit 6 të Konventës se trupi gjykues i Gjykatës së Lartë i datës 30 prill 2021 nuk ishte i paanshëm dhe se refuzimi i Gjykatës Kushtetuese për të shqyrtuar ankimet e tij përbënte mohim të së drejtës së tij për t’</w:t>
      </w:r>
      <w:r w:rsidR="00B820CA">
        <w:rPr>
          <w:rFonts w:ascii="Garamond" w:eastAsia="MS Mincho" w:hAnsi="Garamond" w:cs="MS Mincho"/>
          <w:color w:val="000000"/>
          <w:sz w:val="24"/>
          <w:szCs w:val="24"/>
          <w:lang w:val="sq-AL"/>
        </w:rPr>
        <w:t>i</w:t>
      </w:r>
      <w:r w:rsidRPr="00476C6F">
        <w:rPr>
          <w:rFonts w:ascii="Garamond" w:eastAsia="MS Mincho" w:hAnsi="Garamond" w:cs="MS Mincho"/>
          <w:color w:val="000000"/>
          <w:sz w:val="24"/>
          <w:szCs w:val="24"/>
          <w:lang w:val="sq-AL"/>
        </w:rPr>
        <w:t>u drejtuar gjykatës.</w:t>
      </w:r>
    </w:p>
    <w:p w14:paraId="3A45F1C9" w14:textId="77777777" w:rsidR="007D475C" w:rsidRPr="00476C6F" w:rsidRDefault="007D475C" w:rsidP="007D475C">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476C6F">
        <w:rPr>
          <w:rFonts w:ascii="Garamond" w:eastAsia="MS Mincho" w:hAnsi="Garamond" w:cs="MS Mincho"/>
          <w:color w:val="000000"/>
          <w:sz w:val="24"/>
          <w:szCs w:val="24"/>
          <w:lang w:val="sq-AL"/>
        </w:rPr>
        <w:t>17. Gjykata thekson se kërkuesi nuk pretendoi para gjykatave të brendshme ose Gjykatës për zbatimin e aspektit penal të paragrafit 1 të nenit 6 për faktet në fjalë. Prandaj, mbetet të përcaktohet nëse paragrafi 1 i nenit 6 ishte i zbatueshëm sipas aspektit të tij civil.</w:t>
      </w:r>
    </w:p>
    <w:p w14:paraId="28598B08" w14:textId="789F65F3" w:rsidR="007D475C" w:rsidRPr="00476C6F" w:rsidRDefault="007D475C" w:rsidP="007D475C">
      <w:pPr>
        <w:tabs>
          <w:tab w:val="left" w:pos="36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476C6F">
        <w:rPr>
          <w:rFonts w:ascii="Garamond" w:hAnsi="Garamond" w:cs="Times New Roman"/>
          <w:i/>
          <w:iCs/>
          <w:color w:val="000000"/>
          <w:sz w:val="24"/>
          <w:szCs w:val="24"/>
          <w:lang w:val="sq-AL"/>
        </w:rPr>
        <w:t>1. Parimet e zbatueshme</w:t>
      </w:r>
    </w:p>
    <w:p w14:paraId="0E3771AC" w14:textId="77777777" w:rsidR="007D475C" w:rsidRPr="00476C6F" w:rsidRDefault="007D475C" w:rsidP="007D475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76C6F">
        <w:rPr>
          <w:rFonts w:ascii="Garamond" w:hAnsi="Garamond" w:cs="Times New Roman"/>
          <w:color w:val="000000"/>
          <w:sz w:val="24"/>
          <w:szCs w:val="24"/>
          <w:lang w:val="sq-AL"/>
        </w:rPr>
        <w:lastRenderedPageBreak/>
        <w:t xml:space="preserve">18. Parimet në lidhje me zbatueshmërinë e aspektit civil të paragrafit 1 të nenit 6 të Konventës janë përmbledhur së fundmi në çështjen </w:t>
      </w:r>
      <w:r w:rsidRPr="00476C6F">
        <w:rPr>
          <w:rFonts w:ascii="Garamond" w:hAnsi="Garamond" w:cs="Times New Roman"/>
          <w:i/>
          <w:iCs/>
          <w:color w:val="000000"/>
          <w:sz w:val="24"/>
          <w:szCs w:val="24"/>
          <w:lang w:val="sq-AL"/>
        </w:rPr>
        <w:t>Aktay kundër Turqisë</w:t>
      </w:r>
      <w:r w:rsidRPr="00476C6F">
        <w:rPr>
          <w:rFonts w:ascii="Garamond" w:hAnsi="Garamond" w:cs="Times New Roman"/>
          <w:color w:val="000000"/>
          <w:sz w:val="24"/>
          <w:szCs w:val="24"/>
          <w:lang w:val="sq-AL"/>
        </w:rPr>
        <w:t xml:space="preserve"> ((vendim), nr. 56064/16, 58000/16 dhe 15087/17, §§ 31-35, 9 shtator 2024).</w:t>
      </w:r>
    </w:p>
    <w:p w14:paraId="00109D11" w14:textId="77777777" w:rsidR="007D475C" w:rsidRPr="00476C6F" w:rsidRDefault="007D475C" w:rsidP="007D475C">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476C6F">
        <w:rPr>
          <w:rFonts w:ascii="Garamond" w:eastAsia="MS Mincho" w:hAnsi="Garamond" w:cs="MS Mincho"/>
          <w:color w:val="000000"/>
          <w:sz w:val="24"/>
          <w:szCs w:val="24"/>
          <w:lang w:val="sq-AL"/>
        </w:rPr>
        <w:t xml:space="preserve">19. Në veçanti, Gjykata thekson se rregullat që i mundësojnë një gjykate të reagojë ndaj sjelljes së parregullt në proceset para saj janë një tipar i përbashkët i sistemeve ligjore të Shteteve Kontraktuese. Këto rregulla rrjedhin nga fuqia e domosdoshme e një gjykate për të siguruar funksionimin e duhur dhe të rregullt të proceseve të veta (shihni, </w:t>
      </w:r>
      <w:r w:rsidRPr="00476C6F">
        <w:rPr>
          <w:rFonts w:ascii="Garamond" w:eastAsia="MS Mincho" w:hAnsi="Garamond" w:cs="MS Mincho"/>
          <w:i/>
          <w:iCs/>
          <w:color w:val="000000"/>
          <w:sz w:val="24"/>
          <w:szCs w:val="24"/>
          <w:lang w:val="sq-AL"/>
        </w:rPr>
        <w:t>mutatis mutandis</w:t>
      </w:r>
      <w:r w:rsidRPr="00476C6F">
        <w:rPr>
          <w:rFonts w:ascii="Garamond" w:eastAsia="MS Mincho" w:hAnsi="Garamond" w:cs="MS Mincho"/>
          <w:color w:val="000000"/>
          <w:sz w:val="24"/>
          <w:szCs w:val="24"/>
          <w:lang w:val="sq-AL"/>
        </w:rPr>
        <w:t xml:space="preserve">, </w:t>
      </w:r>
      <w:r w:rsidRPr="00476C6F">
        <w:rPr>
          <w:rFonts w:ascii="Garamond" w:eastAsia="MS Mincho" w:hAnsi="Garamond" w:cs="MS Mincho"/>
          <w:i/>
          <w:iCs/>
          <w:color w:val="000000"/>
          <w:sz w:val="24"/>
          <w:szCs w:val="24"/>
          <w:lang w:val="sq-AL"/>
        </w:rPr>
        <w:t>Gestur Jónsson dhe Ragnar Halldór Hall kundër Islandës</w:t>
      </w:r>
      <w:r w:rsidRPr="00476C6F">
        <w:rPr>
          <w:rFonts w:ascii="Garamond" w:eastAsia="MS Mincho" w:hAnsi="Garamond" w:cs="MS Mincho"/>
          <w:color w:val="000000"/>
          <w:sz w:val="24"/>
          <w:szCs w:val="24"/>
          <w:lang w:val="sq-AL"/>
        </w:rPr>
        <w:t xml:space="preserve"> [DHM], nr. 68273/14 dhe 68271/14, §§ 81 dhe 89, 22 dhjetor 2020). Si Komisioni i mëparshëm ashtu edhe Gjykata kanë shqyrtuar zbatueshmërinë e aspektit civil të nenit 6 në kontekstin e gjobave të vendosura ndaj palëve në proceset ligjore për abuzim të procesit ose përçmim të gjykatës, dhe kanë konstatuar se këto gjoba synojnë të sigurojnë administrimin e duhur të drejtësisë dhe për këtë arsye kanë karakteristikat e sanksioneve procedurale që nuk përfshijnë përcaktimin e të drejtave ose detyrimeve civile (shihni </w:t>
      </w:r>
      <w:r w:rsidRPr="00476C6F">
        <w:rPr>
          <w:rFonts w:ascii="Garamond" w:eastAsia="MS Mincho" w:hAnsi="Garamond" w:cs="MS Mincho"/>
          <w:i/>
          <w:iCs/>
          <w:color w:val="000000"/>
          <w:sz w:val="24"/>
          <w:szCs w:val="24"/>
          <w:lang w:val="sq-AL"/>
        </w:rPr>
        <w:t>Aktay</w:t>
      </w:r>
      <w:r w:rsidRPr="00476C6F">
        <w:rPr>
          <w:rFonts w:ascii="Garamond" w:eastAsia="MS Mincho" w:hAnsi="Garamond" w:cs="MS Mincho"/>
          <w:color w:val="000000"/>
          <w:sz w:val="24"/>
          <w:szCs w:val="24"/>
          <w:lang w:val="sq-AL"/>
        </w:rPr>
        <w:t xml:space="preserve">, cituar më sipër § 35, me referenca të mëtejshme). Gjykata arriti në të njëjtin përfundim në çështjen </w:t>
      </w:r>
      <w:r w:rsidRPr="00476C6F">
        <w:rPr>
          <w:rFonts w:ascii="Garamond" w:eastAsia="MS Mincho" w:hAnsi="Garamond" w:cs="MS Mincho"/>
          <w:i/>
          <w:iCs/>
          <w:color w:val="000000"/>
          <w:sz w:val="24"/>
          <w:szCs w:val="24"/>
          <w:lang w:val="sq-AL"/>
        </w:rPr>
        <w:t>Andreiescu kundër Rumanisë</w:t>
      </w:r>
      <w:r w:rsidRPr="00476C6F">
        <w:rPr>
          <w:rFonts w:ascii="Garamond" w:eastAsia="MS Mincho" w:hAnsi="Garamond" w:cs="MS Mincho"/>
          <w:color w:val="000000"/>
          <w:sz w:val="24"/>
          <w:szCs w:val="24"/>
          <w:lang w:val="sq-AL"/>
        </w:rPr>
        <w:t xml:space="preserve"> ((vendim), nr. 10656/05, §§ 6, 11 dhe 38, 9 prill 2013), e cila kishte të bënte me vendosjen e një gjobe ndaj një avokateje për mos respektim të detyrimeve procedurale në proceset gjyqësore ku ajo përfaqësonte klientët e saj.</w:t>
      </w:r>
    </w:p>
    <w:p w14:paraId="186656E4" w14:textId="0EDF56EF" w:rsidR="007D475C" w:rsidRPr="00476C6F" w:rsidRDefault="007D475C" w:rsidP="007D475C">
      <w:pPr>
        <w:tabs>
          <w:tab w:val="left" w:pos="36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476C6F">
        <w:rPr>
          <w:rFonts w:ascii="Garamond" w:hAnsi="Garamond" w:cs="Times New Roman"/>
          <w:i/>
          <w:iCs/>
          <w:color w:val="000000"/>
          <w:sz w:val="24"/>
          <w:szCs w:val="24"/>
          <w:lang w:val="sq-AL"/>
        </w:rPr>
        <w:t>2. Vlerësimi i Gjykatës</w:t>
      </w:r>
    </w:p>
    <w:p w14:paraId="292027C5" w14:textId="77777777" w:rsidR="007D475C" w:rsidRPr="00476C6F" w:rsidRDefault="007D475C" w:rsidP="007D475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76C6F">
        <w:rPr>
          <w:rFonts w:ascii="Garamond" w:hAnsi="Garamond" w:cs="Times New Roman"/>
          <w:color w:val="000000"/>
          <w:sz w:val="24"/>
          <w:szCs w:val="24"/>
          <w:lang w:val="sq-AL"/>
        </w:rPr>
        <w:t>20. Gjykata duhet të shqyrtojë nëse vendimet e Gjykatës së Lartë dhe Gjykatës Kushtetuese përfshinin përcaktimin e “të drejtave civile” të kërkuesit sipas kuptimit të paragrafit 1 të nenit 6 të Konventës. Në këtë kontekst, Gjykata thekson se nuk është roli i saj të vendosë nëse gjykatat e brendshme e kanë interpretuar dhe zbatuar saktë nenin 34/1 të KPC-së dhe dispozitat e tjera përkatëse të brendshme në proceset e kontestuara.</w:t>
      </w:r>
    </w:p>
    <w:p w14:paraId="51A287E0" w14:textId="77777777" w:rsidR="007D475C" w:rsidRPr="00476C6F" w:rsidRDefault="007D475C" w:rsidP="007D475C">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476C6F">
        <w:rPr>
          <w:rFonts w:ascii="Garamond" w:eastAsia="MS Mincho" w:hAnsi="Garamond" w:cs="MS Mincho"/>
          <w:color w:val="000000"/>
          <w:sz w:val="24"/>
          <w:szCs w:val="24"/>
          <w:lang w:val="sq-AL"/>
        </w:rPr>
        <w:t xml:space="preserve">21. Në përgjigje të kësaj pyetjeje, Qeveria paraqiti argumente të hollësishme për arsyen pse vlerësonte që neni 6 § 1 të mos zbatohej në këtë çështje. Nga ana tjetër, kërkuesi nuk paraqiti asnjë pretendim në lidhje me zbatueshmërinë e aspektit civil të paragrafit 1 të nenit 6. Ai nuk shpjegoi se cilat, nëse kishte, nga të drejtat ose detyrimet e tij “civile” ishin vendosur në procesin që kishte çuar te gjoba (krahasoni me </w:t>
      </w:r>
      <w:r w:rsidRPr="00476C6F">
        <w:rPr>
          <w:rFonts w:ascii="Garamond" w:eastAsia="MS Mincho" w:hAnsi="Garamond" w:cs="MS Mincho"/>
          <w:i/>
          <w:iCs/>
          <w:color w:val="000000"/>
          <w:sz w:val="24"/>
          <w:szCs w:val="24"/>
          <w:lang w:val="sq-AL"/>
        </w:rPr>
        <w:t>Aktay</w:t>
      </w:r>
      <w:r w:rsidRPr="00476C6F">
        <w:rPr>
          <w:rFonts w:ascii="Garamond" w:eastAsia="MS Mincho" w:hAnsi="Garamond" w:cs="MS Mincho"/>
          <w:color w:val="000000"/>
          <w:sz w:val="24"/>
          <w:szCs w:val="24"/>
          <w:lang w:val="sq-AL"/>
        </w:rPr>
        <w:t>, cituar më sipër, §§ 41-44, ku Gjykata shqyrtoi ndikimin e një gjobe në praktikën e avokatit).</w:t>
      </w:r>
    </w:p>
    <w:p w14:paraId="634385CC" w14:textId="77777777" w:rsidR="007D475C" w:rsidRPr="00476C6F" w:rsidRDefault="007D475C" w:rsidP="007D475C">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476C6F">
        <w:rPr>
          <w:rFonts w:ascii="Garamond" w:eastAsia="MS Mincho" w:hAnsi="Garamond" w:cs="MS Mincho"/>
          <w:color w:val="000000"/>
          <w:sz w:val="24"/>
          <w:szCs w:val="24"/>
          <w:lang w:val="sq-AL"/>
        </w:rPr>
        <w:t xml:space="preserve">22. Gjykata nuk e injoron faktin që vendimi i ndërmjetëm i 8 janarit 2021 e ngarkoi kërkuesin me një detyrim financiar. Megjithatë, vetëm duke treguar që një mosmarrëveshje është me natyrë “financiare” nuk është në vetvete e mjaftueshme për të tërhequr zbatueshmërinë e paragrafit 1 të nenit 6 sipas aspektit të tij “civil” (shihni </w:t>
      </w:r>
      <w:r w:rsidRPr="00476C6F">
        <w:rPr>
          <w:rFonts w:ascii="Garamond" w:eastAsia="MS Mincho" w:hAnsi="Garamond" w:cs="MS Mincho"/>
          <w:i/>
          <w:iCs/>
          <w:color w:val="000000"/>
          <w:sz w:val="24"/>
          <w:szCs w:val="24"/>
          <w:lang w:val="sq-AL"/>
        </w:rPr>
        <w:t>Aktay</w:t>
      </w:r>
      <w:r w:rsidRPr="00476C6F">
        <w:rPr>
          <w:rFonts w:ascii="Garamond" w:eastAsia="MS Mincho" w:hAnsi="Garamond" w:cs="MS Mincho"/>
          <w:color w:val="000000"/>
          <w:sz w:val="24"/>
          <w:szCs w:val="24"/>
          <w:lang w:val="sq-AL"/>
        </w:rPr>
        <w:t>, i cituar më sipër, § 45, me referenca të mëtejshme). Gjykata ka konstatuar më parë se këto gjoba synojnë të sigurojnë administrimin e duhur të drejtësisë dhe për këtë arsye kanë karakteristikat e sanksioneve procedurale që nuk përfshijnë përcaktimin e të drejtave ose detyrimeve civile</w:t>
      </w:r>
      <w:r w:rsidRPr="00476C6F">
        <w:rPr>
          <w:rFonts w:ascii="Garamond" w:eastAsia="MS Mincho" w:hAnsi="Garamond" w:cs="MS Mincho"/>
          <w:i/>
          <w:iCs/>
          <w:color w:val="000000"/>
          <w:sz w:val="24"/>
          <w:szCs w:val="24"/>
          <w:lang w:val="sq-AL"/>
        </w:rPr>
        <w:t xml:space="preserve"> </w:t>
      </w:r>
      <w:r w:rsidRPr="00476C6F">
        <w:rPr>
          <w:rFonts w:ascii="Garamond" w:eastAsia="MS Mincho" w:hAnsi="Garamond" w:cs="MS Mincho"/>
          <w:color w:val="000000"/>
          <w:sz w:val="24"/>
          <w:szCs w:val="24"/>
          <w:lang w:val="sq-AL"/>
        </w:rPr>
        <w:t>(shihni paragrafin 19 më sipër). Në këto rrethana, Gjykata vlerëson se gjoba e kontestuar, shuma e së cilës nuk pretendohet se është e tepërt, nuk është në vetvete e mjaftueshme për të vënë në lëvizje aspektin civil të nenit paragrafit 1 të 6 të Konventës.</w:t>
      </w:r>
    </w:p>
    <w:p w14:paraId="3070D2C1" w14:textId="77777777" w:rsidR="007D475C" w:rsidRPr="00476C6F" w:rsidRDefault="007D475C" w:rsidP="007D475C">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476C6F">
        <w:rPr>
          <w:rFonts w:ascii="Garamond" w:eastAsia="MS Mincho" w:hAnsi="Garamond" w:cs="MS Mincho"/>
          <w:color w:val="000000"/>
          <w:sz w:val="24"/>
          <w:szCs w:val="24"/>
          <w:lang w:val="sq-AL"/>
        </w:rPr>
        <w:t xml:space="preserve">23. Nga kjo vijon se ankimet janë të papajtueshme </w:t>
      </w:r>
      <w:r w:rsidRPr="00476C6F">
        <w:rPr>
          <w:rFonts w:ascii="Garamond" w:eastAsia="MS Mincho" w:hAnsi="Garamond" w:cs="MS Mincho"/>
          <w:i/>
          <w:iCs/>
          <w:color w:val="000000"/>
          <w:sz w:val="24"/>
          <w:szCs w:val="24"/>
          <w:lang w:val="sq-AL"/>
        </w:rPr>
        <w:t>ratione materiae</w:t>
      </w:r>
      <w:r w:rsidRPr="00476C6F">
        <w:rPr>
          <w:rFonts w:ascii="Garamond" w:eastAsia="MS Mincho" w:hAnsi="Garamond" w:cs="MS Mincho"/>
          <w:color w:val="000000"/>
          <w:sz w:val="24"/>
          <w:szCs w:val="24"/>
          <w:lang w:val="sq-AL"/>
        </w:rPr>
        <w:t xml:space="preserve"> me nenin 6 Konventës sipas kuptimit të paragrafit 3 (a) të nenit 35 dhe duhet të refuzohen në përputhje me paragrafin 4 të nenit 35 të Konventës.</w:t>
      </w:r>
    </w:p>
    <w:p w14:paraId="73520250" w14:textId="77777777" w:rsidR="007D475C" w:rsidRPr="00476C6F" w:rsidRDefault="007D475C" w:rsidP="007D475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76C6F">
        <w:rPr>
          <w:rFonts w:ascii="Garamond" w:hAnsi="Garamond" w:cs="Times New Roman"/>
          <w:color w:val="000000"/>
          <w:sz w:val="24"/>
          <w:szCs w:val="24"/>
          <w:lang w:val="sq-AL"/>
        </w:rPr>
        <w:t>Për këto arsye, Gjykata, unanimisht,</w:t>
      </w:r>
    </w:p>
    <w:p w14:paraId="2C2FACDA" w14:textId="77777777" w:rsidR="007D475C" w:rsidRPr="00476C6F" w:rsidRDefault="007D475C" w:rsidP="007D475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76C6F">
        <w:rPr>
          <w:rFonts w:ascii="Garamond" w:hAnsi="Garamond" w:cs="Times New Roman"/>
          <w:i/>
          <w:iCs/>
          <w:color w:val="000000"/>
          <w:sz w:val="24"/>
          <w:szCs w:val="24"/>
          <w:lang w:val="sq-AL"/>
        </w:rPr>
        <w:t>Shpall</w:t>
      </w:r>
      <w:r w:rsidRPr="00476C6F">
        <w:rPr>
          <w:rFonts w:ascii="Garamond" w:hAnsi="Garamond" w:cs="Times New Roman"/>
          <w:color w:val="000000"/>
          <w:sz w:val="24"/>
          <w:szCs w:val="24"/>
          <w:lang w:val="sq-AL"/>
        </w:rPr>
        <w:t xml:space="preserve"> kërkesën të papranueshme.</w:t>
      </w:r>
    </w:p>
    <w:p w14:paraId="3C06EF5A" w14:textId="77777777" w:rsidR="007D475C" w:rsidRPr="00476C6F" w:rsidRDefault="007D475C" w:rsidP="007D475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76C6F">
        <w:rPr>
          <w:rFonts w:ascii="Garamond" w:hAnsi="Garamond" w:cs="Times New Roman"/>
          <w:color w:val="000000"/>
          <w:sz w:val="24"/>
          <w:szCs w:val="24"/>
          <w:lang w:val="sq-AL"/>
        </w:rPr>
        <w:t>Bërë në gjuhën angleze dhe njoftuar me shkrim më 12 qershor 2025.</w:t>
      </w:r>
    </w:p>
    <w:p w14:paraId="3049E30C" w14:textId="2ED9277B" w:rsidR="00F5332C" w:rsidRPr="00476C6F" w:rsidRDefault="00F5332C" w:rsidP="007D475C">
      <w:pPr>
        <w:spacing w:after="0" w:line="240" w:lineRule="auto"/>
        <w:ind w:firstLine="284"/>
        <w:jc w:val="both"/>
        <w:rPr>
          <w:rFonts w:ascii="Garamond" w:hAnsi="Garamond"/>
          <w:sz w:val="24"/>
          <w:szCs w:val="24"/>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3402"/>
      </w:tblGrid>
      <w:tr w:rsidR="00ED09A5" w:rsidRPr="00476C6F" w14:paraId="53D88026" w14:textId="77777777" w:rsidTr="007D475C">
        <w:tc>
          <w:tcPr>
            <w:tcW w:w="2122" w:type="dxa"/>
          </w:tcPr>
          <w:p w14:paraId="5D2E9D6F" w14:textId="77777777" w:rsidR="00ED09A5" w:rsidRPr="00476C6F" w:rsidRDefault="00ED09A5" w:rsidP="007D475C">
            <w:pPr>
              <w:tabs>
                <w:tab w:val="center" w:pos="1400"/>
                <w:tab w:val="center" w:pos="5940"/>
              </w:tabs>
              <w:autoSpaceDE w:val="0"/>
              <w:autoSpaceDN w:val="0"/>
              <w:adjustRightInd w:val="0"/>
              <w:jc w:val="center"/>
              <w:rPr>
                <w:rFonts w:ascii="Garamond" w:hAnsi="Garamond" w:cs="Times New Roman"/>
                <w:b/>
                <w:color w:val="000000"/>
                <w:sz w:val="24"/>
                <w:szCs w:val="24"/>
                <w:lang w:val="sq-AL"/>
              </w:rPr>
            </w:pPr>
            <w:r w:rsidRPr="00476C6F">
              <w:rPr>
                <w:rFonts w:ascii="Garamond" w:hAnsi="Garamond" w:cs="Times New Roman"/>
                <w:b/>
                <w:color w:val="000000"/>
                <w:sz w:val="24"/>
                <w:szCs w:val="24"/>
                <w:lang w:val="sq-AL"/>
              </w:rPr>
              <w:t>Olga Chernishova</w:t>
            </w:r>
          </w:p>
          <w:p w14:paraId="605A8337" w14:textId="5327FBA7" w:rsidR="00ED09A5" w:rsidRPr="00476C6F" w:rsidRDefault="007D475C" w:rsidP="007D475C">
            <w:pPr>
              <w:tabs>
                <w:tab w:val="center" w:pos="1400"/>
                <w:tab w:val="center" w:pos="5940"/>
              </w:tabs>
              <w:autoSpaceDE w:val="0"/>
              <w:autoSpaceDN w:val="0"/>
              <w:adjustRightInd w:val="0"/>
              <w:jc w:val="center"/>
              <w:rPr>
                <w:rFonts w:ascii="Garamond" w:hAnsi="Garamond" w:cs="Times New Roman"/>
                <w:color w:val="FFFFFF"/>
                <w:sz w:val="24"/>
                <w:szCs w:val="24"/>
                <w:lang w:val="sq-AL"/>
              </w:rPr>
            </w:pPr>
            <w:r w:rsidRPr="00476C6F">
              <w:rPr>
                <w:rFonts w:ascii="Garamond" w:hAnsi="Garamond" w:cs="Times New Roman"/>
                <w:color w:val="000000"/>
                <w:sz w:val="24"/>
                <w:szCs w:val="24"/>
                <w:lang w:val="sq-AL"/>
              </w:rPr>
              <w:t>President</w:t>
            </w:r>
          </w:p>
        </w:tc>
        <w:tc>
          <w:tcPr>
            <w:tcW w:w="3402" w:type="dxa"/>
          </w:tcPr>
          <w:p w14:paraId="0B68B14C" w14:textId="77777777" w:rsidR="00ED09A5" w:rsidRPr="00476C6F" w:rsidRDefault="00ED09A5" w:rsidP="007D475C">
            <w:pPr>
              <w:tabs>
                <w:tab w:val="center" w:pos="1400"/>
                <w:tab w:val="center" w:pos="5940"/>
              </w:tabs>
              <w:autoSpaceDE w:val="0"/>
              <w:autoSpaceDN w:val="0"/>
              <w:adjustRightInd w:val="0"/>
              <w:jc w:val="center"/>
              <w:rPr>
                <w:rFonts w:ascii="Garamond" w:hAnsi="Garamond" w:cs="Times New Roman"/>
                <w:b/>
                <w:color w:val="000000"/>
                <w:sz w:val="24"/>
                <w:szCs w:val="24"/>
                <w:lang w:val="sq-AL"/>
              </w:rPr>
            </w:pPr>
            <w:r w:rsidRPr="00476C6F">
              <w:rPr>
                <w:rFonts w:ascii="Garamond" w:hAnsi="Garamond" w:cs="Times New Roman"/>
                <w:b/>
                <w:color w:val="000000"/>
                <w:sz w:val="24"/>
                <w:szCs w:val="24"/>
                <w:lang w:val="sq-AL"/>
              </w:rPr>
              <w:t>Úna Ní Raifeartaigh</w:t>
            </w:r>
          </w:p>
          <w:p w14:paraId="4A665BB1" w14:textId="7DC5A3E6" w:rsidR="00ED09A5" w:rsidRPr="00476C6F" w:rsidRDefault="007D475C" w:rsidP="007D475C">
            <w:pPr>
              <w:tabs>
                <w:tab w:val="center" w:pos="1400"/>
                <w:tab w:val="center" w:pos="5940"/>
              </w:tabs>
              <w:autoSpaceDE w:val="0"/>
              <w:autoSpaceDN w:val="0"/>
              <w:adjustRightInd w:val="0"/>
              <w:jc w:val="center"/>
              <w:rPr>
                <w:rFonts w:ascii="Garamond" w:hAnsi="Garamond" w:cs="Times New Roman"/>
                <w:color w:val="FFFFFF"/>
                <w:sz w:val="24"/>
                <w:szCs w:val="24"/>
                <w:lang w:val="sq-AL"/>
              </w:rPr>
            </w:pPr>
            <w:r w:rsidRPr="00476C6F">
              <w:rPr>
                <w:rFonts w:ascii="Garamond" w:hAnsi="Garamond" w:cs="Times New Roman"/>
                <w:color w:val="000000"/>
                <w:sz w:val="24"/>
                <w:szCs w:val="24"/>
                <w:lang w:val="sq-AL"/>
              </w:rPr>
              <w:t>Zëvendës</w:t>
            </w:r>
            <w:r w:rsidR="00A52C5B" w:rsidRPr="00476C6F">
              <w:rPr>
                <w:rFonts w:ascii="Garamond" w:hAnsi="Garamond" w:cs="Times New Roman"/>
                <w:color w:val="000000"/>
                <w:sz w:val="24"/>
                <w:szCs w:val="24"/>
                <w:lang w:val="sq-AL"/>
              </w:rPr>
              <w:t>kancelar</w:t>
            </w:r>
            <w:r w:rsidRPr="00476C6F">
              <w:rPr>
                <w:rFonts w:ascii="Garamond" w:hAnsi="Garamond" w:cs="Times New Roman"/>
                <w:color w:val="000000"/>
                <w:sz w:val="24"/>
                <w:szCs w:val="24"/>
                <w:lang w:val="sq-AL"/>
              </w:rPr>
              <w:t xml:space="preserve"> në detyrë</w:t>
            </w:r>
          </w:p>
        </w:tc>
      </w:tr>
    </w:tbl>
    <w:p w14:paraId="075B85F4" w14:textId="77777777" w:rsidR="00ED09A5" w:rsidRPr="00476C6F" w:rsidRDefault="00ED09A5" w:rsidP="007D475C">
      <w:pPr>
        <w:spacing w:after="0" w:line="240" w:lineRule="auto"/>
        <w:ind w:firstLine="284"/>
        <w:jc w:val="both"/>
        <w:rPr>
          <w:rFonts w:ascii="Garamond" w:hAnsi="Garamond"/>
          <w:sz w:val="24"/>
          <w:szCs w:val="24"/>
          <w:lang w:val="sq-AL"/>
        </w:rPr>
      </w:pPr>
    </w:p>
    <w:sectPr w:rsidR="00ED09A5" w:rsidRPr="00476C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91A"/>
    <w:rsid w:val="00011A19"/>
    <w:rsid w:val="0001697C"/>
    <w:rsid w:val="00071BB9"/>
    <w:rsid w:val="0007396F"/>
    <w:rsid w:val="000843A3"/>
    <w:rsid w:val="00093903"/>
    <w:rsid w:val="000A33D3"/>
    <w:rsid w:val="000C5E68"/>
    <w:rsid w:val="000F48DC"/>
    <w:rsid w:val="000F74B6"/>
    <w:rsid w:val="00126DFF"/>
    <w:rsid w:val="00131897"/>
    <w:rsid w:val="0014568A"/>
    <w:rsid w:val="001551BD"/>
    <w:rsid w:val="001567CA"/>
    <w:rsid w:val="001574C5"/>
    <w:rsid w:val="0016691A"/>
    <w:rsid w:val="001C517C"/>
    <w:rsid w:val="001D4E73"/>
    <w:rsid w:val="00204D6F"/>
    <w:rsid w:val="00206E43"/>
    <w:rsid w:val="00214D39"/>
    <w:rsid w:val="002165F3"/>
    <w:rsid w:val="00232150"/>
    <w:rsid w:val="002363A9"/>
    <w:rsid w:val="00261F38"/>
    <w:rsid w:val="00265762"/>
    <w:rsid w:val="0028358F"/>
    <w:rsid w:val="002A21F8"/>
    <w:rsid w:val="002C21B1"/>
    <w:rsid w:val="002E286B"/>
    <w:rsid w:val="002E28BA"/>
    <w:rsid w:val="00302224"/>
    <w:rsid w:val="00324421"/>
    <w:rsid w:val="0036540F"/>
    <w:rsid w:val="00365AE3"/>
    <w:rsid w:val="00386B82"/>
    <w:rsid w:val="00387FA9"/>
    <w:rsid w:val="003A1254"/>
    <w:rsid w:val="003E016F"/>
    <w:rsid w:val="003F3D67"/>
    <w:rsid w:val="0040065F"/>
    <w:rsid w:val="00405484"/>
    <w:rsid w:val="00420FCC"/>
    <w:rsid w:val="004326E6"/>
    <w:rsid w:val="00433202"/>
    <w:rsid w:val="004429C1"/>
    <w:rsid w:val="004509DF"/>
    <w:rsid w:val="00451F03"/>
    <w:rsid w:val="00476C6F"/>
    <w:rsid w:val="004943C8"/>
    <w:rsid w:val="00495544"/>
    <w:rsid w:val="00496D91"/>
    <w:rsid w:val="004A4F21"/>
    <w:rsid w:val="004C76A2"/>
    <w:rsid w:val="004D435F"/>
    <w:rsid w:val="004E0F7A"/>
    <w:rsid w:val="004F68C5"/>
    <w:rsid w:val="0050561C"/>
    <w:rsid w:val="00507D84"/>
    <w:rsid w:val="005209A4"/>
    <w:rsid w:val="00522C30"/>
    <w:rsid w:val="005330BF"/>
    <w:rsid w:val="00547352"/>
    <w:rsid w:val="0055109C"/>
    <w:rsid w:val="00553524"/>
    <w:rsid w:val="0055445D"/>
    <w:rsid w:val="005748A5"/>
    <w:rsid w:val="00591C6C"/>
    <w:rsid w:val="005B5F43"/>
    <w:rsid w:val="005C0089"/>
    <w:rsid w:val="005C18A7"/>
    <w:rsid w:val="005F421D"/>
    <w:rsid w:val="0061636A"/>
    <w:rsid w:val="00631241"/>
    <w:rsid w:val="0066067F"/>
    <w:rsid w:val="00662063"/>
    <w:rsid w:val="0067192E"/>
    <w:rsid w:val="00677538"/>
    <w:rsid w:val="00680408"/>
    <w:rsid w:val="00692570"/>
    <w:rsid w:val="006A54D1"/>
    <w:rsid w:val="007165FA"/>
    <w:rsid w:val="00724FF2"/>
    <w:rsid w:val="007436A1"/>
    <w:rsid w:val="007515F3"/>
    <w:rsid w:val="0077573A"/>
    <w:rsid w:val="00784F15"/>
    <w:rsid w:val="00790CF7"/>
    <w:rsid w:val="00797BDC"/>
    <w:rsid w:val="007A00F9"/>
    <w:rsid w:val="007A461B"/>
    <w:rsid w:val="007A657F"/>
    <w:rsid w:val="007D475C"/>
    <w:rsid w:val="007E0E9E"/>
    <w:rsid w:val="008846AE"/>
    <w:rsid w:val="008977C4"/>
    <w:rsid w:val="008C55F4"/>
    <w:rsid w:val="008C7EE7"/>
    <w:rsid w:val="008D15FD"/>
    <w:rsid w:val="008F0E16"/>
    <w:rsid w:val="009053DA"/>
    <w:rsid w:val="00917422"/>
    <w:rsid w:val="00925FDC"/>
    <w:rsid w:val="00961A75"/>
    <w:rsid w:val="0097298E"/>
    <w:rsid w:val="009822A2"/>
    <w:rsid w:val="00993B15"/>
    <w:rsid w:val="009A23B6"/>
    <w:rsid w:val="00A10771"/>
    <w:rsid w:val="00A1345F"/>
    <w:rsid w:val="00A158BD"/>
    <w:rsid w:val="00A4634C"/>
    <w:rsid w:val="00A52C5B"/>
    <w:rsid w:val="00A65246"/>
    <w:rsid w:val="00A84B62"/>
    <w:rsid w:val="00A95DBE"/>
    <w:rsid w:val="00AB7D07"/>
    <w:rsid w:val="00AC5121"/>
    <w:rsid w:val="00AD6F91"/>
    <w:rsid w:val="00AE6691"/>
    <w:rsid w:val="00B022DA"/>
    <w:rsid w:val="00B03E89"/>
    <w:rsid w:val="00B07E60"/>
    <w:rsid w:val="00B119FC"/>
    <w:rsid w:val="00B16E3C"/>
    <w:rsid w:val="00B268BE"/>
    <w:rsid w:val="00B363FA"/>
    <w:rsid w:val="00B820CA"/>
    <w:rsid w:val="00B945EB"/>
    <w:rsid w:val="00B95EFE"/>
    <w:rsid w:val="00BB50B0"/>
    <w:rsid w:val="00BB6F9D"/>
    <w:rsid w:val="00BB777A"/>
    <w:rsid w:val="00BC08AB"/>
    <w:rsid w:val="00BC4560"/>
    <w:rsid w:val="00BD00CF"/>
    <w:rsid w:val="00BF482C"/>
    <w:rsid w:val="00C0163A"/>
    <w:rsid w:val="00C12399"/>
    <w:rsid w:val="00C9462E"/>
    <w:rsid w:val="00C95924"/>
    <w:rsid w:val="00C97D36"/>
    <w:rsid w:val="00CA5391"/>
    <w:rsid w:val="00CC1BA0"/>
    <w:rsid w:val="00CC5B7C"/>
    <w:rsid w:val="00D238CA"/>
    <w:rsid w:val="00D55481"/>
    <w:rsid w:val="00D624AB"/>
    <w:rsid w:val="00D67644"/>
    <w:rsid w:val="00D8245B"/>
    <w:rsid w:val="00D83955"/>
    <w:rsid w:val="00DA35CA"/>
    <w:rsid w:val="00DA512A"/>
    <w:rsid w:val="00DB3128"/>
    <w:rsid w:val="00DB4920"/>
    <w:rsid w:val="00E11D35"/>
    <w:rsid w:val="00E13DFD"/>
    <w:rsid w:val="00E154BC"/>
    <w:rsid w:val="00E27601"/>
    <w:rsid w:val="00E3764D"/>
    <w:rsid w:val="00E53E37"/>
    <w:rsid w:val="00E6558D"/>
    <w:rsid w:val="00E7372A"/>
    <w:rsid w:val="00EA6DB4"/>
    <w:rsid w:val="00ED09A5"/>
    <w:rsid w:val="00ED2EE3"/>
    <w:rsid w:val="00EF009A"/>
    <w:rsid w:val="00EF200C"/>
    <w:rsid w:val="00EF2A0A"/>
    <w:rsid w:val="00F23FBB"/>
    <w:rsid w:val="00F45C03"/>
    <w:rsid w:val="00F5332C"/>
    <w:rsid w:val="00F63279"/>
    <w:rsid w:val="00F952A0"/>
    <w:rsid w:val="00FA2E72"/>
    <w:rsid w:val="00FB52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0DF4CF"/>
  <w15:chartTrackingRefBased/>
  <w15:docId w15:val="{3ECC625C-F684-4907-8B31-EA790FCE1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97D36"/>
  </w:style>
  <w:style w:type="paragraph" w:styleId="Heading1">
    <w:name w:val="heading 1"/>
    <w:basedOn w:val="Normal"/>
    <w:next w:val="Normal"/>
    <w:link w:val="Heading1Char"/>
    <w:uiPriority w:val="9"/>
    <w:qFormat/>
    <w:rsid w:val="007D475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7D475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7D475C"/>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D09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uQuot">
    <w:name w:val="Ju_Quot"/>
    <w:aliases w:val="_Quote"/>
    <w:basedOn w:val="Normal"/>
    <w:rsid w:val="007D475C"/>
    <w:pPr>
      <w:autoSpaceDE w:val="0"/>
      <w:autoSpaceDN w:val="0"/>
      <w:adjustRightInd w:val="0"/>
      <w:spacing w:before="120" w:after="120" w:line="240" w:lineRule="auto"/>
      <w:ind w:left="420" w:firstLine="140"/>
      <w:jc w:val="both"/>
    </w:pPr>
    <w:rPr>
      <w:rFonts w:ascii="Times New Roman" w:hAnsi="Times New Roman" w:cs="Times New Roman"/>
      <w:color w:val="000000"/>
      <w:sz w:val="20"/>
      <w:szCs w:val="20"/>
      <w:lang w:val="sq-AL"/>
    </w:rPr>
  </w:style>
  <w:style w:type="paragraph" w:customStyle="1" w:styleId="JuH1">
    <w:name w:val="Ju_H_1."/>
    <w:aliases w:val="_Head_4"/>
    <w:basedOn w:val="Heading4"/>
    <w:uiPriority w:val="99"/>
    <w:rsid w:val="007D475C"/>
    <w:pPr>
      <w:tabs>
        <w:tab w:val="left" w:pos="360"/>
      </w:tabs>
      <w:autoSpaceDE w:val="0"/>
      <w:autoSpaceDN w:val="0"/>
      <w:adjustRightInd w:val="0"/>
      <w:spacing w:before="100" w:after="120" w:line="240" w:lineRule="auto"/>
      <w:jc w:val="both"/>
      <w:outlineLvl w:val="9"/>
    </w:pPr>
    <w:rPr>
      <w:rFonts w:ascii="Times New Roman" w:eastAsiaTheme="minorHAnsi" w:hAnsi="Times New Roman" w:cs="Times New Roman"/>
      <w:color w:val="auto"/>
      <w:sz w:val="24"/>
      <w:szCs w:val="24"/>
      <w:lang w:val="sq-AL"/>
    </w:rPr>
  </w:style>
  <w:style w:type="paragraph" w:customStyle="1" w:styleId="DecList">
    <w:name w:val="Dec_List"/>
    <w:aliases w:val="_List"/>
    <w:basedOn w:val="Normal"/>
    <w:uiPriority w:val="99"/>
    <w:rsid w:val="007D475C"/>
    <w:pPr>
      <w:autoSpaceDE w:val="0"/>
      <w:autoSpaceDN w:val="0"/>
      <w:adjustRightInd w:val="0"/>
      <w:spacing w:before="280" w:after="60" w:line="240" w:lineRule="auto"/>
      <w:ind w:left="280"/>
      <w:jc w:val="both"/>
    </w:pPr>
    <w:rPr>
      <w:rFonts w:ascii="Times New Roman" w:hAnsi="Times New Roman" w:cs="Times New Roman"/>
      <w:color w:val="000000"/>
      <w:sz w:val="24"/>
      <w:szCs w:val="24"/>
      <w:lang w:val="sq-AL"/>
    </w:rPr>
  </w:style>
  <w:style w:type="paragraph" w:customStyle="1" w:styleId="JuParaLast">
    <w:name w:val="Ju_Para_Last"/>
    <w:aliases w:val="_Para_Spaced"/>
    <w:basedOn w:val="Normal"/>
    <w:uiPriority w:val="99"/>
    <w:rsid w:val="007D475C"/>
    <w:pPr>
      <w:keepNext/>
      <w:keepLines/>
      <w:autoSpaceDE w:val="0"/>
      <w:autoSpaceDN w:val="0"/>
      <w:adjustRightInd w:val="0"/>
      <w:spacing w:before="240" w:after="240" w:line="240" w:lineRule="auto"/>
      <w:ind w:firstLine="280"/>
      <w:jc w:val="both"/>
    </w:pPr>
    <w:rPr>
      <w:rFonts w:ascii="Times New Roman" w:hAnsi="Times New Roman" w:cs="Times New Roman"/>
      <w:color w:val="000000"/>
      <w:sz w:val="24"/>
      <w:szCs w:val="24"/>
      <w:lang w:val="sq-AL"/>
    </w:rPr>
  </w:style>
  <w:style w:type="paragraph" w:customStyle="1" w:styleId="JuHA">
    <w:name w:val="Ju_H_A"/>
    <w:aliases w:val="_Head_3"/>
    <w:basedOn w:val="Heading3"/>
    <w:next w:val="Normal"/>
    <w:uiPriority w:val="99"/>
    <w:rsid w:val="007D475C"/>
    <w:pPr>
      <w:tabs>
        <w:tab w:val="left" w:pos="360"/>
      </w:tabs>
      <w:autoSpaceDE w:val="0"/>
      <w:autoSpaceDN w:val="0"/>
      <w:adjustRightInd w:val="0"/>
      <w:spacing w:before="100" w:after="240" w:line="240" w:lineRule="auto"/>
      <w:jc w:val="both"/>
      <w:outlineLvl w:val="9"/>
    </w:pPr>
    <w:rPr>
      <w:rFonts w:ascii="Times New Roman" w:eastAsiaTheme="minorHAnsi" w:hAnsi="Times New Roman" w:cs="Times New Roman"/>
      <w:b/>
      <w:bCs/>
      <w:color w:val="auto"/>
      <w:lang w:val="sq-AL"/>
    </w:rPr>
  </w:style>
  <w:style w:type="paragraph" w:customStyle="1" w:styleId="JuHHead">
    <w:name w:val="Ju_H_Head"/>
    <w:aliases w:val="_Head_1"/>
    <w:basedOn w:val="Heading1"/>
    <w:next w:val="Normal"/>
    <w:uiPriority w:val="99"/>
    <w:rsid w:val="007D475C"/>
    <w:pPr>
      <w:tabs>
        <w:tab w:val="left" w:pos="360"/>
      </w:tabs>
      <w:autoSpaceDE w:val="0"/>
      <w:autoSpaceDN w:val="0"/>
      <w:adjustRightInd w:val="0"/>
      <w:spacing w:before="100" w:after="240" w:line="240" w:lineRule="auto"/>
      <w:jc w:val="both"/>
      <w:outlineLvl w:val="9"/>
    </w:pPr>
    <w:rPr>
      <w:rFonts w:ascii="Times New Roman" w:eastAsiaTheme="minorHAnsi" w:hAnsi="Times New Roman" w:cs="Times New Roman"/>
      <w:caps/>
      <w:color w:val="auto"/>
      <w:sz w:val="28"/>
      <w:szCs w:val="28"/>
      <w:lang w:val="sq-AL"/>
    </w:rPr>
  </w:style>
  <w:style w:type="paragraph" w:customStyle="1" w:styleId="JuJudges">
    <w:name w:val="Ju_Judges"/>
    <w:aliases w:val="_Judges"/>
    <w:basedOn w:val="Normal"/>
    <w:uiPriority w:val="99"/>
    <w:rsid w:val="007D475C"/>
    <w:pPr>
      <w:tabs>
        <w:tab w:val="left" w:pos="560"/>
        <w:tab w:val="left" w:pos="1120"/>
      </w:tabs>
      <w:autoSpaceDE w:val="0"/>
      <w:autoSpaceDN w:val="0"/>
      <w:adjustRightInd w:val="0"/>
      <w:spacing w:after="0" w:line="240" w:lineRule="auto"/>
    </w:pPr>
    <w:rPr>
      <w:rFonts w:ascii="Times New Roman" w:hAnsi="Times New Roman" w:cs="Times New Roman"/>
      <w:color w:val="000000"/>
      <w:sz w:val="24"/>
      <w:szCs w:val="24"/>
      <w:lang w:val="sq-AL"/>
    </w:rPr>
  </w:style>
  <w:style w:type="paragraph" w:customStyle="1" w:styleId="DecHCase">
    <w:name w:val="Dec_H_Case"/>
    <w:aliases w:val="_Title_3"/>
    <w:basedOn w:val="Normal"/>
    <w:next w:val="Normal"/>
    <w:uiPriority w:val="99"/>
    <w:rsid w:val="007D475C"/>
    <w:pPr>
      <w:keepNext/>
      <w:keepLines/>
      <w:autoSpaceDE w:val="0"/>
      <w:autoSpaceDN w:val="0"/>
      <w:adjustRightInd w:val="0"/>
      <w:spacing w:after="280" w:line="240" w:lineRule="auto"/>
      <w:ind w:firstLine="280"/>
      <w:jc w:val="center"/>
    </w:pPr>
    <w:rPr>
      <w:rFonts w:ascii="Times New Roman" w:hAnsi="Times New Roman" w:cs="Times New Roman"/>
      <w:color w:val="000000"/>
      <w:sz w:val="24"/>
      <w:szCs w:val="24"/>
      <w:lang w:val="sq-AL"/>
    </w:rPr>
  </w:style>
  <w:style w:type="paragraph" w:customStyle="1" w:styleId="DecHTitle">
    <w:name w:val="Dec_H_Title"/>
    <w:aliases w:val="_Title_1"/>
    <w:basedOn w:val="Normal"/>
    <w:next w:val="Normal"/>
    <w:uiPriority w:val="99"/>
    <w:rsid w:val="007D475C"/>
    <w:pPr>
      <w:keepNext/>
      <w:keepLines/>
      <w:autoSpaceDE w:val="0"/>
      <w:autoSpaceDN w:val="0"/>
      <w:adjustRightInd w:val="0"/>
      <w:spacing w:after="240" w:line="240" w:lineRule="auto"/>
      <w:ind w:firstLine="280"/>
      <w:jc w:val="center"/>
    </w:pPr>
    <w:rPr>
      <w:rFonts w:ascii="Times New Roman" w:hAnsi="Times New Roman" w:cs="Times New Roman"/>
      <w:color w:val="000000"/>
      <w:sz w:val="28"/>
      <w:szCs w:val="28"/>
      <w:lang w:val="sq-AL"/>
    </w:rPr>
  </w:style>
  <w:style w:type="character" w:customStyle="1" w:styleId="Heading4Char">
    <w:name w:val="Heading 4 Char"/>
    <w:basedOn w:val="DefaultParagraphFont"/>
    <w:link w:val="Heading4"/>
    <w:uiPriority w:val="9"/>
    <w:semiHidden/>
    <w:rsid w:val="007D475C"/>
    <w:rPr>
      <w:rFonts w:asciiTheme="majorHAnsi" w:eastAsiaTheme="majorEastAsia" w:hAnsiTheme="majorHAnsi" w:cstheme="majorBidi"/>
      <w:i/>
      <w:iCs/>
      <w:color w:val="2E74B5" w:themeColor="accent1" w:themeShade="BF"/>
    </w:rPr>
  </w:style>
  <w:style w:type="character" w:customStyle="1" w:styleId="Heading3Char">
    <w:name w:val="Heading 3 Char"/>
    <w:basedOn w:val="DefaultParagraphFont"/>
    <w:link w:val="Heading3"/>
    <w:uiPriority w:val="9"/>
    <w:semiHidden/>
    <w:rsid w:val="007D475C"/>
    <w:rPr>
      <w:rFonts w:asciiTheme="majorHAnsi" w:eastAsiaTheme="majorEastAsia" w:hAnsiTheme="majorHAnsi" w:cstheme="majorBidi"/>
      <w:color w:val="1F4D78" w:themeColor="accent1" w:themeShade="7F"/>
      <w:sz w:val="24"/>
      <w:szCs w:val="24"/>
    </w:rPr>
  </w:style>
  <w:style w:type="character" w:customStyle="1" w:styleId="Heading1Char">
    <w:name w:val="Heading 1 Char"/>
    <w:basedOn w:val="DefaultParagraphFont"/>
    <w:link w:val="Heading1"/>
    <w:uiPriority w:val="9"/>
    <w:rsid w:val="007D475C"/>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12756-22</Nr_x002e__x0020_akti>
    <Data_x0020_e_x0020_Krijimit xmlns="0e656187-b300-4fb0-8bf4-3a50f872073c">2025-07-18T08:30:26Z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2025-07-17T00:00:00Z</Date_x0020_protokolli>
    <Titulli xmlns="0e656187-b300-4fb0-8bf4-3a50f872073c">Çështja Agron Lamaj kundër Shqipërisë</Titulli>
    <Modifikuesi xmlns="0e656187-b300-4fb0-8bf4-3a50f872073c">jorina.kryeziu</Modifikuesi>
    <Nr_x002e__x0020_prot_x0020_QBZ xmlns="0e656187-b300-4fb0-8bf4-3a50f872073c">1191/1</Nr_x002e__x0020_prot_x0020_QBZ>
    <Data_x0020_e_x0020_Modifikimit xmlns="0e656187-b300-4fb0-8bf4-3a50f872073c">2025-07-18T11:17:52Z</Data_x0020_e_x0020_Modifikimit>
    <Dekretuar xmlns="0e656187-b300-4fb0-8bf4-3a50f872073c">false</Dekretuar>
    <Data xmlns="0e656187-b300-4fb0-8bf4-3a50f872073c">2025-06-12T00:00:00Z</Data>
    <Nr_x002e__x0020_protokolli_x0020_i_x0020_aktit xmlns="0e656187-b300-4fb0-8bf4-3a50f872073c">5816/1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9B40F7867534255B492C9AE37CECD3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59B40F7867534255B492C9AE37CECD3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2BE7D65-BD71-4C40-9B06-3F26FF03741E}">
  <ds:schemaRefs>
    <ds:schemaRef ds:uri="http://www.w3.org/XML/1998/namespace"/>
    <ds:schemaRef ds:uri="http://schemas.openxmlformats.org/package/2006/metadata/core-properties"/>
    <ds:schemaRef ds:uri="http://purl.org/dc/elements/1.1/"/>
    <ds:schemaRef ds:uri="0e656187-b300-4fb0-8bf4-3a50f872073c"/>
    <ds:schemaRef ds:uri="http://schemas.microsoft.com/office/2006/documentManagement/types"/>
    <ds:schemaRef ds:uri="http://purl.org/dc/terms/"/>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60BEE49F-F5F5-46A7-997E-65ECEBCBE7D8}">
  <ds:schemaRefs>
    <ds:schemaRef ds:uri="http://schemas.microsoft.com/sharepoint/v3/contenttype/forms"/>
  </ds:schemaRefs>
</ds:datastoreItem>
</file>

<file path=customXml/itemProps3.xml><?xml version="1.0" encoding="utf-8"?>
<ds:datastoreItem xmlns:ds="http://schemas.openxmlformats.org/officeDocument/2006/customXml" ds:itemID="{B980F042-015E-4810-8CB4-098EE9BB41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C9A37C8-96EB-4733-B1B1-3CEC1E7DD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AF32EC02-B89D-44D0-B297-7DC24EDC85A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1574</Words>
  <Characters>8978</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Çështja Agron Lamaj kundër Shqipërisë</vt:lpstr>
    </vt:vector>
  </TitlesOfParts>
  <Company/>
  <LinksUpToDate>false</LinksUpToDate>
  <CharactersWithSpaces>10531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Çështja Agron Lamaj kundër Shqipërisë</dc:title>
  <dc:creator>Entela Suli</dc:creator>
  <cp:lastModifiedBy>Valeta Kaftalli</cp:lastModifiedBy>
  <cp:revision>17</cp:revision>
  <dcterms:created xsi:type="dcterms:W3CDTF">2025-07-18T07:34:00Z</dcterms:created>
  <dcterms:modified xsi:type="dcterms:W3CDTF">2025-07-21T09:29:00Z</dcterms:modified>
</cp:coreProperties>
</file>