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04948" w14:textId="77777777" w:rsidR="00291CF2" w:rsidRPr="00291CF2" w:rsidRDefault="00291CF2" w:rsidP="00291CF2">
      <w:pPr>
        <w:spacing w:after="0" w:line="240" w:lineRule="auto"/>
        <w:ind w:firstLine="284"/>
        <w:jc w:val="center"/>
        <w:rPr>
          <w:rFonts w:ascii="Garamond" w:hAnsi="Garamond"/>
          <w:sz w:val="24"/>
          <w:szCs w:val="24"/>
        </w:rPr>
      </w:pPr>
      <w:r w:rsidRPr="00291CF2">
        <w:rPr>
          <w:rFonts w:ascii="Garamond" w:hAnsi="Garamond" w:cs="Times New Roman"/>
          <w:color w:val="000000"/>
          <w:sz w:val="24"/>
          <w:szCs w:val="24"/>
        </w:rPr>
        <w:t>GJYKATA EVROPIANE E TË DREJTAVE TË NJERIUT</w:t>
      </w:r>
    </w:p>
    <w:p w14:paraId="61281B22" w14:textId="77777777" w:rsidR="00291CF2" w:rsidRPr="00291CF2" w:rsidRDefault="00291CF2" w:rsidP="00291CF2">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291CF2">
        <w:rPr>
          <w:rFonts w:ascii="Garamond" w:hAnsi="Garamond" w:cs="Times New Roman"/>
          <w:color w:val="000000"/>
          <w:sz w:val="24"/>
          <w:szCs w:val="24"/>
        </w:rPr>
        <w:t>SEKSIONI I TRETË</w:t>
      </w:r>
    </w:p>
    <w:p w14:paraId="5AA5C83C" w14:textId="77777777" w:rsidR="00291CF2" w:rsidRDefault="00291CF2" w:rsidP="00291CF2">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p>
    <w:p w14:paraId="24FF7A51" w14:textId="77777777" w:rsidR="00291CF2" w:rsidRPr="002B3FF3" w:rsidRDefault="00291CF2" w:rsidP="00291CF2">
      <w:pPr>
        <w:tabs>
          <w:tab w:val="left" w:pos="5520"/>
        </w:tabs>
        <w:autoSpaceDE w:val="0"/>
        <w:autoSpaceDN w:val="0"/>
        <w:adjustRightInd w:val="0"/>
        <w:spacing w:after="0" w:line="240" w:lineRule="auto"/>
        <w:ind w:firstLine="284"/>
        <w:jc w:val="center"/>
        <w:rPr>
          <w:rFonts w:ascii="Garamond" w:hAnsi="Garamond" w:cs="Times New Roman"/>
          <w:bCs/>
          <w:color w:val="000000"/>
          <w:sz w:val="24"/>
          <w:szCs w:val="24"/>
        </w:rPr>
      </w:pPr>
      <w:r w:rsidRPr="002B3FF3">
        <w:rPr>
          <w:rFonts w:ascii="Garamond" w:hAnsi="Garamond" w:cs="Times New Roman"/>
          <w:color w:val="000000"/>
          <w:sz w:val="24"/>
          <w:szCs w:val="24"/>
        </w:rPr>
        <w:t>VENDIM</w:t>
      </w:r>
    </w:p>
    <w:p w14:paraId="78044B11" w14:textId="77777777" w:rsidR="00291CF2" w:rsidRPr="00291CF2" w:rsidRDefault="00291CF2" w:rsidP="00291CF2">
      <w:pPr>
        <w:autoSpaceDE w:val="0"/>
        <w:autoSpaceDN w:val="0"/>
        <w:adjustRightInd w:val="0"/>
        <w:spacing w:after="0" w:line="240" w:lineRule="auto"/>
        <w:ind w:firstLine="284"/>
        <w:jc w:val="center"/>
        <w:rPr>
          <w:rFonts w:ascii="Garamond" w:hAnsi="Garamond" w:cs="Times New Roman"/>
          <w:color w:val="000000"/>
          <w:sz w:val="24"/>
          <w:szCs w:val="24"/>
        </w:rPr>
      </w:pPr>
    </w:p>
    <w:p w14:paraId="57C0BC9E" w14:textId="77777777" w:rsidR="00291CF2" w:rsidRPr="002B3FF3" w:rsidRDefault="00291CF2" w:rsidP="00291CF2">
      <w:pPr>
        <w:autoSpaceDE w:val="0"/>
        <w:autoSpaceDN w:val="0"/>
        <w:adjustRightInd w:val="0"/>
        <w:spacing w:after="0" w:line="240" w:lineRule="auto"/>
        <w:ind w:firstLine="284"/>
        <w:jc w:val="center"/>
        <w:rPr>
          <w:rFonts w:ascii="Garamond" w:hAnsi="Garamond" w:cs="Times New Roman"/>
          <w:b/>
          <w:color w:val="000000"/>
          <w:sz w:val="24"/>
          <w:szCs w:val="24"/>
        </w:rPr>
      </w:pPr>
      <w:r w:rsidRPr="002B3FF3">
        <w:rPr>
          <w:rFonts w:ascii="Garamond" w:hAnsi="Garamond" w:cs="Times New Roman"/>
          <w:b/>
          <w:color w:val="000000"/>
          <w:sz w:val="24"/>
          <w:szCs w:val="24"/>
        </w:rPr>
        <w:t>Kërkesa nr. 51135/22</w:t>
      </w:r>
    </w:p>
    <w:p w14:paraId="26B6D9C0" w14:textId="295128B0" w:rsidR="00291CF2" w:rsidRPr="002B3FF3" w:rsidRDefault="00291CF2" w:rsidP="002B3FF3">
      <w:pPr>
        <w:autoSpaceDE w:val="0"/>
        <w:autoSpaceDN w:val="0"/>
        <w:adjustRightInd w:val="0"/>
        <w:spacing w:after="0" w:line="240" w:lineRule="auto"/>
        <w:ind w:firstLine="284"/>
        <w:jc w:val="center"/>
        <w:rPr>
          <w:rFonts w:ascii="Garamond" w:hAnsi="Garamond" w:cs="Times New Roman"/>
          <w:b/>
          <w:color w:val="000000"/>
          <w:sz w:val="24"/>
          <w:szCs w:val="24"/>
        </w:rPr>
      </w:pPr>
      <w:r w:rsidRPr="002B3FF3">
        <w:rPr>
          <w:rFonts w:ascii="Garamond" w:hAnsi="Garamond" w:cs="Times New Roman"/>
          <w:b/>
          <w:color w:val="000000"/>
          <w:sz w:val="24"/>
          <w:szCs w:val="24"/>
        </w:rPr>
        <w:t>Minerva KOTHERJA</w:t>
      </w:r>
      <w:r w:rsidR="002B3FF3" w:rsidRPr="002B3FF3">
        <w:rPr>
          <w:rFonts w:ascii="Garamond" w:hAnsi="Garamond" w:cs="Times New Roman"/>
          <w:b/>
          <w:color w:val="000000"/>
          <w:sz w:val="24"/>
          <w:szCs w:val="24"/>
        </w:rPr>
        <w:t xml:space="preserve"> </w:t>
      </w:r>
      <w:r w:rsidRPr="002B3FF3">
        <w:rPr>
          <w:rFonts w:ascii="Garamond" w:hAnsi="Garamond" w:cs="Times New Roman"/>
          <w:b/>
          <w:color w:val="000000"/>
          <w:sz w:val="24"/>
          <w:szCs w:val="24"/>
        </w:rPr>
        <w:t>kundër Shqipërisë</w:t>
      </w:r>
    </w:p>
    <w:p w14:paraId="2B9B1855" w14:textId="77777777" w:rsidR="00291CF2" w:rsidRPr="00291CF2" w:rsidRDefault="00291CF2" w:rsidP="00291CF2">
      <w:pPr>
        <w:autoSpaceDE w:val="0"/>
        <w:autoSpaceDN w:val="0"/>
        <w:adjustRightInd w:val="0"/>
        <w:spacing w:after="0" w:line="240" w:lineRule="auto"/>
        <w:ind w:firstLine="284"/>
        <w:jc w:val="center"/>
        <w:rPr>
          <w:rFonts w:ascii="Garamond" w:hAnsi="Garamond" w:cs="Times New Roman"/>
          <w:color w:val="000000"/>
          <w:sz w:val="24"/>
          <w:szCs w:val="24"/>
        </w:rPr>
      </w:pPr>
    </w:p>
    <w:p w14:paraId="78014499" w14:textId="6F8D3EEF" w:rsidR="00291CF2" w:rsidRPr="00291CF2" w:rsidRDefault="00291CF2" w:rsidP="00291CF2">
      <w:pPr>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Gjykata Evropiane e të Drejtave të Njeriut (Seksioni i Tretë), e mbledhur më 9 </w:t>
      </w:r>
      <w:r w:rsidR="002B3FF3">
        <w:rPr>
          <w:rFonts w:ascii="Garamond" w:hAnsi="Garamond" w:cs="Times New Roman"/>
          <w:color w:val="000000"/>
          <w:sz w:val="24"/>
          <w:szCs w:val="24"/>
        </w:rPr>
        <w:t>s</w:t>
      </w:r>
      <w:r w:rsidRPr="00291CF2">
        <w:rPr>
          <w:rFonts w:ascii="Garamond" w:hAnsi="Garamond" w:cs="Times New Roman"/>
          <w:color w:val="000000"/>
          <w:sz w:val="24"/>
          <w:szCs w:val="24"/>
        </w:rPr>
        <w:t>htator 2025</w:t>
      </w:r>
      <w:r w:rsidR="002B3FF3">
        <w:rPr>
          <w:rFonts w:ascii="Garamond" w:hAnsi="Garamond" w:cs="Times New Roman"/>
          <w:color w:val="000000"/>
          <w:sz w:val="24"/>
          <w:szCs w:val="24"/>
        </w:rPr>
        <w:t>,</w:t>
      </w:r>
      <w:r w:rsidRPr="00291CF2">
        <w:rPr>
          <w:rFonts w:ascii="Garamond" w:hAnsi="Garamond" w:cs="Times New Roman"/>
          <w:color w:val="000000"/>
          <w:sz w:val="24"/>
          <w:szCs w:val="24"/>
        </w:rPr>
        <w:t xml:space="preserve"> si një Komitet i përbërë nga: </w:t>
      </w:r>
    </w:p>
    <w:p w14:paraId="63B1ABF9" w14:textId="6D1B241C" w:rsidR="00291CF2" w:rsidRPr="00291CF2" w:rsidRDefault="00291CF2" w:rsidP="00291CF2">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291CF2">
        <w:rPr>
          <w:rFonts w:ascii="Garamond" w:hAnsi="Garamond" w:cs="Times New Roman"/>
          <w:color w:val="000000"/>
          <w:sz w:val="24"/>
          <w:szCs w:val="24"/>
        </w:rPr>
        <w:t xml:space="preserve"> Úna Ní Raifeartaigh,</w:t>
      </w:r>
      <w:r w:rsidRPr="00291CF2">
        <w:rPr>
          <w:rFonts w:ascii="Garamond" w:hAnsi="Garamond" w:cs="Times New Roman"/>
          <w:i/>
          <w:iCs/>
          <w:color w:val="000000"/>
          <w:sz w:val="24"/>
          <w:szCs w:val="24"/>
        </w:rPr>
        <w:t xml:space="preserve"> </w:t>
      </w:r>
      <w:r w:rsidR="002B3FF3">
        <w:rPr>
          <w:rFonts w:ascii="Garamond" w:hAnsi="Garamond" w:cs="Times New Roman"/>
          <w:i/>
          <w:iCs/>
          <w:color w:val="000000"/>
          <w:sz w:val="24"/>
          <w:szCs w:val="24"/>
        </w:rPr>
        <w:t>k</w:t>
      </w:r>
      <w:r w:rsidRPr="00291CF2">
        <w:rPr>
          <w:rFonts w:ascii="Garamond" w:hAnsi="Garamond" w:cs="Times New Roman"/>
          <w:i/>
          <w:iCs/>
          <w:color w:val="000000"/>
          <w:sz w:val="24"/>
          <w:szCs w:val="24"/>
        </w:rPr>
        <w:t>ryetar,</w:t>
      </w:r>
    </w:p>
    <w:p w14:paraId="321F5C2E" w14:textId="1B482257" w:rsidR="00291CF2" w:rsidRPr="00291CF2" w:rsidRDefault="00291CF2" w:rsidP="00291CF2">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291CF2">
        <w:rPr>
          <w:rFonts w:ascii="Garamond" w:hAnsi="Garamond" w:cs="Times New Roman"/>
          <w:color w:val="000000"/>
          <w:sz w:val="24"/>
          <w:szCs w:val="24"/>
        </w:rPr>
        <w:t xml:space="preserve"> Darian Pavli,</w:t>
      </w:r>
    </w:p>
    <w:p w14:paraId="782019B0" w14:textId="77777777" w:rsidR="00291CF2" w:rsidRPr="00291CF2" w:rsidRDefault="00291CF2" w:rsidP="00291CF2">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291CF2">
        <w:rPr>
          <w:rFonts w:ascii="Garamond" w:hAnsi="Garamond" w:cs="Times New Roman"/>
          <w:i/>
          <w:iCs/>
          <w:color w:val="000000"/>
          <w:sz w:val="24"/>
          <w:szCs w:val="24"/>
        </w:rPr>
        <w:t xml:space="preserve"> </w:t>
      </w:r>
      <w:r w:rsidRPr="00291CF2">
        <w:rPr>
          <w:rFonts w:ascii="Garamond" w:hAnsi="Garamond" w:cs="Times New Roman"/>
          <w:color w:val="000000"/>
          <w:sz w:val="24"/>
          <w:szCs w:val="24"/>
        </w:rPr>
        <w:t xml:space="preserve">Mateja Ðurović, </w:t>
      </w:r>
      <w:r w:rsidRPr="00291CF2">
        <w:rPr>
          <w:rFonts w:ascii="Garamond" w:hAnsi="Garamond" w:cs="Times New Roman"/>
          <w:i/>
          <w:iCs/>
          <w:color w:val="000000"/>
          <w:sz w:val="24"/>
          <w:szCs w:val="24"/>
        </w:rPr>
        <w:t>gjyqtarë</w:t>
      </w:r>
    </w:p>
    <w:p w14:paraId="028671FF" w14:textId="33D316A0" w:rsidR="00291CF2" w:rsidRPr="00291CF2" w:rsidRDefault="00291CF2" w:rsidP="00291CF2">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291CF2">
        <w:rPr>
          <w:rFonts w:ascii="Garamond" w:hAnsi="Garamond" w:cs="Times New Roman"/>
          <w:color w:val="000000"/>
          <w:sz w:val="24"/>
          <w:szCs w:val="24"/>
        </w:rPr>
        <w:t xml:space="preserve">dhe Olga Chernishova, </w:t>
      </w:r>
      <w:r w:rsidR="002B3FF3" w:rsidRPr="00291CF2">
        <w:rPr>
          <w:rFonts w:ascii="Garamond" w:hAnsi="Garamond" w:cs="Times New Roman"/>
          <w:i/>
          <w:iCs/>
          <w:color w:val="000000"/>
          <w:sz w:val="24"/>
          <w:szCs w:val="24"/>
        </w:rPr>
        <w:t xml:space="preserve">zëvendëssekretare </w:t>
      </w:r>
      <w:r w:rsidRPr="00291CF2">
        <w:rPr>
          <w:rFonts w:ascii="Garamond" w:hAnsi="Garamond" w:cs="Times New Roman"/>
          <w:i/>
          <w:iCs/>
          <w:color w:val="000000"/>
          <w:sz w:val="24"/>
          <w:szCs w:val="24"/>
        </w:rPr>
        <w:t>e Seksionit,</w:t>
      </w:r>
    </w:p>
    <w:p w14:paraId="7ACFFD41" w14:textId="1DB8A5F3" w:rsidR="00291CF2" w:rsidRPr="00291CF2" w:rsidRDefault="002B3FF3"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p</w:t>
      </w:r>
      <w:r w:rsidR="00291CF2" w:rsidRPr="00291CF2">
        <w:rPr>
          <w:rFonts w:ascii="Garamond" w:hAnsi="Garamond" w:cs="Times New Roman"/>
          <w:color w:val="000000"/>
          <w:sz w:val="24"/>
          <w:szCs w:val="24"/>
        </w:rPr>
        <w:t>ër sa i përket:</w:t>
      </w:r>
    </w:p>
    <w:p w14:paraId="18339A9B" w14:textId="46A2CDFA"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kërkesës (nr. 51135/22) kundër Republikës së Shqipërisë të depozituar në Gjykatë</w:t>
      </w:r>
      <w:r w:rsidR="002B3FF3">
        <w:rPr>
          <w:rFonts w:ascii="Garamond" w:hAnsi="Garamond" w:cs="Times New Roman"/>
          <w:color w:val="000000"/>
          <w:sz w:val="24"/>
          <w:szCs w:val="24"/>
        </w:rPr>
        <w:t>,</w:t>
      </w:r>
      <w:r w:rsidRPr="00291CF2">
        <w:rPr>
          <w:rFonts w:ascii="Garamond" w:hAnsi="Garamond" w:cs="Times New Roman"/>
          <w:color w:val="000000"/>
          <w:sz w:val="24"/>
          <w:szCs w:val="24"/>
        </w:rPr>
        <w:t xml:space="preserve"> në mbështetje të </w:t>
      </w:r>
      <w:r w:rsidR="002B3FF3">
        <w:rPr>
          <w:rFonts w:ascii="Garamond" w:hAnsi="Garamond" w:cs="Times New Roman"/>
          <w:color w:val="000000"/>
          <w:sz w:val="24"/>
          <w:szCs w:val="24"/>
        </w:rPr>
        <w:t>n</w:t>
      </w:r>
      <w:r w:rsidRPr="00291CF2">
        <w:rPr>
          <w:rFonts w:ascii="Garamond" w:hAnsi="Garamond" w:cs="Times New Roman"/>
          <w:color w:val="000000"/>
          <w:sz w:val="24"/>
          <w:szCs w:val="24"/>
        </w:rPr>
        <w:t>enit 34 të Konventës për Mbrojtjen e të Drejtave të Njeriut dhe Lirive Themelore (Konventa)</w:t>
      </w:r>
      <w:r w:rsidR="002B3FF3">
        <w:rPr>
          <w:rFonts w:ascii="Garamond" w:hAnsi="Garamond" w:cs="Times New Roman"/>
          <w:color w:val="000000"/>
          <w:sz w:val="24"/>
          <w:szCs w:val="24"/>
        </w:rPr>
        <w:t>,</w:t>
      </w:r>
      <w:r w:rsidRPr="00291CF2">
        <w:rPr>
          <w:rFonts w:ascii="Garamond" w:hAnsi="Garamond" w:cs="Times New Roman"/>
          <w:color w:val="000000"/>
          <w:sz w:val="24"/>
          <w:szCs w:val="24"/>
        </w:rPr>
        <w:t xml:space="preserve"> më 18 </w:t>
      </w:r>
      <w:r w:rsidR="002B3FF3">
        <w:rPr>
          <w:rFonts w:ascii="Garamond" w:hAnsi="Garamond" w:cs="Times New Roman"/>
          <w:color w:val="000000"/>
          <w:sz w:val="24"/>
          <w:szCs w:val="24"/>
        </w:rPr>
        <w:t>t</w:t>
      </w:r>
      <w:r w:rsidRPr="00291CF2">
        <w:rPr>
          <w:rFonts w:ascii="Garamond" w:hAnsi="Garamond" w:cs="Times New Roman"/>
          <w:color w:val="000000"/>
          <w:sz w:val="24"/>
          <w:szCs w:val="24"/>
        </w:rPr>
        <w:t>etor 2022</w:t>
      </w:r>
      <w:r w:rsidR="002B3FF3">
        <w:rPr>
          <w:rFonts w:ascii="Garamond" w:hAnsi="Garamond" w:cs="Times New Roman"/>
          <w:color w:val="000000"/>
          <w:sz w:val="24"/>
          <w:szCs w:val="24"/>
        </w:rPr>
        <w:t>,</w:t>
      </w:r>
      <w:r w:rsidRPr="00291CF2">
        <w:rPr>
          <w:rFonts w:ascii="Garamond" w:hAnsi="Garamond" w:cs="Times New Roman"/>
          <w:color w:val="000000"/>
          <w:sz w:val="24"/>
          <w:szCs w:val="24"/>
        </w:rPr>
        <w:t xml:space="preserve"> nga një shtetase shqiptare, </w:t>
      </w:r>
      <w:r w:rsidR="002B3FF3">
        <w:rPr>
          <w:rFonts w:ascii="Garamond" w:hAnsi="Garamond" w:cs="Times New Roman"/>
          <w:color w:val="000000"/>
          <w:sz w:val="24"/>
          <w:szCs w:val="24"/>
        </w:rPr>
        <w:t>zn</w:t>
      </w:r>
      <w:r w:rsidRPr="00291CF2">
        <w:rPr>
          <w:rFonts w:ascii="Garamond" w:hAnsi="Garamond" w:cs="Times New Roman"/>
          <w:color w:val="000000"/>
          <w:sz w:val="24"/>
          <w:szCs w:val="24"/>
        </w:rPr>
        <w:t xml:space="preserve">j. Minerva Kotherja (kërkuesja), e cila ka lindur në vitin 1951, banon në Elbasan dhe u përfaqësua nga </w:t>
      </w:r>
      <w:r w:rsidR="00002569" w:rsidRPr="00FA736F">
        <w:rPr>
          <w:rFonts w:ascii="Garamond" w:hAnsi="Garamond" w:cs="Times New Roman"/>
          <w:color w:val="000000"/>
          <w:sz w:val="24"/>
          <w:szCs w:val="24"/>
        </w:rPr>
        <w:t>z</w:t>
      </w:r>
      <w:r w:rsidRPr="00FA736F">
        <w:rPr>
          <w:rFonts w:ascii="Garamond" w:hAnsi="Garamond" w:cs="Times New Roman"/>
          <w:color w:val="000000"/>
          <w:sz w:val="24"/>
          <w:szCs w:val="24"/>
        </w:rPr>
        <w:t>. E. Kotherja</w:t>
      </w:r>
      <w:r w:rsidRPr="00291CF2">
        <w:rPr>
          <w:rFonts w:ascii="Garamond" w:hAnsi="Garamond" w:cs="Times New Roman"/>
          <w:color w:val="000000"/>
          <w:sz w:val="24"/>
          <w:szCs w:val="24"/>
        </w:rPr>
        <w:t>, avokat i cili e praktikon ligjin në Elbasan;</w:t>
      </w:r>
    </w:p>
    <w:p w14:paraId="0EBEFDC2" w14:textId="02388716"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vendimit për të njoftuar mbi ankesën sipas </w:t>
      </w:r>
      <w:r w:rsidR="002B3FF3">
        <w:rPr>
          <w:rFonts w:ascii="Garamond" w:hAnsi="Garamond" w:cs="Times New Roman"/>
          <w:color w:val="000000"/>
          <w:sz w:val="24"/>
          <w:szCs w:val="24"/>
        </w:rPr>
        <w:t>n</w:t>
      </w:r>
      <w:r w:rsidRPr="00291CF2">
        <w:rPr>
          <w:rFonts w:ascii="Garamond" w:hAnsi="Garamond" w:cs="Times New Roman"/>
          <w:color w:val="000000"/>
          <w:sz w:val="24"/>
          <w:szCs w:val="24"/>
        </w:rPr>
        <w:t>enit 6 § 1 të Konventës</w:t>
      </w:r>
      <w:r w:rsidR="002B3FF3">
        <w:rPr>
          <w:rFonts w:ascii="Garamond" w:hAnsi="Garamond" w:cs="Times New Roman"/>
          <w:color w:val="000000"/>
          <w:sz w:val="24"/>
          <w:szCs w:val="24"/>
        </w:rPr>
        <w:t>,</w:t>
      </w:r>
      <w:r w:rsidRPr="00291CF2">
        <w:rPr>
          <w:rFonts w:ascii="Garamond" w:hAnsi="Garamond" w:cs="Times New Roman"/>
          <w:color w:val="000000"/>
          <w:sz w:val="24"/>
          <w:szCs w:val="24"/>
        </w:rPr>
        <w:t xml:space="preserve"> në lidhje me sigurinë juridike, </w:t>
      </w:r>
      <w:r w:rsidR="002B3FF3">
        <w:rPr>
          <w:rFonts w:ascii="Garamond" w:hAnsi="Garamond" w:cs="Times New Roman"/>
          <w:color w:val="000000"/>
          <w:sz w:val="24"/>
          <w:szCs w:val="24"/>
        </w:rPr>
        <w:t>q</w:t>
      </w:r>
      <w:r w:rsidRPr="00291CF2">
        <w:rPr>
          <w:rFonts w:ascii="Garamond" w:hAnsi="Garamond" w:cs="Times New Roman"/>
          <w:color w:val="000000"/>
          <w:sz w:val="24"/>
          <w:szCs w:val="24"/>
        </w:rPr>
        <w:t>everinë shqiptare (</w:t>
      </w:r>
      <w:r w:rsidR="002B3FF3">
        <w:rPr>
          <w:rFonts w:ascii="Garamond" w:hAnsi="Garamond" w:cs="Times New Roman"/>
          <w:color w:val="000000"/>
          <w:sz w:val="24"/>
          <w:szCs w:val="24"/>
        </w:rPr>
        <w:t>q</w:t>
      </w:r>
      <w:r w:rsidRPr="00291CF2">
        <w:rPr>
          <w:rFonts w:ascii="Garamond" w:hAnsi="Garamond" w:cs="Times New Roman"/>
          <w:color w:val="000000"/>
          <w:sz w:val="24"/>
          <w:szCs w:val="24"/>
        </w:rPr>
        <w:t xml:space="preserve">everia), përfaqësuar nga </w:t>
      </w:r>
      <w:r w:rsidR="002B3FF3">
        <w:rPr>
          <w:rFonts w:ascii="Garamond" w:hAnsi="Garamond" w:cs="Times New Roman"/>
          <w:color w:val="000000"/>
          <w:sz w:val="24"/>
          <w:szCs w:val="24"/>
        </w:rPr>
        <w:t>z</w:t>
      </w:r>
      <w:r w:rsidRPr="00291CF2">
        <w:rPr>
          <w:rFonts w:ascii="Garamond" w:hAnsi="Garamond" w:cs="Times New Roman"/>
          <w:color w:val="000000"/>
          <w:sz w:val="24"/>
          <w:szCs w:val="24"/>
        </w:rPr>
        <w:t>. O. Moçka, Avokat i Përgjithshëm i Shtetit, dhe për të deklaruar të papranueshme pjesën tjetër të ankesës;</w:t>
      </w:r>
    </w:p>
    <w:p w14:paraId="5019BFF6" w14:textId="27299B53"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vërejtjet e palëve;</w:t>
      </w:r>
    </w:p>
    <w:p w14:paraId="06E61AF6" w14:textId="513CDE51" w:rsidR="00291CF2" w:rsidRPr="00291CF2" w:rsidRDefault="002B3FF3"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p</w:t>
      </w:r>
      <w:r w:rsidR="00291CF2" w:rsidRPr="00291CF2">
        <w:rPr>
          <w:rFonts w:ascii="Garamond" w:hAnsi="Garamond" w:cs="Times New Roman"/>
          <w:color w:val="000000"/>
          <w:sz w:val="24"/>
          <w:szCs w:val="24"/>
        </w:rPr>
        <w:t xml:space="preserve">asi diskutoi, vendos si më poshtë: </w:t>
      </w:r>
    </w:p>
    <w:p w14:paraId="44A4F3A2" w14:textId="77777777"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LËNDA E ÇËSHTJES</w:t>
      </w:r>
    </w:p>
    <w:p w14:paraId="07236466" w14:textId="4FC32289"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1. Çështja ka të bëjë me një mosmarrëveshje për një pronë midis kërkueses dhe palëve të tjera private. Pasi gjykatat e shkallës së parë dhe të dytë e rrëzuan ankesën e kërkueses, ajo apeloi pranë Gjykatës së Lartë.</w:t>
      </w:r>
    </w:p>
    <w:p w14:paraId="73CF48A9" w14:textId="0C10B1A6"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2. Më 23 </w:t>
      </w:r>
      <w:r w:rsidR="002B3FF3">
        <w:rPr>
          <w:rFonts w:ascii="Garamond" w:hAnsi="Garamond" w:cs="Times New Roman"/>
          <w:color w:val="000000"/>
          <w:sz w:val="24"/>
          <w:szCs w:val="24"/>
        </w:rPr>
        <w:t>q</w:t>
      </w:r>
      <w:r w:rsidRPr="00291CF2">
        <w:rPr>
          <w:rFonts w:ascii="Garamond" w:hAnsi="Garamond" w:cs="Times New Roman"/>
          <w:color w:val="000000"/>
          <w:sz w:val="24"/>
          <w:szCs w:val="24"/>
        </w:rPr>
        <w:t>ershor 2016, dhoma e këshillimit në Gjykatën e Lartë, e mbledhur me dyer të mbyllura, e shpalli apelimin e kërkueses mbi pikat e ligjit të pranueshëm dhe e referoi për gjykim.</w:t>
      </w:r>
    </w:p>
    <w:p w14:paraId="722370A8" w14:textId="0D8D74AD"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3. Më 29 </w:t>
      </w:r>
      <w:r w:rsidR="002B3FF3">
        <w:rPr>
          <w:rFonts w:ascii="Garamond" w:hAnsi="Garamond" w:cs="Times New Roman"/>
          <w:color w:val="000000"/>
          <w:sz w:val="24"/>
          <w:szCs w:val="24"/>
        </w:rPr>
        <w:t>m</w:t>
      </w:r>
      <w:r w:rsidRPr="00291CF2">
        <w:rPr>
          <w:rFonts w:ascii="Garamond" w:hAnsi="Garamond" w:cs="Times New Roman"/>
          <w:color w:val="000000"/>
          <w:sz w:val="24"/>
          <w:szCs w:val="24"/>
        </w:rPr>
        <w:t xml:space="preserve">aj 2021, hyri në fuqi </w:t>
      </w:r>
      <w:r w:rsidR="002B3FF3">
        <w:rPr>
          <w:rFonts w:ascii="Garamond" w:hAnsi="Garamond" w:cs="Times New Roman"/>
          <w:color w:val="000000"/>
          <w:sz w:val="24"/>
          <w:szCs w:val="24"/>
        </w:rPr>
        <w:t>l</w:t>
      </w:r>
      <w:r w:rsidRPr="00291CF2">
        <w:rPr>
          <w:rFonts w:ascii="Garamond" w:hAnsi="Garamond" w:cs="Times New Roman"/>
          <w:color w:val="000000"/>
          <w:sz w:val="24"/>
          <w:szCs w:val="24"/>
        </w:rPr>
        <w:t>igji nr. 44/2021, i cili ndryshoi Kodin e Procedurës Civile (KPC). Ndryshimet përkatëse legjislative i mundësonin Dhomës Civile në Gjykatën e Lartë, të mbledhur me dyer të mbyllura, t’i gjykonte çështjet mbështetur në merita, ndërkohë që përpara këtyre ndryshimeve këto formacione kishin kompetencë të deklaronin të papranueshme vetëm ato apelime mbi pikat e ligjit, që nuk përmbushnin kriteret e KPC</w:t>
      </w:r>
      <w:r w:rsidR="002B3FF3">
        <w:rPr>
          <w:rFonts w:ascii="Garamond" w:hAnsi="Garamond" w:cs="Times New Roman"/>
          <w:color w:val="000000"/>
          <w:sz w:val="24"/>
          <w:szCs w:val="24"/>
        </w:rPr>
        <w:t>-së</w:t>
      </w:r>
      <w:r w:rsidRPr="00291CF2">
        <w:rPr>
          <w:rFonts w:ascii="Garamond" w:hAnsi="Garamond" w:cs="Times New Roman"/>
          <w:color w:val="000000"/>
          <w:sz w:val="24"/>
          <w:szCs w:val="24"/>
        </w:rPr>
        <w:t xml:space="preserve"> apo ta referonin një çështje për gjykim të plotë pranë Dhomës Civile të Gjykatës së Lartë. Ndryshimet parashikonin edhe se çështjet pranë Gjykatës së Lartë, si rregull, gjykohen mbështetur në dokumentet në dosje, dhe një seancë publike mbahet vetëm për çështjet që kanë lidhje me unifikimin e praktikës gjyqësore për të dëgjuar palët për shkak të kompleksitetit të çështjes.</w:t>
      </w:r>
    </w:p>
    <w:p w14:paraId="54A5C136" w14:textId="7E3AF469"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4. Më 7 </w:t>
      </w:r>
      <w:r w:rsidR="002B3FF3">
        <w:rPr>
          <w:rFonts w:ascii="Garamond" w:hAnsi="Garamond" w:cs="Times New Roman"/>
          <w:color w:val="000000"/>
          <w:sz w:val="24"/>
          <w:szCs w:val="24"/>
        </w:rPr>
        <w:t>m</w:t>
      </w:r>
      <w:r w:rsidRPr="00291CF2">
        <w:rPr>
          <w:rFonts w:ascii="Garamond" w:hAnsi="Garamond" w:cs="Times New Roman"/>
          <w:color w:val="000000"/>
          <w:sz w:val="24"/>
          <w:szCs w:val="24"/>
        </w:rPr>
        <w:t>ars 2022, Gjykata e Lartë e anuloi vendimin e saj për të gjykuar çështjen e kërkueses dhe</w:t>
      </w:r>
      <w:r w:rsidR="00002569">
        <w:rPr>
          <w:rFonts w:ascii="Garamond" w:hAnsi="Garamond" w:cs="Times New Roman"/>
          <w:color w:val="000000"/>
          <w:sz w:val="24"/>
          <w:szCs w:val="24"/>
        </w:rPr>
        <w:t>,</w:t>
      </w:r>
      <w:r w:rsidRPr="00291CF2">
        <w:rPr>
          <w:rFonts w:ascii="Garamond" w:hAnsi="Garamond" w:cs="Times New Roman"/>
          <w:color w:val="000000"/>
          <w:sz w:val="24"/>
          <w:szCs w:val="24"/>
        </w:rPr>
        <w:t xml:space="preserve"> e mbledhur në një seancë me dyer të mbyllura, e shpalli apelimin e kërkueses të papranueshëm, në mbështetje të </w:t>
      </w:r>
      <w:r w:rsidR="002B3FF3">
        <w:rPr>
          <w:rFonts w:ascii="Garamond" w:hAnsi="Garamond" w:cs="Times New Roman"/>
          <w:color w:val="000000"/>
          <w:sz w:val="24"/>
          <w:szCs w:val="24"/>
        </w:rPr>
        <w:t>n</w:t>
      </w:r>
      <w:r w:rsidRPr="00291CF2">
        <w:rPr>
          <w:rFonts w:ascii="Garamond" w:hAnsi="Garamond" w:cs="Times New Roman"/>
          <w:color w:val="000000"/>
          <w:sz w:val="24"/>
          <w:szCs w:val="24"/>
        </w:rPr>
        <w:t>enit 472 të KPC</w:t>
      </w:r>
      <w:r w:rsidR="002B3FF3">
        <w:rPr>
          <w:rFonts w:ascii="Garamond" w:hAnsi="Garamond" w:cs="Times New Roman"/>
          <w:color w:val="000000"/>
          <w:sz w:val="24"/>
          <w:szCs w:val="24"/>
        </w:rPr>
        <w:t>-së</w:t>
      </w:r>
      <w:r w:rsidRPr="00291CF2">
        <w:rPr>
          <w:rFonts w:ascii="Garamond" w:hAnsi="Garamond" w:cs="Times New Roman"/>
          <w:color w:val="000000"/>
          <w:sz w:val="24"/>
          <w:szCs w:val="24"/>
        </w:rPr>
        <w:t>. Gjykata e Lartë vlerësoi pikat e ligjit të paraqitura në apelimin e kërkueses dhe konstatoi se gjykata e apelit kishte zbatuar me korrektësi si ligjin substantiv edhe atë procedural. Pjesa përkatëse e vendimit të Gjykatës së Lartë arsyeton si në vijim:</w:t>
      </w:r>
    </w:p>
    <w:p w14:paraId="75F208E9" w14:textId="36BF5422"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“Referuar çështjes në fjalë, Dhoma Civile [e Gjykatës së Lartë] gjykon se apelimi i paraqitur nga paditësja Minerva Kotherja nuk i referohet ndonjërës prej situatave parashikuar në </w:t>
      </w:r>
      <w:r w:rsidR="002B3FF3">
        <w:rPr>
          <w:rFonts w:ascii="Garamond" w:hAnsi="Garamond" w:cs="Times New Roman"/>
          <w:color w:val="000000"/>
          <w:sz w:val="24"/>
          <w:szCs w:val="24"/>
        </w:rPr>
        <w:t>n</w:t>
      </w:r>
      <w:r w:rsidRPr="00291CF2">
        <w:rPr>
          <w:rFonts w:ascii="Garamond" w:hAnsi="Garamond" w:cs="Times New Roman"/>
          <w:color w:val="000000"/>
          <w:sz w:val="24"/>
          <w:szCs w:val="24"/>
        </w:rPr>
        <w:t xml:space="preserve">enin 472 të Kodit të Procedurës Civile, dhe si i tillë nuk duhet të pranohet. Gjykata e Apelit ka interpretuar dhe zbatuar me korrektësi si ligjin procedural edhe atë substantiv. Vendimi i saj nuk bie ndesh me ndonjë vendim </w:t>
      </w:r>
      <w:r w:rsidRPr="00291CF2">
        <w:rPr>
          <w:rFonts w:ascii="Garamond" w:hAnsi="Garamond" w:cs="Times New Roman"/>
          <w:color w:val="000000"/>
          <w:sz w:val="24"/>
          <w:szCs w:val="24"/>
        </w:rPr>
        <w:lastRenderedPageBreak/>
        <w:t>të Dhomës Civile të Gjykatës së Lartë ose të Dhomave të Bashkuara të Gjykatës së Lartë. [Gjykata e Lartë e mbledhur me dyer të mbyllura] nuk ka identifikuar ndonjë shkelje të tillë të rëndë të rregullave për procedurën, gjë që mund të bëjë të pavlefshëm vendimet [e gjykatave më të ulëta] ose procedurat [pranë këtyre gjykatave].</w:t>
      </w:r>
    </w:p>
    <w:p w14:paraId="614CB9BF" w14:textId="650B7D15"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Gjykata e Apelit Durrës (...) i adresoi në mënyrën e duhur ankesat e bëra nga palët.</w:t>
      </w:r>
    </w:p>
    <w:p w14:paraId="577EABD4" w14:textId="13AAE9A7"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Dhoma [Civile] [e Gjykatës së Lartë] gjykon se të gjithë argumentet</w:t>
      </w:r>
      <w:r w:rsidR="00002569">
        <w:rPr>
          <w:rFonts w:ascii="Garamond" w:hAnsi="Garamond" w:cs="Times New Roman"/>
          <w:color w:val="000000"/>
          <w:sz w:val="24"/>
          <w:szCs w:val="24"/>
        </w:rPr>
        <w:t>,</w:t>
      </w:r>
      <w:r w:rsidRPr="00291CF2">
        <w:rPr>
          <w:rFonts w:ascii="Garamond" w:hAnsi="Garamond" w:cs="Times New Roman"/>
          <w:color w:val="000000"/>
          <w:sz w:val="24"/>
          <w:szCs w:val="24"/>
        </w:rPr>
        <w:t xml:space="preserve"> në lidhje me pronësinë e tokës me sipërfaqe 156 metër katrorë</w:t>
      </w:r>
      <w:r w:rsidR="00002569">
        <w:rPr>
          <w:rFonts w:ascii="Garamond" w:hAnsi="Garamond" w:cs="Times New Roman"/>
          <w:color w:val="000000"/>
          <w:sz w:val="24"/>
          <w:szCs w:val="24"/>
        </w:rPr>
        <w:t>,</w:t>
      </w:r>
      <w:r w:rsidRPr="00291CF2">
        <w:rPr>
          <w:rFonts w:ascii="Garamond" w:hAnsi="Garamond" w:cs="Times New Roman"/>
          <w:color w:val="000000"/>
          <w:sz w:val="24"/>
          <w:szCs w:val="24"/>
        </w:rPr>
        <w:t xml:space="preserve"> nuk kanë lidhje me këtë çështje. Zyra e Regjistrimit të Pasurive ka njohur pronësinë e pronarit të mëparshëm, paraardhësit të paditëses, dhe ky fakt nuk është kundërshtuar. Megjithatë, mosmarrëveshja në këtë çështje lidhet me pyetjen nëse trualli është [aktualisht] i zënë [nga palë të treta] ose jo, dhe nëse është i mundur rikthimi i tij, apo nëse ish-pronari ka të drejtën [vetëm] për kompensim. Gjykata e Apelit bëri të qartë se në lidhje me këto çështje ishte marrë një vendim nga Zyra e Regjistrimi</w:t>
      </w:r>
      <w:r w:rsidR="00002569">
        <w:rPr>
          <w:rFonts w:ascii="Garamond" w:hAnsi="Garamond" w:cs="Times New Roman"/>
          <w:color w:val="000000"/>
          <w:sz w:val="24"/>
          <w:szCs w:val="24"/>
        </w:rPr>
        <w:t>t</w:t>
      </w:r>
      <w:r w:rsidRPr="00291CF2">
        <w:rPr>
          <w:rFonts w:ascii="Garamond" w:hAnsi="Garamond" w:cs="Times New Roman"/>
          <w:color w:val="000000"/>
          <w:sz w:val="24"/>
          <w:szCs w:val="24"/>
        </w:rPr>
        <w:t xml:space="preserve"> të Pasurive.</w:t>
      </w:r>
    </w:p>
    <w:p w14:paraId="3192BCE2" w14:textId="1ED267C3"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Në lidhje me shkaqet e ngritura në apelim, Dhoma [Civile] [e Gjykatës së Lartë] gjykon se ato kanë të bëjnë me vlerësimin e provave dhe si të tilla nuk janë në juridiksionin kushtetues të Gjykatës së Lartë.”</w:t>
      </w:r>
      <w:r w:rsidR="00002569">
        <w:rPr>
          <w:rFonts w:ascii="Garamond" w:hAnsi="Garamond" w:cs="Times New Roman"/>
          <w:color w:val="000000"/>
          <w:sz w:val="24"/>
          <w:szCs w:val="24"/>
        </w:rPr>
        <w:t>.</w:t>
      </w:r>
    </w:p>
    <w:p w14:paraId="6564EDE9" w14:textId="77777777"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VLERËSIMI I GJYKATËS</w:t>
      </w:r>
    </w:p>
    <w:p w14:paraId="6C07EC3E" w14:textId="08E3713F"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5. Mbështetur në </w:t>
      </w:r>
      <w:r w:rsidR="002B3FF3" w:rsidRPr="00291CF2">
        <w:rPr>
          <w:rFonts w:ascii="Garamond" w:hAnsi="Garamond" w:cs="Times New Roman"/>
          <w:color w:val="000000"/>
          <w:sz w:val="24"/>
          <w:szCs w:val="24"/>
        </w:rPr>
        <w:t>n</w:t>
      </w:r>
      <w:r w:rsidRPr="00291CF2">
        <w:rPr>
          <w:rFonts w:ascii="Garamond" w:hAnsi="Garamond" w:cs="Times New Roman"/>
          <w:color w:val="000000"/>
          <w:sz w:val="24"/>
          <w:szCs w:val="24"/>
        </w:rPr>
        <w:t>enin 6 § 1 të Konventës, kërkuesja u ankua se ishte shkelur parimi i sigurisë juridike, sepse fillimisht Gjykata e Lartë e shpalli apelimin e saj të pranueshëm, dhe më pas e shpalli po të njëjtin apelim të papranueshëm.</w:t>
      </w:r>
    </w:p>
    <w:p w14:paraId="06FEF63F" w14:textId="187C235B"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6. Gjykata vëren se ankesa ngre dy çështje të ndryshme. Çështja e parë ka të bëjë me vendimin e vitit 2016 të Gjykatës së Lartë për mbajtjen e një gjykimi me dyer të hapura, përpara se ta ndryshonte atë vendim në vitin 2021 dhe të vijonte me gjykimin e çështjes me një seancë me dyer të mbyllura. Në lidhje me këtë çështje, Gjykata thekson se në përgjithësi është një parim i njohur që rregullat proceduralë të zbatohen menjëherë për procedurat që janë pezull (shih </w:t>
      </w:r>
      <w:r w:rsidRPr="00291CF2">
        <w:rPr>
          <w:rFonts w:ascii="Garamond" w:hAnsi="Garamond" w:cs="Times New Roman"/>
          <w:i/>
          <w:iCs/>
          <w:color w:val="000000"/>
          <w:sz w:val="24"/>
          <w:szCs w:val="24"/>
        </w:rPr>
        <w:t xml:space="preserve">Çela kundër Shqipërisë, </w:t>
      </w:r>
      <w:r w:rsidRPr="00291CF2">
        <w:rPr>
          <w:rFonts w:ascii="Garamond" w:hAnsi="Garamond" w:cs="Times New Roman"/>
          <w:color w:val="000000"/>
          <w:sz w:val="24"/>
          <w:szCs w:val="24"/>
        </w:rPr>
        <w:t xml:space="preserve">nr. 73274/17, § 27, 29 </w:t>
      </w:r>
      <w:r w:rsidR="002B3FF3">
        <w:rPr>
          <w:rFonts w:ascii="Garamond" w:hAnsi="Garamond" w:cs="Times New Roman"/>
          <w:color w:val="000000"/>
          <w:sz w:val="24"/>
          <w:szCs w:val="24"/>
        </w:rPr>
        <w:t>n</w:t>
      </w:r>
      <w:r w:rsidRPr="00291CF2">
        <w:rPr>
          <w:rFonts w:ascii="Garamond" w:hAnsi="Garamond" w:cs="Times New Roman"/>
          <w:color w:val="000000"/>
          <w:sz w:val="24"/>
          <w:szCs w:val="24"/>
        </w:rPr>
        <w:t xml:space="preserve">ëntor 2022, mbështetur në </w:t>
      </w:r>
      <w:r w:rsidRPr="00291CF2">
        <w:rPr>
          <w:rFonts w:ascii="Garamond" w:hAnsi="Garamond" w:cs="Times New Roman"/>
          <w:i/>
          <w:iCs/>
          <w:color w:val="000000"/>
          <w:sz w:val="24"/>
          <w:szCs w:val="24"/>
        </w:rPr>
        <w:t>Brualla Gómez de la Torre kundër Spanjës</w:t>
      </w:r>
      <w:r w:rsidRPr="00291CF2">
        <w:rPr>
          <w:rFonts w:ascii="Garamond" w:hAnsi="Garamond" w:cs="Times New Roman"/>
          <w:color w:val="000000"/>
          <w:sz w:val="24"/>
          <w:szCs w:val="24"/>
        </w:rPr>
        <w:t xml:space="preserve">, 19 </w:t>
      </w:r>
      <w:r w:rsidR="002B3FF3">
        <w:rPr>
          <w:rFonts w:ascii="Garamond" w:hAnsi="Garamond" w:cs="Times New Roman"/>
          <w:color w:val="000000"/>
          <w:sz w:val="24"/>
          <w:szCs w:val="24"/>
        </w:rPr>
        <w:t>d</w:t>
      </w:r>
      <w:r w:rsidRPr="00291CF2">
        <w:rPr>
          <w:rFonts w:ascii="Garamond" w:hAnsi="Garamond" w:cs="Times New Roman"/>
          <w:color w:val="000000"/>
          <w:sz w:val="24"/>
          <w:szCs w:val="24"/>
        </w:rPr>
        <w:t xml:space="preserve">hjetor 1997, § 35, </w:t>
      </w:r>
      <w:r w:rsidRPr="00291CF2">
        <w:rPr>
          <w:rFonts w:ascii="Garamond" w:hAnsi="Garamond" w:cs="Times New Roman"/>
          <w:i/>
          <w:iCs/>
          <w:color w:val="000000"/>
          <w:sz w:val="24"/>
          <w:szCs w:val="24"/>
        </w:rPr>
        <w:t xml:space="preserve">Raporte të Gjykimeve dhe </w:t>
      </w:r>
      <w:r w:rsidR="002B3FF3">
        <w:rPr>
          <w:rFonts w:ascii="Garamond" w:hAnsi="Garamond" w:cs="Times New Roman"/>
          <w:i/>
          <w:iCs/>
          <w:color w:val="000000"/>
          <w:sz w:val="24"/>
          <w:szCs w:val="24"/>
        </w:rPr>
        <w:t>v</w:t>
      </w:r>
      <w:r w:rsidRPr="00291CF2">
        <w:rPr>
          <w:rFonts w:ascii="Garamond" w:hAnsi="Garamond" w:cs="Times New Roman"/>
          <w:i/>
          <w:iCs/>
          <w:color w:val="000000"/>
          <w:sz w:val="24"/>
          <w:szCs w:val="24"/>
        </w:rPr>
        <w:t>endimeve</w:t>
      </w:r>
      <w:r w:rsidRPr="00291CF2">
        <w:rPr>
          <w:rFonts w:ascii="Garamond" w:hAnsi="Garamond" w:cs="Times New Roman"/>
          <w:color w:val="000000"/>
          <w:sz w:val="24"/>
          <w:szCs w:val="24"/>
        </w:rPr>
        <w:t xml:space="preserve"> 1997-VIII, dhe </w:t>
      </w:r>
      <w:r w:rsidRPr="00291CF2">
        <w:rPr>
          <w:rFonts w:ascii="Garamond" w:hAnsi="Garamond" w:cs="Times New Roman"/>
          <w:i/>
          <w:iCs/>
          <w:color w:val="000000"/>
          <w:sz w:val="24"/>
          <w:szCs w:val="24"/>
        </w:rPr>
        <w:t>Galeano Peñas kundër Spanjës</w:t>
      </w:r>
      <w:r w:rsidRPr="00291CF2">
        <w:rPr>
          <w:rFonts w:ascii="Garamond" w:hAnsi="Garamond" w:cs="Times New Roman"/>
          <w:color w:val="000000"/>
          <w:sz w:val="24"/>
          <w:szCs w:val="24"/>
        </w:rPr>
        <w:t xml:space="preserve">, nr. 48784/20, § 52, 31 </w:t>
      </w:r>
      <w:r w:rsidR="002B3FF3">
        <w:rPr>
          <w:rFonts w:ascii="Garamond" w:hAnsi="Garamond" w:cs="Times New Roman"/>
          <w:color w:val="000000"/>
          <w:sz w:val="24"/>
          <w:szCs w:val="24"/>
        </w:rPr>
        <w:t>m</w:t>
      </w:r>
      <w:r w:rsidRPr="00291CF2">
        <w:rPr>
          <w:rFonts w:ascii="Garamond" w:hAnsi="Garamond" w:cs="Times New Roman"/>
          <w:color w:val="000000"/>
          <w:sz w:val="24"/>
          <w:szCs w:val="24"/>
        </w:rPr>
        <w:t xml:space="preserve">aj 2022). Për këtë arsye, fakti se Gjykata e Lartë zbatoi rregullat e reja për procedurën në seancat me dyer të hapura për çështjet e mbetura pezull në vetvete nuk ishte në kundërshtim me garancitë e dhëna në mbështetje të </w:t>
      </w:r>
      <w:r w:rsidR="002B3FF3">
        <w:rPr>
          <w:rFonts w:ascii="Garamond" w:hAnsi="Garamond" w:cs="Times New Roman"/>
          <w:color w:val="000000"/>
          <w:sz w:val="24"/>
          <w:szCs w:val="24"/>
        </w:rPr>
        <w:t>n</w:t>
      </w:r>
      <w:r w:rsidRPr="00291CF2">
        <w:rPr>
          <w:rFonts w:ascii="Garamond" w:hAnsi="Garamond" w:cs="Times New Roman"/>
          <w:color w:val="000000"/>
          <w:sz w:val="24"/>
          <w:szCs w:val="24"/>
        </w:rPr>
        <w:t>enit 6 § 1 të Konventës.</w:t>
      </w:r>
    </w:p>
    <w:p w14:paraId="7E397BC4" w14:textId="7A1344A5"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7. Çështja e dytë ka të bëjë me faktin se fillimisht Gjykata e Lartë e shpalli apelimin e kërkueses të pranueshëm dhe më pas të papranueshëm. Në lidhje me këtë çështje, Gjykata vëren se në vendimin e dytë të Gjykatës së Lartë, apelimi i kërkueses u shpall i papranueshëm pasi gjykata shqyrtoi meritat e pretendimeve të kërkueses për pikat e ligjit, sipas së cilit juridiksioni i saj ishte i kufizuar. Gjykata e Lartë vlerësoi se gjykatat më të ulëta kishin zbatuar me korrektësi si ligjin procedural edhe atë substantiv, dhe kishin vlerësuar plotësisht argumentet që kërkuesja kishte paraqitur në apel. Gjithashtu, ajo konfirmoi gjetjet e Gjykatës së Apelit</w:t>
      </w:r>
      <w:r w:rsidR="00002569">
        <w:rPr>
          <w:rFonts w:ascii="Garamond" w:hAnsi="Garamond" w:cs="Times New Roman"/>
          <w:color w:val="000000"/>
          <w:sz w:val="24"/>
          <w:szCs w:val="24"/>
        </w:rPr>
        <w:t>,</w:t>
      </w:r>
      <w:r w:rsidRPr="00291CF2">
        <w:rPr>
          <w:rFonts w:ascii="Garamond" w:hAnsi="Garamond" w:cs="Times New Roman"/>
          <w:color w:val="000000"/>
          <w:sz w:val="24"/>
          <w:szCs w:val="24"/>
        </w:rPr>
        <w:t xml:space="preserve"> në lidhje me mosmarrëveshjen kryesore në çështje dhe zgjidhjen e saj (shih paragrafin 4 më sipër). Në këto rrethana, fakti se apelimi u shpall i papranueshëm paraqet vetëm një gjetje formale, ndërsa në realitet Gjykata e Lartë vlerësoi me efikasitet meritat e ankesave të kërkueses të paraqitura përpara saj, dhe dha mjaftueshëm arsye për vendimin e saj.</w:t>
      </w:r>
    </w:p>
    <w:p w14:paraId="7E4E06D6" w14:textId="60A5E887"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8. Gjykata vlerëson se mbështetur në materialet në zotërim dhe për aq sa çështjet për të cilat janë bërë ankesat janë nën kompetencën e saj, këto ankesa nuk paraqesin ndonjë konstatim të shkeljes së të drejtave dhe lirive të parashikuara në Konventë ose në Protokollet e saj.</w:t>
      </w:r>
    </w:p>
    <w:p w14:paraId="12692AAB" w14:textId="57D66D97"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9. Në këto rrethana, kërkesa është qartazi e pambështetur në fakte dhe duhet të rrëzohet në mbështetje të </w:t>
      </w:r>
      <w:r w:rsidR="002B3FF3">
        <w:rPr>
          <w:rFonts w:ascii="Garamond" w:hAnsi="Garamond" w:cs="Times New Roman"/>
          <w:color w:val="000000"/>
          <w:sz w:val="24"/>
          <w:szCs w:val="24"/>
        </w:rPr>
        <w:t>n</w:t>
      </w:r>
      <w:r w:rsidRPr="00291CF2">
        <w:rPr>
          <w:rFonts w:ascii="Garamond" w:hAnsi="Garamond" w:cs="Times New Roman"/>
          <w:color w:val="000000"/>
          <w:sz w:val="24"/>
          <w:szCs w:val="24"/>
        </w:rPr>
        <w:t>enit 35 §§ 3 (a) dhe 4 të Konventës.</w:t>
      </w:r>
    </w:p>
    <w:p w14:paraId="1820D2CF" w14:textId="58371EEF" w:rsidR="00291CF2" w:rsidRPr="00291CF2" w:rsidRDefault="00291CF2" w:rsidP="002B3FF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Për këto arsye Gjykata, në mënyrë unanime,</w:t>
      </w:r>
    </w:p>
    <w:p w14:paraId="3E43FBA2" w14:textId="6B23F693" w:rsidR="00291CF2" w:rsidRP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i/>
          <w:iCs/>
          <w:color w:val="000000"/>
          <w:sz w:val="24"/>
          <w:szCs w:val="24"/>
        </w:rPr>
        <w:t xml:space="preserve">E shpall </w:t>
      </w:r>
      <w:r w:rsidRPr="00291CF2">
        <w:rPr>
          <w:rFonts w:ascii="Garamond" w:hAnsi="Garamond" w:cs="Times New Roman"/>
          <w:color w:val="000000"/>
          <w:sz w:val="24"/>
          <w:szCs w:val="24"/>
        </w:rPr>
        <w:t>kërkesën të papranueshme.</w:t>
      </w:r>
    </w:p>
    <w:p w14:paraId="511944AD" w14:textId="0BAD793C" w:rsidR="00291CF2" w:rsidRDefault="00291CF2" w:rsidP="00291CF2">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291CF2">
        <w:rPr>
          <w:rFonts w:ascii="Garamond" w:hAnsi="Garamond" w:cs="Times New Roman"/>
          <w:color w:val="000000"/>
          <w:sz w:val="24"/>
          <w:szCs w:val="24"/>
        </w:rPr>
        <w:t xml:space="preserve">Hartuar në anglisht dhe njoftuar me shkrim më 2 </w:t>
      </w:r>
      <w:r w:rsidR="002B3FF3">
        <w:rPr>
          <w:rFonts w:ascii="Garamond" w:hAnsi="Garamond" w:cs="Times New Roman"/>
          <w:color w:val="000000"/>
          <w:sz w:val="24"/>
          <w:szCs w:val="24"/>
        </w:rPr>
        <w:t>t</w:t>
      </w:r>
      <w:r w:rsidRPr="00291CF2">
        <w:rPr>
          <w:rFonts w:ascii="Garamond" w:hAnsi="Garamond" w:cs="Times New Roman"/>
          <w:color w:val="000000"/>
          <w:sz w:val="24"/>
          <w:szCs w:val="24"/>
        </w:rPr>
        <w:t>etor 2025.</w:t>
      </w:r>
    </w:p>
    <w:p w14:paraId="7DB40672" w14:textId="77777777" w:rsidR="001145DB" w:rsidRDefault="001145DB" w:rsidP="00002569">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rPr>
      </w:pPr>
    </w:p>
    <w:p w14:paraId="73D839F2" w14:textId="77777777" w:rsidR="00002569" w:rsidRDefault="00002569" w:rsidP="00002569">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rPr>
      </w:pPr>
      <w:bookmarkStart w:id="0" w:name="_GoBack"/>
      <w:bookmarkEnd w:id="0"/>
      <w:r w:rsidRPr="00291CF2">
        <w:rPr>
          <w:rFonts w:ascii="Garamond" w:hAnsi="Garamond" w:cs="Times New Roman"/>
          <w:color w:val="000000"/>
          <w:sz w:val="24"/>
          <w:szCs w:val="24"/>
        </w:rPr>
        <w:lastRenderedPageBreak/>
        <w:t>KRYETAR</w:t>
      </w:r>
    </w:p>
    <w:p w14:paraId="38DA9132" w14:textId="77777777" w:rsidR="002B3FF3" w:rsidRPr="00AD630F" w:rsidRDefault="002B3FF3" w:rsidP="002B3FF3">
      <w:pPr>
        <w:tabs>
          <w:tab w:val="left" w:pos="560"/>
          <w:tab w:val="left" w:pos="1120"/>
        </w:tabs>
        <w:autoSpaceDE w:val="0"/>
        <w:autoSpaceDN w:val="0"/>
        <w:adjustRightInd w:val="0"/>
        <w:spacing w:after="0"/>
        <w:jc w:val="right"/>
        <w:rPr>
          <w:rFonts w:ascii="Garamond" w:hAnsi="Garamond" w:cs="Times New Roman"/>
          <w:b/>
          <w:color w:val="000000"/>
          <w:sz w:val="24"/>
          <w:szCs w:val="24"/>
        </w:rPr>
      </w:pPr>
      <w:r w:rsidRPr="00AD630F">
        <w:rPr>
          <w:rFonts w:ascii="Garamond" w:hAnsi="Garamond" w:cs="Times New Roman"/>
          <w:b/>
          <w:color w:val="000000"/>
          <w:sz w:val="24"/>
          <w:szCs w:val="24"/>
        </w:rPr>
        <w:t>Úna Ní Raifeartaigh</w:t>
      </w:r>
    </w:p>
    <w:p w14:paraId="6B61AEDC" w14:textId="77777777" w:rsidR="00002569" w:rsidRPr="00291CF2" w:rsidRDefault="00002569" w:rsidP="00002569">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rPr>
      </w:pPr>
      <w:r w:rsidRPr="00291CF2">
        <w:rPr>
          <w:rFonts w:ascii="Garamond" w:hAnsi="Garamond" w:cs="Times New Roman"/>
          <w:color w:val="000000"/>
          <w:sz w:val="24"/>
          <w:szCs w:val="24"/>
        </w:rPr>
        <w:t>ZËVENDËSSEKRETARE</w:t>
      </w:r>
    </w:p>
    <w:p w14:paraId="43D4A71B" w14:textId="77777777" w:rsidR="002B3FF3" w:rsidRPr="00AD630F" w:rsidRDefault="002B3FF3" w:rsidP="002B3FF3">
      <w:pPr>
        <w:tabs>
          <w:tab w:val="left" w:pos="560"/>
          <w:tab w:val="left" w:pos="1120"/>
        </w:tabs>
        <w:autoSpaceDE w:val="0"/>
        <w:autoSpaceDN w:val="0"/>
        <w:adjustRightInd w:val="0"/>
        <w:spacing w:after="0"/>
        <w:jc w:val="right"/>
        <w:rPr>
          <w:rFonts w:ascii="Garamond" w:hAnsi="Garamond" w:cs="Times New Roman"/>
          <w:b/>
          <w:color w:val="000000"/>
          <w:sz w:val="24"/>
          <w:szCs w:val="24"/>
        </w:rPr>
      </w:pPr>
      <w:r w:rsidRPr="00AD630F">
        <w:rPr>
          <w:rFonts w:ascii="Garamond" w:hAnsi="Garamond" w:cs="Times New Roman"/>
          <w:b/>
          <w:color w:val="000000"/>
          <w:sz w:val="24"/>
          <w:szCs w:val="24"/>
        </w:rPr>
        <w:t>Olga Chernishova</w:t>
      </w:r>
    </w:p>
    <w:p w14:paraId="516C7DFC" w14:textId="77777777" w:rsidR="00291CF2" w:rsidRDefault="00291CF2" w:rsidP="00291CF2">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p>
    <w:p w14:paraId="4A29FDEB" w14:textId="77777777" w:rsidR="00291CF2" w:rsidRPr="00291CF2" w:rsidRDefault="00291CF2" w:rsidP="00AD630F">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rPr>
      </w:pPr>
    </w:p>
    <w:sectPr w:rsidR="00291CF2" w:rsidRPr="00291C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02569"/>
    <w:rsid w:val="00011A19"/>
    <w:rsid w:val="0001697C"/>
    <w:rsid w:val="00064FDD"/>
    <w:rsid w:val="00071BB9"/>
    <w:rsid w:val="0007396F"/>
    <w:rsid w:val="000843A3"/>
    <w:rsid w:val="00093903"/>
    <w:rsid w:val="000A0D30"/>
    <w:rsid w:val="000A33D3"/>
    <w:rsid w:val="000C5E68"/>
    <w:rsid w:val="000F48DC"/>
    <w:rsid w:val="000F74B6"/>
    <w:rsid w:val="001145DB"/>
    <w:rsid w:val="00126DFF"/>
    <w:rsid w:val="00131897"/>
    <w:rsid w:val="0014568A"/>
    <w:rsid w:val="001551BD"/>
    <w:rsid w:val="001567CA"/>
    <w:rsid w:val="001574C5"/>
    <w:rsid w:val="0016691A"/>
    <w:rsid w:val="001843AC"/>
    <w:rsid w:val="001C517C"/>
    <w:rsid w:val="001D4E73"/>
    <w:rsid w:val="00204D6F"/>
    <w:rsid w:val="00206E43"/>
    <w:rsid w:val="00214D39"/>
    <w:rsid w:val="002165F3"/>
    <w:rsid w:val="00222EA2"/>
    <w:rsid w:val="00232150"/>
    <w:rsid w:val="002363A9"/>
    <w:rsid w:val="00261F38"/>
    <w:rsid w:val="00265762"/>
    <w:rsid w:val="00282E1D"/>
    <w:rsid w:val="0028358F"/>
    <w:rsid w:val="00291CF2"/>
    <w:rsid w:val="002A21F8"/>
    <w:rsid w:val="002B3FF3"/>
    <w:rsid w:val="002C21B1"/>
    <w:rsid w:val="002E286B"/>
    <w:rsid w:val="002E28BA"/>
    <w:rsid w:val="00302224"/>
    <w:rsid w:val="00324421"/>
    <w:rsid w:val="0036540F"/>
    <w:rsid w:val="00365AE3"/>
    <w:rsid w:val="00386B82"/>
    <w:rsid w:val="00387FA9"/>
    <w:rsid w:val="003A1254"/>
    <w:rsid w:val="003E016F"/>
    <w:rsid w:val="003F3D67"/>
    <w:rsid w:val="00420FCC"/>
    <w:rsid w:val="004326E6"/>
    <w:rsid w:val="004429C1"/>
    <w:rsid w:val="004509DF"/>
    <w:rsid w:val="00451F03"/>
    <w:rsid w:val="004943C8"/>
    <w:rsid w:val="00495544"/>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09C3"/>
    <w:rsid w:val="005748A5"/>
    <w:rsid w:val="00591C6C"/>
    <w:rsid w:val="005B5F43"/>
    <w:rsid w:val="005C0089"/>
    <w:rsid w:val="005C18A7"/>
    <w:rsid w:val="005F421D"/>
    <w:rsid w:val="0061636A"/>
    <w:rsid w:val="00631241"/>
    <w:rsid w:val="0066067F"/>
    <w:rsid w:val="00662063"/>
    <w:rsid w:val="0067192E"/>
    <w:rsid w:val="00677538"/>
    <w:rsid w:val="00680408"/>
    <w:rsid w:val="00692570"/>
    <w:rsid w:val="007165FA"/>
    <w:rsid w:val="00724FF2"/>
    <w:rsid w:val="007436A1"/>
    <w:rsid w:val="0077573A"/>
    <w:rsid w:val="00784F15"/>
    <w:rsid w:val="00790CF7"/>
    <w:rsid w:val="00797BDC"/>
    <w:rsid w:val="007A00F9"/>
    <w:rsid w:val="007A461B"/>
    <w:rsid w:val="007A657F"/>
    <w:rsid w:val="007E0E9E"/>
    <w:rsid w:val="008846AE"/>
    <w:rsid w:val="008B2336"/>
    <w:rsid w:val="008C55F4"/>
    <w:rsid w:val="008C7EE7"/>
    <w:rsid w:val="008D15FD"/>
    <w:rsid w:val="008F0E16"/>
    <w:rsid w:val="009053DA"/>
    <w:rsid w:val="00917422"/>
    <w:rsid w:val="00961A75"/>
    <w:rsid w:val="009719B8"/>
    <w:rsid w:val="00972872"/>
    <w:rsid w:val="009822A2"/>
    <w:rsid w:val="00993B15"/>
    <w:rsid w:val="009A23B6"/>
    <w:rsid w:val="00A10771"/>
    <w:rsid w:val="00A3131A"/>
    <w:rsid w:val="00A4634C"/>
    <w:rsid w:val="00A46BE7"/>
    <w:rsid w:val="00A51BE5"/>
    <w:rsid w:val="00A84B62"/>
    <w:rsid w:val="00A95DBE"/>
    <w:rsid w:val="00AB7D07"/>
    <w:rsid w:val="00AD630F"/>
    <w:rsid w:val="00AD6F91"/>
    <w:rsid w:val="00AE6691"/>
    <w:rsid w:val="00B022DA"/>
    <w:rsid w:val="00B07E60"/>
    <w:rsid w:val="00B119FC"/>
    <w:rsid w:val="00B16E3C"/>
    <w:rsid w:val="00B268BE"/>
    <w:rsid w:val="00B363FA"/>
    <w:rsid w:val="00B95EFE"/>
    <w:rsid w:val="00BB50B0"/>
    <w:rsid w:val="00BB6F9D"/>
    <w:rsid w:val="00BB777A"/>
    <w:rsid w:val="00BC4560"/>
    <w:rsid w:val="00BD00CF"/>
    <w:rsid w:val="00BF482C"/>
    <w:rsid w:val="00C0163A"/>
    <w:rsid w:val="00C12399"/>
    <w:rsid w:val="00C80ABB"/>
    <w:rsid w:val="00C9462E"/>
    <w:rsid w:val="00C95924"/>
    <w:rsid w:val="00CA5391"/>
    <w:rsid w:val="00CC1BA0"/>
    <w:rsid w:val="00CC5B7C"/>
    <w:rsid w:val="00D238CA"/>
    <w:rsid w:val="00D55481"/>
    <w:rsid w:val="00D624AB"/>
    <w:rsid w:val="00D67644"/>
    <w:rsid w:val="00D8245B"/>
    <w:rsid w:val="00D83955"/>
    <w:rsid w:val="00DA512A"/>
    <w:rsid w:val="00DB3128"/>
    <w:rsid w:val="00DB4920"/>
    <w:rsid w:val="00E11D35"/>
    <w:rsid w:val="00E13DFD"/>
    <w:rsid w:val="00E154BC"/>
    <w:rsid w:val="00E3764D"/>
    <w:rsid w:val="00E53E37"/>
    <w:rsid w:val="00E6558D"/>
    <w:rsid w:val="00E7372A"/>
    <w:rsid w:val="00E910FA"/>
    <w:rsid w:val="00EA6DB4"/>
    <w:rsid w:val="00EF009A"/>
    <w:rsid w:val="00EF1B46"/>
    <w:rsid w:val="00EF200C"/>
    <w:rsid w:val="00EF2A0A"/>
    <w:rsid w:val="00F23FBB"/>
    <w:rsid w:val="00F45C03"/>
    <w:rsid w:val="00F5332C"/>
    <w:rsid w:val="00FA2E72"/>
    <w:rsid w:val="00FA736F"/>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6D9C0"/>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291CF2"/>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rPr>
  </w:style>
  <w:style w:type="paragraph" w:customStyle="1" w:styleId="ECHRPara">
    <w:name w:val="ECHR_Para"/>
    <w:aliases w:val="Ju_Para"/>
    <w:basedOn w:val="Normal"/>
    <w:uiPriority w:val="99"/>
    <w:rsid w:val="00291CF2"/>
    <w:pPr>
      <w:autoSpaceDE w:val="0"/>
      <w:autoSpaceDN w:val="0"/>
      <w:adjustRightInd w:val="0"/>
      <w:spacing w:after="200" w:line="330" w:lineRule="atLeast"/>
      <w:ind w:firstLine="280"/>
      <w:jc w:val="both"/>
    </w:pPr>
    <w:rPr>
      <w:rFonts w:ascii="Times New Roman" w:hAnsi="Times New Roman" w:cs="Times New Roman"/>
      <w:color w:val="000000"/>
      <w:sz w:val="24"/>
      <w:szCs w:val="24"/>
    </w:rPr>
  </w:style>
  <w:style w:type="table" w:styleId="TableGrid">
    <w:name w:val="Table Grid"/>
    <w:basedOn w:val="TableNormal"/>
    <w:uiPriority w:val="39"/>
    <w:rsid w:val="00AD63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51135-22</Nr_x002e__x0020_akti>
    <Data_x0020_e_x0020_Krijimit xmlns="0e656187-b300-4fb0-8bf4-3a50f872073c">2025-10-28T09:59:07Z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2025-10-27T00:00:00Z</Date_x0020_protokolli>
    <Titulli xmlns="0e656187-b300-4fb0-8bf4-3a50f872073c">Çështja Minerva Kotherja kundër Shqipërisë</Titulli>
    <Modifikuesi xmlns="0e656187-b300-4fb0-8bf4-3a50f872073c">Fjora.Cahani</Modifikuesi>
    <Nr_x002e__x0020_prot_x0020_QBZ xmlns="0e656187-b300-4fb0-8bf4-3a50f872073c">1780/1</Nr_x002e__x0020_prot_x0020_QBZ>
    <Data_x0020_e_x0020_Modifikimit xmlns="0e656187-b300-4fb0-8bf4-3a50f872073c">2025-10-28T11:52:10Z</Data_x0020_e_x0020_Modifikimit>
    <Dekretuar xmlns="0e656187-b300-4fb0-8bf4-3a50f872073c">false</Dekretuar>
    <Data xmlns="0e656187-b300-4fb0-8bf4-3a50f872073c">2025-10-02T00:00:00Z</Data>
    <Nr_x002e__x0020_protokolli_x0020_i_x0020_aktit xmlns="0e656187-b300-4fb0-8bf4-3a50f872073c">5134/1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70EEF87ED1C4174A00061A7CAB4F4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70EEF87ED1C4174A00061A7CAB4F4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D58ADB-6332-4747-B2DB-0BBBFED065EE}">
  <ds:schemaRefs>
    <ds:schemaRef ds:uri="http://purl.org/dc/elements/1.1/"/>
    <ds:schemaRef ds:uri="http://www.w3.org/XML/1998/namespace"/>
    <ds:schemaRef ds:uri="http://purl.org/dc/dcmitype/"/>
    <ds:schemaRef ds:uri="http://purl.org/dc/terms/"/>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F05F5A62-34E0-48A2-A8EC-8047B3115FCF}">
  <ds:schemaRefs>
    <ds:schemaRef ds:uri="http://schemas.microsoft.com/sharepoint/v3/contenttype/forms"/>
  </ds:schemaRefs>
</ds:datastoreItem>
</file>

<file path=customXml/itemProps3.xml><?xml version="1.0" encoding="utf-8"?>
<ds:datastoreItem xmlns:ds="http://schemas.openxmlformats.org/officeDocument/2006/customXml" ds:itemID="{47BF8B5F-EA61-4B21-8A7F-4AD1A1EC9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5051073-AFEB-425C-A96B-0BFB81BF5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EC9B565-E204-4437-9F4B-3EAD39F1F7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Çështja Minerva Kotherja kundër Shqipërisë</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Minerva Kotherja kundër Shqipërisë</dc:title>
  <dc:creator>Entela Suli</dc:creator>
  <cp:lastModifiedBy>Valeta Kaftalli</cp:lastModifiedBy>
  <cp:revision>9</cp:revision>
  <dcterms:created xsi:type="dcterms:W3CDTF">2025-10-28T09:04:00Z</dcterms:created>
  <dcterms:modified xsi:type="dcterms:W3CDTF">2025-10-29T09:38:00Z</dcterms:modified>
</cp:coreProperties>
</file>