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BAB73" w14:textId="3E1BDE5F" w:rsidR="0048725C" w:rsidRPr="00A11DD7" w:rsidRDefault="0048725C" w:rsidP="0048725C">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A11DD7">
        <w:rPr>
          <w:rFonts w:ascii="Garamond" w:hAnsi="Garamond" w:cs="Times New Roman"/>
          <w:color w:val="000000"/>
          <w:sz w:val="24"/>
          <w:szCs w:val="24"/>
        </w:rPr>
        <w:t xml:space="preserve">GJYKATA EVROPIANE E TË DREJTAVE TË NJERIUT </w:t>
      </w:r>
    </w:p>
    <w:p w14:paraId="5F0DCAEE" w14:textId="64950B34" w:rsidR="0048725C" w:rsidRPr="00A11DD7" w:rsidRDefault="0048725C" w:rsidP="0048725C">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A11DD7">
        <w:rPr>
          <w:rFonts w:ascii="Garamond" w:hAnsi="Garamond" w:cs="Times New Roman"/>
          <w:color w:val="000000"/>
          <w:sz w:val="24"/>
          <w:szCs w:val="24"/>
        </w:rPr>
        <w:t>SEKSIONI I TRETË</w:t>
      </w:r>
    </w:p>
    <w:p w14:paraId="3C02C470" w14:textId="77777777" w:rsidR="0048725C" w:rsidRPr="00A11DD7" w:rsidRDefault="0048725C" w:rsidP="0048725C">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p>
    <w:p w14:paraId="2F2F08C5" w14:textId="3A4D2149" w:rsidR="0048725C" w:rsidRPr="00A11DD7" w:rsidRDefault="0048725C" w:rsidP="0048725C">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rPr>
      </w:pPr>
      <w:r w:rsidRPr="00A11DD7">
        <w:rPr>
          <w:rFonts w:ascii="Garamond" w:hAnsi="Garamond" w:cs="Times New Roman"/>
          <w:color w:val="000000"/>
          <w:sz w:val="24"/>
          <w:szCs w:val="24"/>
        </w:rPr>
        <w:t>VENDIM</w:t>
      </w:r>
    </w:p>
    <w:p w14:paraId="3A702E28" w14:textId="77777777" w:rsidR="0048725C" w:rsidRPr="00A11DD7" w:rsidRDefault="0048725C" w:rsidP="0048725C">
      <w:pPr>
        <w:autoSpaceDE w:val="0"/>
        <w:autoSpaceDN w:val="0"/>
        <w:adjustRightInd w:val="0"/>
        <w:spacing w:after="0" w:line="240" w:lineRule="auto"/>
        <w:ind w:firstLine="284"/>
        <w:jc w:val="center"/>
        <w:rPr>
          <w:rFonts w:ascii="Garamond" w:hAnsi="Garamond" w:cs="Times New Roman"/>
          <w:color w:val="000000"/>
          <w:sz w:val="24"/>
          <w:szCs w:val="24"/>
        </w:rPr>
      </w:pPr>
      <w:r w:rsidRPr="00A11DD7">
        <w:rPr>
          <w:rFonts w:ascii="Garamond" w:hAnsi="Garamond" w:cs="Times New Roman"/>
          <w:color w:val="000000"/>
          <w:sz w:val="24"/>
          <w:szCs w:val="24"/>
        </w:rPr>
        <w:t>Kërkesa nr. 57271/14</w:t>
      </w:r>
    </w:p>
    <w:p w14:paraId="7CA77E08" w14:textId="77777777" w:rsidR="0048725C" w:rsidRPr="00A11DD7" w:rsidRDefault="0048725C" w:rsidP="0048725C">
      <w:pPr>
        <w:autoSpaceDE w:val="0"/>
        <w:autoSpaceDN w:val="0"/>
        <w:adjustRightInd w:val="0"/>
        <w:spacing w:after="0" w:line="240" w:lineRule="auto"/>
        <w:ind w:firstLine="284"/>
        <w:jc w:val="center"/>
        <w:rPr>
          <w:rFonts w:ascii="Garamond" w:hAnsi="Garamond" w:cs="Times New Roman"/>
          <w:b/>
          <w:color w:val="000000"/>
          <w:sz w:val="24"/>
          <w:szCs w:val="24"/>
        </w:rPr>
      </w:pPr>
      <w:r w:rsidRPr="00A11DD7">
        <w:rPr>
          <w:rFonts w:ascii="Garamond" w:hAnsi="Garamond" w:cs="Times New Roman"/>
          <w:b/>
          <w:color w:val="000000"/>
          <w:sz w:val="24"/>
          <w:szCs w:val="24"/>
        </w:rPr>
        <w:t>Ndue MARKU</w:t>
      </w:r>
    </w:p>
    <w:p w14:paraId="409B0060" w14:textId="77777777" w:rsidR="0048725C" w:rsidRPr="00A11DD7" w:rsidRDefault="0048725C" w:rsidP="0048725C">
      <w:pPr>
        <w:autoSpaceDE w:val="0"/>
        <w:autoSpaceDN w:val="0"/>
        <w:adjustRightInd w:val="0"/>
        <w:spacing w:after="0" w:line="240" w:lineRule="auto"/>
        <w:ind w:firstLine="284"/>
        <w:jc w:val="center"/>
        <w:rPr>
          <w:rFonts w:ascii="Garamond" w:hAnsi="Garamond" w:cs="Times New Roman"/>
          <w:b/>
          <w:color w:val="000000"/>
          <w:sz w:val="24"/>
          <w:szCs w:val="24"/>
        </w:rPr>
      </w:pPr>
      <w:r w:rsidRPr="00A11DD7">
        <w:rPr>
          <w:rFonts w:ascii="Garamond" w:hAnsi="Garamond" w:cs="Times New Roman"/>
          <w:b/>
          <w:color w:val="000000"/>
          <w:sz w:val="24"/>
          <w:szCs w:val="24"/>
        </w:rPr>
        <w:t>kundër Shqipërisë</w:t>
      </w:r>
    </w:p>
    <w:p w14:paraId="156A4C4D" w14:textId="77777777" w:rsidR="0048725C" w:rsidRPr="00A11DD7" w:rsidRDefault="0048725C" w:rsidP="0048725C">
      <w:pPr>
        <w:autoSpaceDE w:val="0"/>
        <w:autoSpaceDN w:val="0"/>
        <w:adjustRightInd w:val="0"/>
        <w:spacing w:after="0" w:line="240" w:lineRule="auto"/>
        <w:ind w:firstLine="284"/>
        <w:jc w:val="center"/>
        <w:rPr>
          <w:rFonts w:ascii="Garamond" w:hAnsi="Garamond" w:cs="Times New Roman"/>
          <w:color w:val="000000"/>
          <w:sz w:val="24"/>
          <w:szCs w:val="24"/>
        </w:rPr>
      </w:pPr>
    </w:p>
    <w:p w14:paraId="29FDEF41" w14:textId="77777777" w:rsidR="0048725C" w:rsidRPr="00A11DD7" w:rsidRDefault="0048725C" w:rsidP="0048725C">
      <w:pPr>
        <w:autoSpaceDE w:val="0"/>
        <w:autoSpaceDN w:val="0"/>
        <w:adjustRightInd w:val="0"/>
        <w:spacing w:after="0" w:line="240" w:lineRule="auto"/>
        <w:ind w:firstLine="284"/>
        <w:jc w:val="center"/>
        <w:rPr>
          <w:rFonts w:ascii="Garamond" w:hAnsi="Garamond" w:cs="Times New Roman"/>
          <w:color w:val="000000"/>
          <w:sz w:val="24"/>
          <w:szCs w:val="24"/>
        </w:rPr>
      </w:pPr>
    </w:p>
    <w:p w14:paraId="0DD05CD2" w14:textId="3C7A158A"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Gjykata Evropiane e të Drejtave të Njeriut (Seksioni i Tretë), e mbledhur më 23 </w:t>
      </w:r>
      <w:r w:rsidR="00A11DD7" w:rsidRPr="00A11DD7">
        <w:rPr>
          <w:rFonts w:ascii="Garamond" w:hAnsi="Garamond" w:cs="Times New Roman"/>
          <w:color w:val="000000"/>
          <w:sz w:val="24"/>
          <w:szCs w:val="24"/>
        </w:rPr>
        <w:t>s</w:t>
      </w:r>
      <w:r w:rsidRPr="00A11DD7">
        <w:rPr>
          <w:rFonts w:ascii="Garamond" w:hAnsi="Garamond" w:cs="Times New Roman"/>
          <w:color w:val="000000"/>
          <w:sz w:val="24"/>
          <w:szCs w:val="24"/>
        </w:rPr>
        <w:t xml:space="preserve">htator 2025 si një Komitet i përbërë nga: </w:t>
      </w:r>
    </w:p>
    <w:p w14:paraId="0D858D5A" w14:textId="3B2548AF" w:rsidR="0048725C" w:rsidRPr="00A11DD7" w:rsidRDefault="0048725C" w:rsidP="0048725C">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11DD7">
        <w:rPr>
          <w:rFonts w:ascii="Garamond" w:hAnsi="Garamond" w:cs="Times New Roman"/>
          <w:color w:val="000000"/>
          <w:sz w:val="24"/>
          <w:szCs w:val="24"/>
        </w:rPr>
        <w:t xml:space="preserve"> Úna Ní Raifeartaigh,</w:t>
      </w:r>
      <w:r w:rsidRPr="00A11DD7">
        <w:rPr>
          <w:rFonts w:ascii="Garamond" w:hAnsi="Garamond" w:cs="Times New Roman"/>
          <w:i/>
          <w:iCs/>
          <w:color w:val="000000"/>
          <w:sz w:val="24"/>
          <w:szCs w:val="24"/>
        </w:rPr>
        <w:t xml:space="preserve"> </w:t>
      </w:r>
      <w:r w:rsidR="00A11DD7" w:rsidRPr="00A11DD7">
        <w:rPr>
          <w:rFonts w:ascii="Garamond" w:hAnsi="Garamond" w:cs="Times New Roman"/>
          <w:i/>
          <w:iCs/>
          <w:color w:val="000000"/>
          <w:sz w:val="24"/>
          <w:szCs w:val="24"/>
        </w:rPr>
        <w:t>k</w:t>
      </w:r>
      <w:r w:rsidRPr="00A11DD7">
        <w:rPr>
          <w:rFonts w:ascii="Garamond" w:hAnsi="Garamond" w:cs="Times New Roman"/>
          <w:i/>
          <w:iCs/>
          <w:color w:val="000000"/>
          <w:sz w:val="24"/>
          <w:szCs w:val="24"/>
        </w:rPr>
        <w:t>ryetare,</w:t>
      </w:r>
    </w:p>
    <w:p w14:paraId="578C7DDA" w14:textId="20622324" w:rsidR="0048725C" w:rsidRPr="00A11DD7" w:rsidRDefault="0048725C" w:rsidP="0048725C">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11DD7">
        <w:rPr>
          <w:rFonts w:ascii="Garamond" w:hAnsi="Garamond" w:cs="Times New Roman"/>
          <w:color w:val="000000"/>
          <w:sz w:val="24"/>
          <w:szCs w:val="24"/>
        </w:rPr>
        <w:t xml:space="preserve"> Darian Pavli,</w:t>
      </w:r>
    </w:p>
    <w:p w14:paraId="43C4EAF6" w14:textId="244D9C67" w:rsidR="0048725C" w:rsidRPr="00A11DD7" w:rsidRDefault="0048725C" w:rsidP="0048725C">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A11DD7">
        <w:rPr>
          <w:rFonts w:ascii="Garamond" w:hAnsi="Garamond" w:cs="Times New Roman"/>
          <w:i/>
          <w:iCs/>
          <w:color w:val="000000"/>
          <w:sz w:val="24"/>
          <w:szCs w:val="24"/>
        </w:rPr>
        <w:t xml:space="preserve"> </w:t>
      </w:r>
      <w:r w:rsidRPr="00A11DD7">
        <w:rPr>
          <w:rFonts w:ascii="Garamond" w:hAnsi="Garamond" w:cs="Times New Roman"/>
          <w:color w:val="000000"/>
          <w:sz w:val="24"/>
          <w:szCs w:val="24"/>
        </w:rPr>
        <w:t xml:space="preserve">Mateja Ðurović, </w:t>
      </w:r>
      <w:r w:rsidRPr="00A11DD7">
        <w:rPr>
          <w:rFonts w:ascii="Garamond" w:hAnsi="Garamond" w:cs="Times New Roman"/>
          <w:i/>
          <w:iCs/>
          <w:color w:val="000000"/>
          <w:sz w:val="24"/>
          <w:szCs w:val="24"/>
        </w:rPr>
        <w:t>gjyqtarë</w:t>
      </w:r>
    </w:p>
    <w:p w14:paraId="7476C63E" w14:textId="7D2AECE3" w:rsidR="0048725C" w:rsidRPr="00A11DD7" w:rsidRDefault="0048725C" w:rsidP="0048725C">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A11DD7">
        <w:rPr>
          <w:rFonts w:ascii="Garamond" w:hAnsi="Garamond" w:cs="Times New Roman"/>
          <w:color w:val="000000"/>
          <w:sz w:val="24"/>
          <w:szCs w:val="24"/>
        </w:rPr>
        <w:t xml:space="preserve">dhe Olga Chernishova, </w:t>
      </w:r>
      <w:r w:rsidR="00A11DD7">
        <w:rPr>
          <w:rFonts w:ascii="Garamond" w:hAnsi="Garamond" w:cs="Times New Roman"/>
          <w:i/>
          <w:iCs/>
          <w:color w:val="000000"/>
          <w:sz w:val="24"/>
          <w:szCs w:val="24"/>
        </w:rPr>
        <w:t>z</w:t>
      </w:r>
      <w:r w:rsidRPr="00A11DD7">
        <w:rPr>
          <w:rFonts w:ascii="Garamond" w:hAnsi="Garamond" w:cs="Times New Roman"/>
          <w:i/>
          <w:iCs/>
          <w:color w:val="000000"/>
          <w:sz w:val="24"/>
          <w:szCs w:val="24"/>
        </w:rPr>
        <w:t>ëvendëssekretare e Seksionit,</w:t>
      </w:r>
    </w:p>
    <w:p w14:paraId="0BA0216D" w14:textId="55F311CE"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i/>
          <w:iCs/>
          <w:color w:val="000000"/>
          <w:sz w:val="24"/>
          <w:szCs w:val="24"/>
        </w:rPr>
        <w:t xml:space="preserve"> </w:t>
      </w:r>
      <w:r w:rsidRPr="00A11DD7">
        <w:rPr>
          <w:rFonts w:ascii="Garamond" w:hAnsi="Garamond" w:cs="Times New Roman"/>
          <w:color w:val="000000"/>
          <w:sz w:val="24"/>
          <w:szCs w:val="24"/>
        </w:rPr>
        <w:t xml:space="preserve">Në lidhje me: </w:t>
      </w:r>
    </w:p>
    <w:p w14:paraId="192F1177" w14:textId="1EA0FE80"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 kërkesën (nr. 57271/14) kundër Republikës së Shqipërisë të depozituar në Gjykatë në mbështetje të </w:t>
      </w:r>
      <w:r w:rsidR="00A11DD7" w:rsidRPr="00A11DD7">
        <w:rPr>
          <w:rFonts w:ascii="Garamond" w:hAnsi="Garamond" w:cs="Times New Roman"/>
          <w:color w:val="000000"/>
          <w:sz w:val="24"/>
          <w:szCs w:val="24"/>
        </w:rPr>
        <w:t>n</w:t>
      </w:r>
      <w:r w:rsidRPr="00A11DD7">
        <w:rPr>
          <w:rFonts w:ascii="Garamond" w:hAnsi="Garamond" w:cs="Times New Roman"/>
          <w:color w:val="000000"/>
          <w:sz w:val="24"/>
          <w:szCs w:val="24"/>
        </w:rPr>
        <w:t xml:space="preserve">enit 34 të Konventës për Mbrojtjen e të Drejtave të Njeriut dhe Lirive Themelore (Konventa) më 8 </w:t>
      </w:r>
      <w:r w:rsidR="00A11DD7" w:rsidRPr="00A11DD7">
        <w:rPr>
          <w:rFonts w:ascii="Garamond" w:hAnsi="Garamond" w:cs="Times New Roman"/>
          <w:color w:val="000000"/>
          <w:sz w:val="24"/>
          <w:szCs w:val="24"/>
        </w:rPr>
        <w:t>g</w:t>
      </w:r>
      <w:r w:rsidRPr="00A11DD7">
        <w:rPr>
          <w:rFonts w:ascii="Garamond" w:hAnsi="Garamond" w:cs="Times New Roman"/>
          <w:color w:val="000000"/>
          <w:sz w:val="24"/>
          <w:szCs w:val="24"/>
        </w:rPr>
        <w:t xml:space="preserve">usht 2014 nga një shtetas shqiptar, </w:t>
      </w:r>
      <w:r w:rsidR="00A11DD7" w:rsidRPr="00A11DD7">
        <w:rPr>
          <w:rFonts w:ascii="Garamond" w:hAnsi="Garamond" w:cs="Times New Roman"/>
          <w:color w:val="000000"/>
          <w:sz w:val="24"/>
          <w:szCs w:val="24"/>
        </w:rPr>
        <w:t>z</w:t>
      </w:r>
      <w:r w:rsidRPr="00A11DD7">
        <w:rPr>
          <w:rFonts w:ascii="Garamond" w:hAnsi="Garamond" w:cs="Times New Roman"/>
          <w:color w:val="000000"/>
          <w:sz w:val="24"/>
          <w:szCs w:val="24"/>
        </w:rPr>
        <w:t xml:space="preserve">. Ndue Marku (kërkuesi), i cili ka lindur në vitin 1966, banon në Tiranë dhe u përfaqësua nga </w:t>
      </w:r>
      <w:r w:rsidR="00A11DD7" w:rsidRPr="00A11DD7">
        <w:rPr>
          <w:rFonts w:ascii="Garamond" w:hAnsi="Garamond" w:cs="Times New Roman"/>
          <w:color w:val="000000"/>
          <w:sz w:val="24"/>
          <w:szCs w:val="24"/>
        </w:rPr>
        <w:t>z</w:t>
      </w:r>
      <w:r w:rsidRPr="00A11DD7">
        <w:rPr>
          <w:rFonts w:ascii="Garamond" w:hAnsi="Garamond" w:cs="Times New Roman"/>
          <w:color w:val="000000"/>
          <w:sz w:val="24"/>
          <w:szCs w:val="24"/>
        </w:rPr>
        <w:t>. M. Gjoci, një avokat i cili e ushtron profesionin në Tiranë;</w:t>
      </w:r>
    </w:p>
    <w:p w14:paraId="3DBDC4EB" w14:textId="2AE3D495"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 vendimin për të njoftuar mbi ankesën, e bërë në mbështetje të </w:t>
      </w:r>
      <w:r w:rsidR="00A11DD7" w:rsidRPr="00A11DD7">
        <w:rPr>
          <w:rFonts w:ascii="Garamond" w:hAnsi="Garamond" w:cs="Times New Roman"/>
          <w:color w:val="000000"/>
          <w:sz w:val="24"/>
          <w:szCs w:val="24"/>
        </w:rPr>
        <w:t>n</w:t>
      </w:r>
      <w:r w:rsidRPr="00A11DD7">
        <w:rPr>
          <w:rFonts w:ascii="Garamond" w:hAnsi="Garamond" w:cs="Times New Roman"/>
          <w:color w:val="000000"/>
          <w:sz w:val="24"/>
          <w:szCs w:val="24"/>
        </w:rPr>
        <w:t xml:space="preserve">enit 7 të Konventës, </w:t>
      </w:r>
      <w:r w:rsidR="00A11DD7" w:rsidRPr="00A11DD7">
        <w:rPr>
          <w:rFonts w:ascii="Garamond" w:hAnsi="Garamond" w:cs="Times New Roman"/>
          <w:color w:val="000000"/>
          <w:sz w:val="24"/>
          <w:szCs w:val="24"/>
        </w:rPr>
        <w:t>q</w:t>
      </w:r>
      <w:r w:rsidRPr="00A11DD7">
        <w:rPr>
          <w:rFonts w:ascii="Garamond" w:hAnsi="Garamond" w:cs="Times New Roman"/>
          <w:color w:val="000000"/>
          <w:sz w:val="24"/>
          <w:szCs w:val="24"/>
        </w:rPr>
        <w:t>everinë shqiptare (</w:t>
      </w:r>
      <w:r w:rsidR="00A11DD7">
        <w:rPr>
          <w:rFonts w:ascii="Garamond" w:hAnsi="Garamond" w:cs="Times New Roman"/>
          <w:color w:val="000000"/>
          <w:sz w:val="24"/>
          <w:szCs w:val="24"/>
        </w:rPr>
        <w:t>q</w:t>
      </w:r>
      <w:r w:rsidRPr="00A11DD7">
        <w:rPr>
          <w:rFonts w:ascii="Garamond" w:hAnsi="Garamond" w:cs="Times New Roman"/>
          <w:color w:val="000000"/>
          <w:sz w:val="24"/>
          <w:szCs w:val="24"/>
        </w:rPr>
        <w:t xml:space="preserve">everia), përfaqësuar nga Agjenti i saj </w:t>
      </w:r>
      <w:r w:rsidR="00A11DD7" w:rsidRPr="00A11DD7">
        <w:rPr>
          <w:rFonts w:ascii="Garamond" w:hAnsi="Garamond" w:cs="Times New Roman"/>
          <w:color w:val="000000"/>
          <w:sz w:val="24"/>
          <w:szCs w:val="24"/>
        </w:rPr>
        <w:t>z</w:t>
      </w:r>
      <w:r w:rsidRPr="00A11DD7">
        <w:rPr>
          <w:rFonts w:ascii="Garamond" w:hAnsi="Garamond" w:cs="Times New Roman"/>
          <w:color w:val="000000"/>
          <w:sz w:val="24"/>
          <w:szCs w:val="24"/>
        </w:rPr>
        <w:t xml:space="preserve">. O. Moçka, Avokat i Përgjithshëm i Shtetit, dhe për të shpallur të papranueshme pjesën tjetër të kërkesës; </w:t>
      </w:r>
    </w:p>
    <w:p w14:paraId="3438382C" w14:textId="7A70CFF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 vërejtjet e palëve; </w:t>
      </w:r>
    </w:p>
    <w:p w14:paraId="6BCFD0CA" w14:textId="446449E2"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 Pasi diskutoi, vendos si më poshtë: </w:t>
      </w:r>
    </w:p>
    <w:p w14:paraId="26FC4273" w14:textId="7777777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LËNDA E ÇËSHTJES</w:t>
      </w:r>
    </w:p>
    <w:p w14:paraId="01C0A02C" w14:textId="2CB5CF75"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1. Kërkuesi, i cili në atë periudhë ishte jurist në Ministrinë e Mbrojtjes, u dënua për shpërdorim të detyrës</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 në lidhje me shpërthimin në vitin 2008 në fabrikën e Gërdecit (shih </w:t>
      </w:r>
      <w:r w:rsidRPr="00A11DD7">
        <w:rPr>
          <w:rFonts w:ascii="Garamond" w:hAnsi="Garamond" w:cs="Times New Roman"/>
          <w:i/>
          <w:iCs/>
          <w:color w:val="000000"/>
          <w:sz w:val="24"/>
          <w:szCs w:val="24"/>
        </w:rPr>
        <w:t xml:space="preserve">Durdaj dhe të tjerë kundër Shqipërisë, </w:t>
      </w:r>
      <w:r w:rsidRPr="00A11DD7">
        <w:rPr>
          <w:rFonts w:ascii="Garamond" w:hAnsi="Garamond" w:cs="Times New Roman"/>
          <w:color w:val="000000"/>
          <w:sz w:val="24"/>
          <w:szCs w:val="24"/>
        </w:rPr>
        <w:t>nr. 63543/09 dhe 3 të tjerë, §§ 5</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13, 7 </w:t>
      </w:r>
      <w:r w:rsidR="00A11DD7">
        <w:rPr>
          <w:rFonts w:ascii="Garamond" w:hAnsi="Garamond" w:cs="Times New Roman"/>
          <w:color w:val="000000"/>
          <w:sz w:val="24"/>
          <w:szCs w:val="24"/>
        </w:rPr>
        <w:t>n</w:t>
      </w:r>
      <w:r w:rsidRPr="00A11DD7">
        <w:rPr>
          <w:rFonts w:ascii="Garamond" w:hAnsi="Garamond" w:cs="Times New Roman"/>
          <w:color w:val="000000"/>
          <w:sz w:val="24"/>
          <w:szCs w:val="24"/>
        </w:rPr>
        <w:t>ëntor 2023). Çështja ka të bëjë me parashikueshmërinë e dënimit të tij.</w:t>
      </w:r>
    </w:p>
    <w:p w14:paraId="42E2D396" w14:textId="73115A5E"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t xml:space="preserve">A. Konteksti </w:t>
      </w:r>
    </w:p>
    <w:p w14:paraId="1DA46DC7" w14:textId="3CD4E78E"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2. Në </w:t>
      </w:r>
      <w:r w:rsidR="00A11DD7" w:rsidRPr="00A11DD7">
        <w:rPr>
          <w:rFonts w:ascii="Garamond" w:hAnsi="Garamond" w:cs="Times New Roman"/>
          <w:color w:val="000000"/>
          <w:sz w:val="24"/>
          <w:szCs w:val="24"/>
        </w:rPr>
        <w:t>d</w:t>
      </w:r>
      <w:r w:rsidRPr="00A11DD7">
        <w:rPr>
          <w:rFonts w:ascii="Garamond" w:hAnsi="Garamond" w:cs="Times New Roman"/>
          <w:color w:val="000000"/>
          <w:sz w:val="24"/>
          <w:szCs w:val="24"/>
        </w:rPr>
        <w:t>hjetor 2006, një kompani amerikane, Southern Ammunition Company (SAC) shprehu interesin për të blerë dhe demontuar municionet e vjetra në Shqipëri. SAC</w:t>
      </w:r>
      <w:r w:rsidR="00A11DD7">
        <w:rPr>
          <w:rFonts w:ascii="Garamond" w:hAnsi="Garamond" w:cs="Times New Roman"/>
          <w:color w:val="000000"/>
          <w:sz w:val="24"/>
          <w:szCs w:val="24"/>
        </w:rPr>
        <w:t>-i</w:t>
      </w:r>
      <w:r w:rsidRPr="00A11DD7">
        <w:rPr>
          <w:rFonts w:ascii="Garamond" w:hAnsi="Garamond" w:cs="Times New Roman"/>
          <w:color w:val="000000"/>
          <w:sz w:val="24"/>
          <w:szCs w:val="24"/>
        </w:rPr>
        <w:t xml:space="preserve"> paraqiti një ofertë për ndërmarrjen Military Export-Import Company (MEICO), një ndërmarrje shtetërore nën kujdesin e Ministrisë së Mbrojtjes.</w:t>
      </w:r>
    </w:p>
    <w:p w14:paraId="48141A46" w14:textId="53C7DDB2"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3. Kërkuesi, si drejtor në departamentin juridik të Ministrisë së Mbrojtjes, ishte pjesë e grupit të punës që kishte hartuar rregulloren për shitjen e municioneve me qëllim demontimin e tyre. Më 14 </w:t>
      </w:r>
      <w:r w:rsidR="00A11DD7">
        <w:rPr>
          <w:rFonts w:ascii="Garamond" w:hAnsi="Garamond" w:cs="Times New Roman"/>
          <w:color w:val="000000"/>
          <w:sz w:val="24"/>
          <w:szCs w:val="24"/>
        </w:rPr>
        <w:t>m</w:t>
      </w:r>
      <w:r w:rsidRPr="00A11DD7">
        <w:rPr>
          <w:rFonts w:ascii="Garamond" w:hAnsi="Garamond" w:cs="Times New Roman"/>
          <w:color w:val="000000"/>
          <w:sz w:val="24"/>
          <w:szCs w:val="24"/>
        </w:rPr>
        <w:t xml:space="preserve">ars 2007, Këshilli i Ministrave miratoi </w:t>
      </w:r>
      <w:r w:rsidR="00A11DD7">
        <w:rPr>
          <w:rFonts w:ascii="Garamond" w:hAnsi="Garamond" w:cs="Times New Roman"/>
          <w:color w:val="000000"/>
          <w:sz w:val="24"/>
          <w:szCs w:val="24"/>
        </w:rPr>
        <w:t>v</w:t>
      </w:r>
      <w:r w:rsidRPr="00A11DD7">
        <w:rPr>
          <w:rFonts w:ascii="Garamond" w:hAnsi="Garamond" w:cs="Times New Roman"/>
          <w:color w:val="000000"/>
          <w:sz w:val="24"/>
          <w:szCs w:val="24"/>
        </w:rPr>
        <w:t>endimin nr. 138</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 “Për procedurën e trajtimit të armëve, teknikës dhe pajisjeve të forcave të armatosura, të hequra nga armatimi dhe përdorimi” (</w:t>
      </w:r>
      <w:r w:rsidR="00A11DD7">
        <w:rPr>
          <w:rFonts w:ascii="Garamond" w:hAnsi="Garamond" w:cs="Times New Roman"/>
          <w:color w:val="000000"/>
          <w:sz w:val="24"/>
          <w:szCs w:val="24"/>
        </w:rPr>
        <w:t>v</w:t>
      </w:r>
      <w:r w:rsidRPr="00A11DD7">
        <w:rPr>
          <w:rFonts w:ascii="Garamond" w:hAnsi="Garamond" w:cs="Times New Roman"/>
          <w:color w:val="000000"/>
          <w:sz w:val="24"/>
          <w:szCs w:val="24"/>
        </w:rPr>
        <w:t>endimi nr. 138).</w:t>
      </w:r>
    </w:p>
    <w:p w14:paraId="4640C4FF" w14:textId="11C85EC5"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4. Vendimi nr. 138 rregullonte shitjen e municionit të kalibrit të vogël</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 me qëllim demontimin e tij (shih paragrafin 49 në vijim). MEICO-s iu besua drejtimi i procedurës së shitjes në raste të tilla, duke pasur në konsideratë eksperiencën e blerësit në demontimin dhe çmontimin e municioneve.</w:t>
      </w:r>
    </w:p>
    <w:p w14:paraId="4917F148" w14:textId="359267D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t>B. Kontrata e parë</w:t>
      </w:r>
    </w:p>
    <w:p w14:paraId="55836EFF" w14:textId="2F5C7BD1"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5. Më 25 </w:t>
      </w:r>
      <w:r w:rsidR="00A11DD7">
        <w:rPr>
          <w:rFonts w:ascii="Garamond" w:hAnsi="Garamond" w:cs="Times New Roman"/>
          <w:color w:val="000000"/>
          <w:sz w:val="24"/>
          <w:szCs w:val="24"/>
        </w:rPr>
        <w:t>p</w:t>
      </w:r>
      <w:r w:rsidRPr="00A11DD7">
        <w:rPr>
          <w:rFonts w:ascii="Garamond" w:hAnsi="Garamond" w:cs="Times New Roman"/>
          <w:color w:val="000000"/>
          <w:sz w:val="24"/>
          <w:szCs w:val="24"/>
        </w:rPr>
        <w:t>rill 2007, Ministri i Mbrojtjes lëshoi një urdhër ku e emëronte SAC</w:t>
      </w:r>
      <w:r w:rsidR="00A11DD7">
        <w:rPr>
          <w:rFonts w:ascii="Garamond" w:hAnsi="Garamond" w:cs="Times New Roman"/>
          <w:color w:val="000000"/>
          <w:sz w:val="24"/>
          <w:szCs w:val="24"/>
        </w:rPr>
        <w:t>-in</w:t>
      </w:r>
      <w:r w:rsidRPr="00A11DD7">
        <w:rPr>
          <w:rFonts w:ascii="Garamond" w:hAnsi="Garamond" w:cs="Times New Roman"/>
          <w:color w:val="000000"/>
          <w:sz w:val="24"/>
          <w:szCs w:val="24"/>
        </w:rPr>
        <w:t xml:space="preserve"> si kontraktorin për procesin e demontimit. </w:t>
      </w:r>
    </w:p>
    <w:p w14:paraId="2E461038" w14:textId="681CD20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6. Më 6 </w:t>
      </w:r>
      <w:r w:rsidR="00A11DD7">
        <w:rPr>
          <w:rFonts w:ascii="Garamond" w:hAnsi="Garamond" w:cs="Times New Roman"/>
          <w:color w:val="000000"/>
          <w:sz w:val="24"/>
          <w:szCs w:val="24"/>
        </w:rPr>
        <w:t>q</w:t>
      </w:r>
      <w:r w:rsidRPr="00A11DD7">
        <w:rPr>
          <w:rFonts w:ascii="Garamond" w:hAnsi="Garamond" w:cs="Times New Roman"/>
          <w:color w:val="000000"/>
          <w:sz w:val="24"/>
          <w:szCs w:val="24"/>
        </w:rPr>
        <w:t>ershor 2007, MEICO dhe SAC</w:t>
      </w:r>
      <w:r w:rsidR="00A11DD7">
        <w:rPr>
          <w:rFonts w:ascii="Garamond" w:hAnsi="Garamond" w:cs="Times New Roman"/>
          <w:color w:val="000000"/>
          <w:sz w:val="24"/>
          <w:szCs w:val="24"/>
        </w:rPr>
        <w:t>-i</w:t>
      </w:r>
      <w:r w:rsidRPr="00A11DD7">
        <w:rPr>
          <w:rFonts w:ascii="Garamond" w:hAnsi="Garamond" w:cs="Times New Roman"/>
          <w:color w:val="000000"/>
          <w:sz w:val="24"/>
          <w:szCs w:val="24"/>
        </w:rPr>
        <w:t xml:space="preserve"> nënshkruan kontratën e tyre të parë që kishte të bënte me municione të kalibrit nga 7.62 deri në 14.5 mm. </w:t>
      </w:r>
    </w:p>
    <w:p w14:paraId="145F7A74" w14:textId="2A5EFD12"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lastRenderedPageBreak/>
        <w:t>C. Kontrata e dytë dhe zhvillimet e mëpasshme</w:t>
      </w:r>
    </w:p>
    <w:p w14:paraId="6E080C44" w14:textId="1D86D240"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7. Më 1 </w:t>
      </w:r>
      <w:r w:rsidR="00A11DD7">
        <w:rPr>
          <w:rFonts w:ascii="Garamond" w:hAnsi="Garamond" w:cs="Times New Roman"/>
          <w:color w:val="000000"/>
          <w:sz w:val="24"/>
          <w:szCs w:val="24"/>
        </w:rPr>
        <w:t>s</w:t>
      </w:r>
      <w:r w:rsidRPr="00A11DD7">
        <w:rPr>
          <w:rFonts w:ascii="Garamond" w:hAnsi="Garamond" w:cs="Times New Roman"/>
          <w:color w:val="000000"/>
          <w:sz w:val="24"/>
          <w:szCs w:val="24"/>
        </w:rPr>
        <w:t>htator 2007, SAC</w:t>
      </w:r>
      <w:r w:rsidR="00A11DD7">
        <w:rPr>
          <w:rFonts w:ascii="Garamond" w:hAnsi="Garamond" w:cs="Times New Roman"/>
          <w:color w:val="000000"/>
          <w:sz w:val="24"/>
          <w:szCs w:val="24"/>
        </w:rPr>
        <w:t>-i</w:t>
      </w:r>
      <w:r w:rsidRPr="00A11DD7">
        <w:rPr>
          <w:rFonts w:ascii="Garamond" w:hAnsi="Garamond" w:cs="Times New Roman"/>
          <w:color w:val="000000"/>
          <w:sz w:val="24"/>
          <w:szCs w:val="24"/>
        </w:rPr>
        <w:t xml:space="preserve"> paraqiti një ofertë të dytë pranë Ministrisë së Mbrojtjes për të lidhur një kontratë për municionet e kalibrit nga 20 deri në 152 mm. </w:t>
      </w:r>
    </w:p>
    <w:p w14:paraId="45CB85CA" w14:textId="0C22989C"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8. Më 22 </w:t>
      </w:r>
      <w:r w:rsidR="00A11DD7">
        <w:rPr>
          <w:rFonts w:ascii="Garamond" w:hAnsi="Garamond" w:cs="Times New Roman"/>
          <w:color w:val="000000"/>
          <w:sz w:val="24"/>
          <w:szCs w:val="24"/>
        </w:rPr>
        <w:t>n</w:t>
      </w:r>
      <w:r w:rsidRPr="00A11DD7">
        <w:rPr>
          <w:rFonts w:ascii="Garamond" w:hAnsi="Garamond" w:cs="Times New Roman"/>
          <w:color w:val="000000"/>
          <w:sz w:val="24"/>
          <w:szCs w:val="24"/>
        </w:rPr>
        <w:t xml:space="preserve">ëntor 2007, Kolonel. D. Ç., </w:t>
      </w:r>
      <w:r w:rsidR="00A11DD7">
        <w:rPr>
          <w:rFonts w:ascii="Garamond" w:hAnsi="Garamond" w:cs="Times New Roman"/>
          <w:color w:val="000000"/>
          <w:sz w:val="24"/>
          <w:szCs w:val="24"/>
        </w:rPr>
        <w:t>d</w:t>
      </w:r>
      <w:r w:rsidRPr="00A11DD7">
        <w:rPr>
          <w:rFonts w:ascii="Garamond" w:hAnsi="Garamond" w:cs="Times New Roman"/>
          <w:color w:val="000000"/>
          <w:sz w:val="24"/>
          <w:szCs w:val="24"/>
        </w:rPr>
        <w:t>rejtor i Departamentit të Logjistikës Ushtarake në Ministrinë e Mbrojtjes, përgatiti një projekt</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urdhër për t’u nënshkruar nga </w:t>
      </w:r>
      <w:r w:rsidR="00A11DD7">
        <w:rPr>
          <w:rFonts w:ascii="Garamond" w:hAnsi="Garamond" w:cs="Times New Roman"/>
          <w:color w:val="000000"/>
          <w:sz w:val="24"/>
          <w:szCs w:val="24"/>
        </w:rPr>
        <w:t>m</w:t>
      </w:r>
      <w:r w:rsidRPr="00A11DD7">
        <w:rPr>
          <w:rFonts w:ascii="Garamond" w:hAnsi="Garamond" w:cs="Times New Roman"/>
          <w:color w:val="000000"/>
          <w:sz w:val="24"/>
          <w:szCs w:val="24"/>
        </w:rPr>
        <w:t>inistri i Mbrojtjes. Sipas projekt</w:t>
      </w:r>
      <w:r w:rsidR="00A11DD7">
        <w:rPr>
          <w:rFonts w:ascii="Garamond" w:hAnsi="Garamond" w:cs="Times New Roman"/>
          <w:color w:val="000000"/>
          <w:sz w:val="24"/>
          <w:szCs w:val="24"/>
        </w:rPr>
        <w:t>-</w:t>
      </w:r>
      <w:r w:rsidRPr="00A11DD7">
        <w:rPr>
          <w:rFonts w:ascii="Garamond" w:hAnsi="Garamond" w:cs="Times New Roman"/>
          <w:color w:val="000000"/>
          <w:sz w:val="24"/>
          <w:szCs w:val="24"/>
        </w:rPr>
        <w:t>urdhrit, municionet e kalibrit nga 20 deri në 152 mm do t’i shiteshin SAC</w:t>
      </w:r>
      <w:r w:rsidR="00A11DD7">
        <w:rPr>
          <w:rFonts w:ascii="Garamond" w:hAnsi="Garamond" w:cs="Times New Roman"/>
          <w:color w:val="000000"/>
          <w:sz w:val="24"/>
          <w:szCs w:val="24"/>
        </w:rPr>
        <w:t>-it</w:t>
      </w:r>
      <w:r w:rsidRPr="00A11DD7">
        <w:rPr>
          <w:rFonts w:ascii="Garamond" w:hAnsi="Garamond" w:cs="Times New Roman"/>
          <w:color w:val="000000"/>
          <w:sz w:val="24"/>
          <w:szCs w:val="24"/>
        </w:rPr>
        <w:t xml:space="preserve"> me qëllim demontimin e tyre. </w:t>
      </w:r>
    </w:p>
    <w:p w14:paraId="2BD85E3E" w14:textId="7986C3A9"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9. Projekt</w:t>
      </w:r>
      <w:r w:rsidR="00A11DD7">
        <w:rPr>
          <w:rFonts w:ascii="Garamond" w:hAnsi="Garamond" w:cs="Times New Roman"/>
          <w:color w:val="000000"/>
          <w:sz w:val="24"/>
          <w:szCs w:val="24"/>
        </w:rPr>
        <w:t>-</w:t>
      </w:r>
      <w:r w:rsidRPr="00A11DD7">
        <w:rPr>
          <w:rFonts w:ascii="Garamond" w:hAnsi="Garamond" w:cs="Times New Roman"/>
          <w:color w:val="000000"/>
          <w:sz w:val="24"/>
          <w:szCs w:val="24"/>
        </w:rPr>
        <w:t>urdhri më pas u miratua nga L.</w:t>
      </w:r>
      <w:r w:rsidR="00A11DD7">
        <w:rPr>
          <w:rFonts w:ascii="Garamond" w:hAnsi="Garamond" w:cs="Times New Roman"/>
          <w:color w:val="000000"/>
          <w:sz w:val="24"/>
          <w:szCs w:val="24"/>
        </w:rPr>
        <w:t xml:space="preserve"> </w:t>
      </w:r>
      <w:r w:rsidRPr="00A11DD7">
        <w:rPr>
          <w:rFonts w:ascii="Garamond" w:hAnsi="Garamond" w:cs="Times New Roman"/>
          <w:color w:val="000000"/>
          <w:sz w:val="24"/>
          <w:szCs w:val="24"/>
        </w:rPr>
        <w:t xml:space="preserve">H., </w:t>
      </w:r>
      <w:r w:rsidR="00A11DD7" w:rsidRPr="00A11DD7">
        <w:rPr>
          <w:rFonts w:ascii="Garamond" w:hAnsi="Garamond" w:cs="Times New Roman"/>
          <w:color w:val="000000"/>
          <w:sz w:val="24"/>
          <w:szCs w:val="24"/>
        </w:rPr>
        <w:t xml:space="preserve">shefi </w:t>
      </w:r>
      <w:r w:rsidRPr="00A11DD7">
        <w:rPr>
          <w:rFonts w:ascii="Garamond" w:hAnsi="Garamond" w:cs="Times New Roman"/>
          <w:color w:val="000000"/>
          <w:sz w:val="24"/>
          <w:szCs w:val="24"/>
        </w:rPr>
        <w:t xml:space="preserve">i Shtabit të Përgjithshëm të </w:t>
      </w:r>
      <w:r w:rsidR="00A11DD7" w:rsidRPr="00A11DD7">
        <w:rPr>
          <w:rFonts w:ascii="Garamond" w:hAnsi="Garamond" w:cs="Times New Roman"/>
          <w:color w:val="000000"/>
          <w:sz w:val="24"/>
          <w:szCs w:val="24"/>
        </w:rPr>
        <w:t xml:space="preserve">Forcave </w:t>
      </w:r>
      <w:r w:rsidRPr="00A11DD7">
        <w:rPr>
          <w:rFonts w:ascii="Garamond" w:hAnsi="Garamond" w:cs="Times New Roman"/>
          <w:color w:val="000000"/>
          <w:sz w:val="24"/>
          <w:szCs w:val="24"/>
        </w:rPr>
        <w:t xml:space="preserve">të </w:t>
      </w:r>
      <w:r w:rsidR="00A11DD7" w:rsidRPr="00A11DD7">
        <w:rPr>
          <w:rFonts w:ascii="Garamond" w:hAnsi="Garamond" w:cs="Times New Roman"/>
          <w:color w:val="000000"/>
          <w:sz w:val="24"/>
          <w:szCs w:val="24"/>
        </w:rPr>
        <w:t>Armatosura</w:t>
      </w:r>
      <w:r w:rsidRPr="00A11DD7">
        <w:rPr>
          <w:rFonts w:ascii="Garamond" w:hAnsi="Garamond" w:cs="Times New Roman"/>
          <w:color w:val="000000"/>
          <w:sz w:val="24"/>
          <w:szCs w:val="24"/>
        </w:rPr>
        <w:t xml:space="preserve">. </w:t>
      </w:r>
    </w:p>
    <w:p w14:paraId="26A42B6B" w14:textId="26455F8E"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10. Më 22 </w:t>
      </w:r>
      <w:r w:rsidR="00A11DD7" w:rsidRPr="00A11DD7">
        <w:rPr>
          <w:rFonts w:ascii="Garamond" w:hAnsi="Garamond" w:cs="Times New Roman"/>
          <w:color w:val="000000"/>
          <w:sz w:val="24"/>
          <w:szCs w:val="24"/>
        </w:rPr>
        <w:t xml:space="preserve">nëntor </w:t>
      </w:r>
      <w:r w:rsidRPr="00A11DD7">
        <w:rPr>
          <w:rFonts w:ascii="Garamond" w:hAnsi="Garamond" w:cs="Times New Roman"/>
          <w:color w:val="000000"/>
          <w:sz w:val="24"/>
          <w:szCs w:val="24"/>
        </w:rPr>
        <w:t>2007, kërkuesi, juristi i Ministrisë së Mbrojtjes, e rishikoi projekt</w:t>
      </w:r>
      <w:r w:rsidR="00A11DD7">
        <w:rPr>
          <w:rFonts w:ascii="Garamond" w:hAnsi="Garamond" w:cs="Times New Roman"/>
          <w:color w:val="000000"/>
          <w:sz w:val="24"/>
          <w:szCs w:val="24"/>
        </w:rPr>
        <w:t>-</w:t>
      </w:r>
      <w:r w:rsidRPr="00A11DD7">
        <w:rPr>
          <w:rFonts w:ascii="Garamond" w:hAnsi="Garamond" w:cs="Times New Roman"/>
          <w:color w:val="000000"/>
          <w:sz w:val="24"/>
          <w:szCs w:val="24"/>
        </w:rPr>
        <w:t>urdhrin. Pasi ai nuk identifikoi asnjë problematikë juridike, kërkuesi vendosi inicialet e tij që tregonin se ai kishte kontrolluar pajtueshmërinë ligjore të dokumentit.</w:t>
      </w:r>
    </w:p>
    <w:p w14:paraId="032278DF" w14:textId="22ACF28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11. Më 7 </w:t>
      </w:r>
      <w:r w:rsidR="00A11DD7">
        <w:rPr>
          <w:rFonts w:ascii="Garamond" w:hAnsi="Garamond" w:cs="Times New Roman"/>
          <w:color w:val="000000"/>
          <w:sz w:val="24"/>
          <w:szCs w:val="24"/>
        </w:rPr>
        <w:t>d</w:t>
      </w:r>
      <w:r w:rsidRPr="00A11DD7">
        <w:rPr>
          <w:rFonts w:ascii="Garamond" w:hAnsi="Garamond" w:cs="Times New Roman"/>
          <w:color w:val="000000"/>
          <w:sz w:val="24"/>
          <w:szCs w:val="24"/>
        </w:rPr>
        <w:t xml:space="preserve">hjetor 2007, </w:t>
      </w:r>
      <w:r w:rsidR="00A11DD7">
        <w:rPr>
          <w:rFonts w:ascii="Garamond" w:hAnsi="Garamond" w:cs="Times New Roman"/>
          <w:color w:val="000000"/>
          <w:sz w:val="24"/>
          <w:szCs w:val="24"/>
        </w:rPr>
        <w:t>m</w:t>
      </w:r>
      <w:r w:rsidRPr="00A11DD7">
        <w:rPr>
          <w:rFonts w:ascii="Garamond" w:hAnsi="Garamond" w:cs="Times New Roman"/>
          <w:color w:val="000000"/>
          <w:sz w:val="24"/>
          <w:szCs w:val="24"/>
        </w:rPr>
        <w:t xml:space="preserve">inistri i Mbrojtjes nënshkroi projekt-urdhrin, që u bë </w:t>
      </w:r>
      <w:r w:rsidR="00A11DD7">
        <w:rPr>
          <w:rFonts w:ascii="Garamond" w:hAnsi="Garamond" w:cs="Times New Roman"/>
          <w:color w:val="000000"/>
          <w:sz w:val="24"/>
          <w:szCs w:val="24"/>
        </w:rPr>
        <w:t>u</w:t>
      </w:r>
      <w:r w:rsidRPr="00A11DD7">
        <w:rPr>
          <w:rFonts w:ascii="Garamond" w:hAnsi="Garamond" w:cs="Times New Roman"/>
          <w:color w:val="000000"/>
          <w:sz w:val="24"/>
          <w:szCs w:val="24"/>
        </w:rPr>
        <w:t xml:space="preserve">rdhri nr. 2044. Më 28 </w:t>
      </w:r>
      <w:r w:rsidR="00A11DD7">
        <w:rPr>
          <w:rFonts w:ascii="Garamond" w:hAnsi="Garamond" w:cs="Times New Roman"/>
          <w:color w:val="000000"/>
          <w:sz w:val="24"/>
          <w:szCs w:val="24"/>
        </w:rPr>
        <w:t>d</w:t>
      </w:r>
      <w:r w:rsidRPr="00A11DD7">
        <w:rPr>
          <w:rFonts w:ascii="Garamond" w:hAnsi="Garamond" w:cs="Times New Roman"/>
          <w:color w:val="000000"/>
          <w:sz w:val="24"/>
          <w:szCs w:val="24"/>
        </w:rPr>
        <w:t>hjetor 2007, MEICO nënshkroi një kontratë të dytë me SAC</w:t>
      </w:r>
      <w:r w:rsidR="00A11DD7">
        <w:rPr>
          <w:rFonts w:ascii="Garamond" w:hAnsi="Garamond" w:cs="Times New Roman"/>
          <w:color w:val="000000"/>
          <w:sz w:val="24"/>
          <w:szCs w:val="24"/>
        </w:rPr>
        <w:t>-in</w:t>
      </w:r>
      <w:r w:rsidRPr="00A11DD7">
        <w:rPr>
          <w:rFonts w:ascii="Garamond" w:hAnsi="Garamond" w:cs="Times New Roman"/>
          <w:color w:val="000000"/>
          <w:sz w:val="24"/>
          <w:szCs w:val="24"/>
        </w:rPr>
        <w:t xml:space="preserve">. </w:t>
      </w:r>
    </w:p>
    <w:p w14:paraId="5C83C40C" w14:textId="54591BA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12. Më 15 </w:t>
      </w:r>
      <w:r w:rsidR="00A11DD7">
        <w:rPr>
          <w:rFonts w:ascii="Garamond" w:hAnsi="Garamond" w:cs="Times New Roman"/>
          <w:color w:val="000000"/>
          <w:sz w:val="24"/>
          <w:szCs w:val="24"/>
        </w:rPr>
        <w:t>m</w:t>
      </w:r>
      <w:r w:rsidRPr="00A11DD7">
        <w:rPr>
          <w:rFonts w:ascii="Garamond" w:hAnsi="Garamond" w:cs="Times New Roman"/>
          <w:color w:val="000000"/>
          <w:sz w:val="24"/>
          <w:szCs w:val="24"/>
        </w:rPr>
        <w:t>ars 2008, rreth mesditës, në fabrikën e demontimit të armëve në Gërdec ndodhi një shpërthim i madh. Njëzet e gjashtë njerëz humbën jetën dhe rreth 300 të tjerë u lënduan.</w:t>
      </w:r>
    </w:p>
    <w:p w14:paraId="4705133B" w14:textId="72FF760F"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t xml:space="preserve">D. Gjykimi </w:t>
      </w:r>
    </w:p>
    <w:p w14:paraId="5A91D7F8" w14:textId="1ED8A2B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13. U ndërmorën procedura penale ndaj tridhjetë personave, duke përfshirë edhe kërkuesin. </w:t>
      </w:r>
    </w:p>
    <w:p w14:paraId="28172F0B" w14:textId="3A7EAD3A"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14. Kërkuesi u akuzua për shpërdorim detyre në mbështetje të </w:t>
      </w:r>
      <w:r w:rsidR="00A11DD7">
        <w:rPr>
          <w:rFonts w:ascii="Garamond" w:hAnsi="Garamond" w:cs="Times New Roman"/>
          <w:color w:val="000000"/>
          <w:sz w:val="24"/>
          <w:szCs w:val="24"/>
        </w:rPr>
        <w:t>n</w:t>
      </w:r>
      <w:r w:rsidRPr="00A11DD7">
        <w:rPr>
          <w:rFonts w:ascii="Garamond" w:hAnsi="Garamond" w:cs="Times New Roman"/>
          <w:color w:val="000000"/>
          <w:sz w:val="24"/>
          <w:szCs w:val="24"/>
        </w:rPr>
        <w:t>enit 248 të Kodit Penal për shqyrtimin e projekt-urdhrit nga ana e tij.</w:t>
      </w:r>
    </w:p>
    <w:p w14:paraId="3E463805" w14:textId="3F28704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11DD7">
        <w:rPr>
          <w:rFonts w:ascii="Garamond" w:hAnsi="Garamond" w:cs="Times New Roman"/>
          <w:i/>
          <w:iCs/>
          <w:color w:val="000000"/>
          <w:sz w:val="24"/>
          <w:szCs w:val="24"/>
        </w:rPr>
        <w:t>1. Raporti i ekspertit ushtarak</w:t>
      </w:r>
    </w:p>
    <w:p w14:paraId="771B9926" w14:textId="61918E99"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15. Më 10 </w:t>
      </w:r>
      <w:r w:rsidR="00A11DD7">
        <w:rPr>
          <w:rFonts w:ascii="Garamond" w:hAnsi="Garamond" w:cs="Times New Roman"/>
          <w:color w:val="000000"/>
          <w:sz w:val="24"/>
          <w:szCs w:val="24"/>
        </w:rPr>
        <w:t>d</w:t>
      </w:r>
      <w:r w:rsidRPr="00A11DD7">
        <w:rPr>
          <w:rFonts w:ascii="Garamond" w:hAnsi="Garamond" w:cs="Times New Roman"/>
          <w:color w:val="000000"/>
          <w:sz w:val="24"/>
          <w:szCs w:val="24"/>
        </w:rPr>
        <w:t xml:space="preserve">hjetor 2008, prokurorët i kërkuan ekspertëve ushtarakë të përcaktonin nëse municioni që ishte dërguar për demontim në Gërdec ishte municion i kalibrit të vogël sipas parashikimit në </w:t>
      </w:r>
      <w:r w:rsidR="00A11DD7">
        <w:rPr>
          <w:rFonts w:ascii="Garamond" w:hAnsi="Garamond" w:cs="Times New Roman"/>
          <w:color w:val="000000"/>
          <w:sz w:val="24"/>
          <w:szCs w:val="24"/>
        </w:rPr>
        <w:t>v</w:t>
      </w:r>
      <w:r w:rsidRPr="00A11DD7">
        <w:rPr>
          <w:rFonts w:ascii="Garamond" w:hAnsi="Garamond" w:cs="Times New Roman"/>
          <w:color w:val="000000"/>
          <w:sz w:val="24"/>
          <w:szCs w:val="24"/>
        </w:rPr>
        <w:t xml:space="preserve">endimin nr. 138. </w:t>
      </w:r>
    </w:p>
    <w:p w14:paraId="78CF4D26" w14:textId="5C44863D"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16. Më 10 </w:t>
      </w:r>
      <w:r w:rsidR="00A11DD7">
        <w:rPr>
          <w:rFonts w:ascii="Garamond" w:hAnsi="Garamond" w:cs="Times New Roman"/>
          <w:color w:val="000000"/>
          <w:sz w:val="24"/>
          <w:szCs w:val="24"/>
        </w:rPr>
        <w:t>s</w:t>
      </w:r>
      <w:r w:rsidRPr="00A11DD7">
        <w:rPr>
          <w:rFonts w:ascii="Garamond" w:hAnsi="Garamond" w:cs="Times New Roman"/>
          <w:color w:val="000000"/>
          <w:sz w:val="24"/>
          <w:szCs w:val="24"/>
        </w:rPr>
        <w:t xml:space="preserve">hkurt 2009, ekspertët pohuan se kalibri nuk ishte brenda kritereve të përdorura nga </w:t>
      </w:r>
      <w:r w:rsidR="00A11DD7" w:rsidRPr="00A11DD7">
        <w:rPr>
          <w:rFonts w:ascii="Garamond" w:hAnsi="Garamond" w:cs="Times New Roman"/>
          <w:color w:val="000000"/>
          <w:sz w:val="24"/>
          <w:szCs w:val="24"/>
        </w:rPr>
        <w:t xml:space="preserve">Forcat </w:t>
      </w:r>
      <w:r w:rsidRPr="00A11DD7">
        <w:rPr>
          <w:rFonts w:ascii="Garamond" w:hAnsi="Garamond" w:cs="Times New Roman"/>
          <w:color w:val="000000"/>
          <w:sz w:val="24"/>
          <w:szCs w:val="24"/>
        </w:rPr>
        <w:t xml:space="preserve">e </w:t>
      </w:r>
      <w:r w:rsidR="00A11DD7" w:rsidRPr="00A11DD7">
        <w:rPr>
          <w:rFonts w:ascii="Garamond" w:hAnsi="Garamond" w:cs="Times New Roman"/>
          <w:color w:val="000000"/>
          <w:sz w:val="24"/>
          <w:szCs w:val="24"/>
        </w:rPr>
        <w:t xml:space="preserve">Armatosura Shqiptare </w:t>
      </w:r>
      <w:r w:rsidRPr="00A11DD7">
        <w:rPr>
          <w:rFonts w:ascii="Garamond" w:hAnsi="Garamond" w:cs="Times New Roman"/>
          <w:color w:val="000000"/>
          <w:sz w:val="24"/>
          <w:szCs w:val="24"/>
        </w:rPr>
        <w:t xml:space="preserve">për kategorizimin e municionit. Në lidhje me këtë, termi “kalibër i vogël” i përdorur në </w:t>
      </w:r>
      <w:r w:rsidR="00A11DD7">
        <w:rPr>
          <w:rFonts w:ascii="Garamond" w:hAnsi="Garamond" w:cs="Times New Roman"/>
          <w:color w:val="000000"/>
          <w:sz w:val="24"/>
          <w:szCs w:val="24"/>
        </w:rPr>
        <w:t>v</w:t>
      </w:r>
      <w:r w:rsidRPr="00A11DD7">
        <w:rPr>
          <w:rFonts w:ascii="Garamond" w:hAnsi="Garamond" w:cs="Times New Roman"/>
          <w:color w:val="000000"/>
          <w:sz w:val="24"/>
          <w:szCs w:val="24"/>
        </w:rPr>
        <w:t>endimin nr. 138 nuk gjendej në dokumente të tjerë ushtarakë.</w:t>
      </w:r>
    </w:p>
    <w:p w14:paraId="43CF9EDE" w14:textId="651FE201"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17. Ekspertët shtuan se ata kishin shqyrtuar një sërë </w:t>
      </w:r>
      <w:r w:rsidR="00A11DD7" w:rsidRPr="00A11DD7">
        <w:rPr>
          <w:rFonts w:ascii="Garamond" w:hAnsi="Garamond" w:cs="Times New Roman"/>
          <w:color w:val="000000"/>
          <w:sz w:val="24"/>
          <w:szCs w:val="24"/>
        </w:rPr>
        <w:t>manualesh</w:t>
      </w:r>
      <w:r w:rsidRPr="00A11DD7">
        <w:rPr>
          <w:rFonts w:ascii="Garamond" w:hAnsi="Garamond" w:cs="Times New Roman"/>
          <w:color w:val="000000"/>
          <w:sz w:val="24"/>
          <w:szCs w:val="24"/>
        </w:rPr>
        <w:t xml:space="preserve"> trajnimi dhe literaturë shtesë që e klasifikonin municionin sipas kalibrit. Një botim rus i vitit 1956 përcaktonte se municioni i kalibrit deri në 70 mm ishte municion i kalibrit të vogël, ndërsa municioni i kalibrit midis 70 dhe 155 mm ishte municion i kalibrit të mesëm. Në një botim të vitit 1985, </w:t>
      </w:r>
      <w:r w:rsidR="00A11DD7" w:rsidRPr="00A11DD7">
        <w:rPr>
          <w:rFonts w:ascii="Garamond" w:hAnsi="Garamond" w:cs="Times New Roman"/>
          <w:color w:val="000000"/>
          <w:sz w:val="24"/>
          <w:szCs w:val="24"/>
        </w:rPr>
        <w:t xml:space="preserve">Forcat </w:t>
      </w:r>
      <w:r w:rsidRPr="00A11DD7">
        <w:rPr>
          <w:rFonts w:ascii="Garamond" w:hAnsi="Garamond" w:cs="Times New Roman"/>
          <w:color w:val="000000"/>
          <w:sz w:val="24"/>
          <w:szCs w:val="24"/>
        </w:rPr>
        <w:t xml:space="preserve">e </w:t>
      </w:r>
      <w:r w:rsidR="00A11DD7" w:rsidRPr="00A11DD7">
        <w:rPr>
          <w:rFonts w:ascii="Garamond" w:hAnsi="Garamond" w:cs="Times New Roman"/>
          <w:color w:val="000000"/>
          <w:sz w:val="24"/>
          <w:szCs w:val="24"/>
        </w:rPr>
        <w:t xml:space="preserve">Armatosura </w:t>
      </w:r>
      <w:r w:rsidRPr="00A11DD7">
        <w:rPr>
          <w:rFonts w:ascii="Garamond" w:hAnsi="Garamond" w:cs="Times New Roman"/>
          <w:color w:val="000000"/>
          <w:sz w:val="24"/>
          <w:szCs w:val="24"/>
        </w:rPr>
        <w:t xml:space="preserve">të Shqipërisë i referoheshin të njëjtit klasifikim. </w:t>
      </w:r>
    </w:p>
    <w:p w14:paraId="3D142907" w14:textId="655E3D56"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11DD7">
        <w:rPr>
          <w:rFonts w:ascii="Garamond" w:hAnsi="Garamond" w:cs="Times New Roman"/>
          <w:i/>
          <w:iCs/>
          <w:color w:val="000000"/>
          <w:sz w:val="24"/>
          <w:szCs w:val="24"/>
        </w:rPr>
        <w:t>2. Gjykata e Rrethit Tiranë</w:t>
      </w:r>
    </w:p>
    <w:p w14:paraId="6D70BFC1" w14:textId="18426FD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18. Kërkuesi e mohoi akuzën dhe pretendoi se përmbajtja e </w:t>
      </w:r>
      <w:r w:rsidR="00A11DD7">
        <w:rPr>
          <w:rFonts w:ascii="Garamond" w:hAnsi="Garamond" w:cs="Times New Roman"/>
          <w:color w:val="000000"/>
          <w:sz w:val="24"/>
          <w:szCs w:val="24"/>
        </w:rPr>
        <w:t>n</w:t>
      </w:r>
      <w:r w:rsidRPr="00A11DD7">
        <w:rPr>
          <w:rFonts w:ascii="Garamond" w:hAnsi="Garamond" w:cs="Times New Roman"/>
          <w:color w:val="000000"/>
          <w:sz w:val="24"/>
          <w:szCs w:val="24"/>
        </w:rPr>
        <w:t>enit 248 të Kodit Penal nuk e lejonte të parashikonte se cilat veprime ose mosveprime mund ta bënin atë me përgjegjësi penale.</w:t>
      </w:r>
    </w:p>
    <w:p w14:paraId="19793E62" w14:textId="0F3A9463"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19. Më 12 </w:t>
      </w:r>
      <w:r w:rsidR="00A11DD7">
        <w:rPr>
          <w:rFonts w:ascii="Garamond" w:hAnsi="Garamond" w:cs="Times New Roman"/>
          <w:color w:val="000000"/>
          <w:sz w:val="24"/>
          <w:szCs w:val="24"/>
        </w:rPr>
        <w:t>m</w:t>
      </w:r>
      <w:r w:rsidRPr="00A11DD7">
        <w:rPr>
          <w:rFonts w:ascii="Garamond" w:hAnsi="Garamond" w:cs="Times New Roman"/>
          <w:color w:val="000000"/>
          <w:sz w:val="24"/>
          <w:szCs w:val="24"/>
        </w:rPr>
        <w:t>ars 2012, Gjykata e Rrethit Tiranë shpalli vendimin e saj me 573 faqe ku përfshihej një seksion për secilin të pandehur.</w:t>
      </w:r>
    </w:p>
    <w:p w14:paraId="5B5B0566" w14:textId="555B61E5"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20. Mbështetur në raportet e ekspertëve, gjykata konstatoi se procedurat e përdorura në fabrikën e Gërdecit kishin qenë të pasigurta. E teksa arsyeja e saktë për shkaktimin e zjarrit nuk mund të përcaktohej, sipas provave të mbledhura, ajo çfarë kishte probabilitet të kishte ndodhur ishte se punëtorët kishin qenë duke lëvizur shtytësit me një karro dore që sapo ishte riparuar me anë të teknikave të saldimit dhe që e kishte ruajtur ende nxehtësinë.</w:t>
      </w:r>
    </w:p>
    <w:p w14:paraId="4DEB050D" w14:textId="79FA8E29"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21. Sipas provave dhe argumenteve të shqyrtuara, gjykata e shpalli kërkuesin, të përfaqësuar nga një avokat, fajtor për akuzën e përfshirjes në përgatitjen e </w:t>
      </w:r>
      <w:r w:rsidR="00A11DD7">
        <w:rPr>
          <w:rFonts w:ascii="Garamond" w:hAnsi="Garamond" w:cs="Times New Roman"/>
          <w:color w:val="000000"/>
          <w:sz w:val="24"/>
          <w:szCs w:val="24"/>
        </w:rPr>
        <w:t>u</w:t>
      </w:r>
      <w:r w:rsidRPr="00A11DD7">
        <w:rPr>
          <w:rFonts w:ascii="Garamond" w:hAnsi="Garamond" w:cs="Times New Roman"/>
          <w:color w:val="000000"/>
          <w:sz w:val="24"/>
          <w:szCs w:val="24"/>
        </w:rPr>
        <w:t>rdhrit nr. 2044. Ai u dënua me një vit burgim dhe u urdhërua të paguante një gjobë.</w:t>
      </w:r>
    </w:p>
    <w:p w14:paraId="4C2DAC3F" w14:textId="5BB0FE09"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22. Gjykata përshkruante procesin e hartimit të urdhrit, siç edhe shpjegohet në paragrafët 8</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11 më sipër, dhe iu referua kërkuesit si bashkautor i projekt-urdhrit, për shkak të faktit se ai kishte kontrolluar pajtueshmërinë juridike të dokumentit. Në vijim, gjykata arsyeton se të metat ligjore në urdhër i </w:t>
      </w:r>
      <w:r w:rsidRPr="00A11DD7">
        <w:rPr>
          <w:rFonts w:ascii="Garamond" w:hAnsi="Garamond" w:cs="Times New Roman"/>
          <w:color w:val="000000"/>
          <w:sz w:val="24"/>
          <w:szCs w:val="24"/>
        </w:rPr>
        <w:lastRenderedPageBreak/>
        <w:t xml:space="preserve">atribuoheshin të gjithë individëve të cilët kishin kontribuar në përgatitjen e tij, duke përfshirë kërkuesin. </w:t>
      </w:r>
    </w:p>
    <w:p w14:paraId="0F35D5A4" w14:textId="36011C1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23. Gjykata identifikoi mospajtueshmëritë e mëposhtme midis urdhrit dhe ligjit.</w:t>
      </w:r>
    </w:p>
    <w:p w14:paraId="1A473728" w14:textId="300E773D"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t xml:space="preserve">a) Kalibri </w:t>
      </w:r>
    </w:p>
    <w:p w14:paraId="7977CCFA" w14:textId="5AAA6A55"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24. Vendimi </w:t>
      </w:r>
      <w:r w:rsidR="00A11DD7">
        <w:rPr>
          <w:rFonts w:ascii="Garamond" w:hAnsi="Garamond" w:cs="Times New Roman"/>
          <w:color w:val="000000"/>
          <w:sz w:val="24"/>
          <w:szCs w:val="24"/>
        </w:rPr>
        <w:t>n</w:t>
      </w:r>
      <w:r w:rsidRPr="00A11DD7">
        <w:rPr>
          <w:rFonts w:ascii="Garamond" w:hAnsi="Garamond" w:cs="Times New Roman"/>
          <w:color w:val="000000"/>
          <w:sz w:val="24"/>
          <w:szCs w:val="24"/>
        </w:rPr>
        <w:t>r. 138 parashikonte vetëm demontimin e municionit të kalibrit të vogël, ndërsa projekt-urdhri trajtonte edhe municionin e kalibrit të mesëm dhe të madh.</w:t>
      </w:r>
    </w:p>
    <w:p w14:paraId="03FF8996" w14:textId="77F7DD9F"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25. Gjykata i dha peshë të madhe faktit se kërkuesi kishte qenë anëtar i grupit të punës që kishte hartuar </w:t>
      </w:r>
      <w:r w:rsidR="00A11DD7">
        <w:rPr>
          <w:rFonts w:ascii="Garamond" w:hAnsi="Garamond" w:cs="Times New Roman"/>
          <w:color w:val="000000"/>
          <w:sz w:val="24"/>
          <w:szCs w:val="24"/>
        </w:rPr>
        <w:t>v</w:t>
      </w:r>
      <w:r w:rsidRPr="00A11DD7">
        <w:rPr>
          <w:rFonts w:ascii="Garamond" w:hAnsi="Garamond" w:cs="Times New Roman"/>
          <w:color w:val="000000"/>
          <w:sz w:val="24"/>
          <w:szCs w:val="24"/>
        </w:rPr>
        <w:t>endimin nr. 138 (shih paragrafin 3 më sipër), dhe për pasojë ai nuk mund të mos kishte qenë në dijeni të përmbajtjes së tij.</w:t>
      </w:r>
    </w:p>
    <w:p w14:paraId="7D4DEF38" w14:textId="1CB23B0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26. Gjykata vlerëson se dallimi midis kalibrave të ndryshëm ishte bërë i qartë nga ekspertët, që kishin arritur në përfundimin në raportin e tyre se municioni i kalibrit mbi 70 mm nuk mund të klasifikohet si municion i kalibrit të vogël (shih paragrafët 15</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17 me sipër). </w:t>
      </w:r>
    </w:p>
    <w:p w14:paraId="59B0BB0F" w14:textId="7AFE1E16"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t xml:space="preserve">b) Licencat, eksperienca dhe pajisjet e kontraktorit </w:t>
      </w:r>
    </w:p>
    <w:p w14:paraId="194F62B8" w14:textId="6E8CA17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27. SAC</w:t>
      </w:r>
      <w:r w:rsidR="00A11DD7">
        <w:rPr>
          <w:rFonts w:ascii="Garamond" w:hAnsi="Garamond" w:cs="Times New Roman"/>
          <w:color w:val="000000"/>
          <w:sz w:val="24"/>
          <w:szCs w:val="24"/>
        </w:rPr>
        <w:t>-i</w:t>
      </w:r>
      <w:r w:rsidRPr="00A11DD7">
        <w:rPr>
          <w:rFonts w:ascii="Garamond" w:hAnsi="Garamond" w:cs="Times New Roman"/>
          <w:color w:val="000000"/>
          <w:sz w:val="24"/>
          <w:szCs w:val="24"/>
        </w:rPr>
        <w:t xml:space="preserve"> nuk kishte një licencë për të realizuar demontimin e municionit të kalibrit të mesëm dhe të madh, siç kërkohej në </w:t>
      </w:r>
      <w:r w:rsidR="00A11DD7">
        <w:rPr>
          <w:rFonts w:ascii="Garamond" w:hAnsi="Garamond" w:cs="Times New Roman"/>
          <w:color w:val="000000"/>
          <w:sz w:val="24"/>
          <w:szCs w:val="24"/>
        </w:rPr>
        <w:t>r</w:t>
      </w:r>
      <w:r w:rsidRPr="00A11DD7">
        <w:rPr>
          <w:rFonts w:ascii="Garamond" w:hAnsi="Garamond" w:cs="Times New Roman"/>
          <w:color w:val="000000"/>
          <w:sz w:val="24"/>
          <w:szCs w:val="24"/>
        </w:rPr>
        <w:t>regulloren nr. 9603</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 të datës 18 </w:t>
      </w:r>
      <w:r w:rsidR="00A11DD7">
        <w:rPr>
          <w:rFonts w:ascii="Garamond" w:hAnsi="Garamond" w:cs="Times New Roman"/>
          <w:color w:val="000000"/>
          <w:sz w:val="24"/>
          <w:szCs w:val="24"/>
        </w:rPr>
        <w:t>s</w:t>
      </w:r>
      <w:r w:rsidRPr="00A11DD7">
        <w:rPr>
          <w:rFonts w:ascii="Garamond" w:hAnsi="Garamond" w:cs="Times New Roman"/>
          <w:color w:val="000000"/>
          <w:sz w:val="24"/>
          <w:szCs w:val="24"/>
        </w:rPr>
        <w:t>htator 2003</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 për importin dhe eksportin e pajisjeve ushtarake. Neni 3.1 i asaj rregulloreje e përkufizonte një licencë si “leje profesionale me shkrim që mund të tërhiqej, dhe që e lejonte mbajtësin e saj të kryente një ose më shumë aktivitete</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 në lidhje me eksportin dhe importin e armëve, municioneve, pajisjeve ushtarake dhe shpërndarjen dhe tregtimin e tyre”. Autorët e projekt-urdhrit, duke përfshirë kërkuesin, nuk i kishin kërkuar SAC</w:t>
      </w:r>
      <w:r w:rsidR="00A11DD7">
        <w:rPr>
          <w:rFonts w:ascii="Garamond" w:hAnsi="Garamond" w:cs="Times New Roman"/>
          <w:color w:val="000000"/>
          <w:sz w:val="24"/>
          <w:szCs w:val="24"/>
        </w:rPr>
        <w:t>-it</w:t>
      </w:r>
      <w:r w:rsidRPr="00A11DD7">
        <w:rPr>
          <w:rFonts w:ascii="Garamond" w:hAnsi="Garamond" w:cs="Times New Roman"/>
          <w:color w:val="000000"/>
          <w:sz w:val="24"/>
          <w:szCs w:val="24"/>
        </w:rPr>
        <w:t xml:space="preserve"> të merrte licencën e kërkuar. Gjithashtu, ata nuk kishin kërkuar dokumentet që dëshmonin eksperiencën e mëparshme të kontraktorit, pajisjet që do të përdoreshin, dhe pajtueshmërinë me kërkesat e sigurisë sipas </w:t>
      </w:r>
      <w:r w:rsidR="00A11DD7">
        <w:rPr>
          <w:rFonts w:ascii="Garamond" w:hAnsi="Garamond" w:cs="Times New Roman"/>
          <w:color w:val="000000"/>
          <w:sz w:val="24"/>
          <w:szCs w:val="24"/>
        </w:rPr>
        <w:t>n</w:t>
      </w:r>
      <w:r w:rsidRPr="00A11DD7">
        <w:rPr>
          <w:rFonts w:ascii="Garamond" w:hAnsi="Garamond" w:cs="Times New Roman"/>
          <w:color w:val="000000"/>
          <w:sz w:val="24"/>
          <w:szCs w:val="24"/>
        </w:rPr>
        <w:t>enit IV (3)</w:t>
      </w:r>
      <w:r w:rsidR="00A11DD7">
        <w:rPr>
          <w:rFonts w:ascii="Garamond" w:hAnsi="Garamond" w:cs="Times New Roman"/>
          <w:color w:val="000000"/>
          <w:sz w:val="24"/>
          <w:szCs w:val="24"/>
        </w:rPr>
        <w:t>,</w:t>
      </w:r>
      <w:r w:rsidRPr="00A11DD7">
        <w:rPr>
          <w:rFonts w:ascii="Garamond" w:hAnsi="Garamond" w:cs="Times New Roman"/>
          <w:color w:val="000000"/>
          <w:sz w:val="24"/>
          <w:szCs w:val="24"/>
        </w:rPr>
        <w:t xml:space="preserve"> të </w:t>
      </w:r>
      <w:r w:rsidR="00A11DD7">
        <w:rPr>
          <w:rFonts w:ascii="Garamond" w:hAnsi="Garamond" w:cs="Times New Roman"/>
          <w:color w:val="000000"/>
          <w:sz w:val="24"/>
          <w:szCs w:val="24"/>
        </w:rPr>
        <w:t>v</w:t>
      </w:r>
      <w:r w:rsidRPr="00A11DD7">
        <w:rPr>
          <w:rFonts w:ascii="Garamond" w:hAnsi="Garamond" w:cs="Times New Roman"/>
          <w:color w:val="000000"/>
          <w:sz w:val="24"/>
          <w:szCs w:val="24"/>
        </w:rPr>
        <w:t>endimit nr. 138 (shih paragrafin 49 në vijim).</w:t>
      </w:r>
    </w:p>
    <w:p w14:paraId="0EA69A9E" w14:textId="0730E10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11DD7">
        <w:rPr>
          <w:rFonts w:ascii="Garamond" w:hAnsi="Garamond" w:cs="Times New Roman"/>
          <w:i/>
          <w:iCs/>
          <w:color w:val="000000"/>
          <w:sz w:val="24"/>
          <w:szCs w:val="24"/>
        </w:rPr>
        <w:t xml:space="preserve">3. Apelimi </w:t>
      </w:r>
    </w:p>
    <w:p w14:paraId="427140B4" w14:textId="1C5D4E3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28. Kërkuesi u ankua dhe parashtroi se gjykata nuk kishte përcaktuar fushëveprimin e tij profesional dhe kufijtë e tij. Kërkuesi ishte një nëpunës civil dhe jo një ushtarak, dhe detyra e tij kufizohej në dhënien e opinioneve juridike për projekt-instrumentet juridik</w:t>
      </w:r>
      <w:r w:rsidR="0084433D">
        <w:rPr>
          <w:rFonts w:ascii="Garamond" w:hAnsi="Garamond" w:cs="Times New Roman"/>
          <w:color w:val="000000"/>
          <w:sz w:val="24"/>
          <w:szCs w:val="24"/>
        </w:rPr>
        <w:t>e</w:t>
      </w:r>
      <w:r w:rsidRPr="00A11DD7">
        <w:rPr>
          <w:rFonts w:ascii="Garamond" w:hAnsi="Garamond" w:cs="Times New Roman"/>
          <w:color w:val="000000"/>
          <w:sz w:val="24"/>
          <w:szCs w:val="24"/>
        </w:rPr>
        <w:t xml:space="preserve"> që i dorëzoheshin Ministrisë së Mbrojtjes. </w:t>
      </w:r>
    </w:p>
    <w:p w14:paraId="0DCC1F5F" w14:textId="7D7651A3"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29. Siç deklarohej nga ekspertët, nuk ekzistonte asnjë instrument ligjor që përcaktonte se cili municion duhej të klasifikohej si municion i kalibrit të vogël, dhe gjykata më e ulët nuk kishte cituar ndonjë instrument të tillë juridik. Kjo çështje ishte e një natyre teknike dhe jo juridike, siç provohet nga fakti se prokurorët kishin urdhëruar realizimin e një raporti nga ekspertët për sqarimin e kësaj çështjeje. </w:t>
      </w:r>
    </w:p>
    <w:p w14:paraId="6ADC3B27" w14:textId="114F14EE"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30. Kërkuesi parashtroi se gjykata më e ulët kishte gabuar kur i ishte referuar </w:t>
      </w:r>
      <w:r w:rsidR="00DB0893">
        <w:rPr>
          <w:rFonts w:ascii="Garamond" w:hAnsi="Garamond" w:cs="Times New Roman"/>
          <w:color w:val="000000"/>
          <w:sz w:val="24"/>
          <w:szCs w:val="24"/>
        </w:rPr>
        <w:t>r</w:t>
      </w:r>
      <w:r w:rsidRPr="00A11DD7">
        <w:rPr>
          <w:rFonts w:ascii="Garamond" w:hAnsi="Garamond" w:cs="Times New Roman"/>
          <w:color w:val="000000"/>
          <w:sz w:val="24"/>
          <w:szCs w:val="24"/>
        </w:rPr>
        <w:t>regullores nr. 9603, e cila rregullonte importet dhe eksportet, për aq sa procesi i demontimit kryhej brenda vendit. Gjithashtu, gjykata nuk kishte shpjeguar se përse ajo kishte vlerësuar se detyra e kërkuesit kishte qenë përcaktimi në projekt-urdhër i detyrimeve licencuese që gjendeshin gjetkë.</w:t>
      </w:r>
    </w:p>
    <w:p w14:paraId="1DD6377D" w14:textId="056CA07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31. Në po të njëjtën linjë, nuk i takonte kërkuesit të vlerësonte aspektet teknike</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të tilla si eksperiencën e SAC</w:t>
      </w:r>
      <w:r w:rsidR="00DB0893">
        <w:rPr>
          <w:rFonts w:ascii="Garamond" w:hAnsi="Garamond" w:cs="Times New Roman"/>
          <w:color w:val="000000"/>
          <w:sz w:val="24"/>
          <w:szCs w:val="24"/>
        </w:rPr>
        <w:t>-it</w:t>
      </w:r>
      <w:r w:rsidRPr="00A11DD7">
        <w:rPr>
          <w:rFonts w:ascii="Garamond" w:hAnsi="Garamond" w:cs="Times New Roman"/>
          <w:color w:val="000000"/>
          <w:sz w:val="24"/>
          <w:szCs w:val="24"/>
        </w:rPr>
        <w:t xml:space="preserve">, pajisjet që do të përdoreshin apo se sa e këshillueshme ishte që të bëhej biznes me të. </w:t>
      </w:r>
    </w:p>
    <w:p w14:paraId="3E1B74AD" w14:textId="0B9DB40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32. Kërkuesi shtoi se </w:t>
      </w:r>
      <w:r w:rsidR="00DB0893">
        <w:rPr>
          <w:rFonts w:ascii="Garamond" w:hAnsi="Garamond" w:cs="Times New Roman"/>
          <w:color w:val="000000"/>
          <w:sz w:val="24"/>
          <w:szCs w:val="24"/>
        </w:rPr>
        <w:t>n</w:t>
      </w:r>
      <w:r w:rsidRPr="00A11DD7">
        <w:rPr>
          <w:rFonts w:ascii="Garamond" w:hAnsi="Garamond" w:cs="Times New Roman"/>
          <w:color w:val="000000"/>
          <w:sz w:val="24"/>
          <w:szCs w:val="24"/>
        </w:rPr>
        <w:t xml:space="preserve">eni 248 i Kodit Penal, i cili parashikonte veprën e shpërdorimit të detyrës, ishte formuluar në mënyrë të paqartë dhe nuk pajtohej me </w:t>
      </w:r>
      <w:r w:rsidR="00DB0893">
        <w:rPr>
          <w:rFonts w:ascii="Garamond" w:hAnsi="Garamond" w:cs="Times New Roman"/>
          <w:color w:val="000000"/>
          <w:sz w:val="24"/>
          <w:szCs w:val="24"/>
        </w:rPr>
        <w:t>n</w:t>
      </w:r>
      <w:r w:rsidRPr="00A11DD7">
        <w:rPr>
          <w:rFonts w:ascii="Garamond" w:hAnsi="Garamond" w:cs="Times New Roman"/>
          <w:color w:val="000000"/>
          <w:sz w:val="24"/>
          <w:szCs w:val="24"/>
        </w:rPr>
        <w:t xml:space="preserve">enin 7 të Konventës për faktin se ai ishte një dispozitë e përgjithshme që i referohej </w:t>
      </w:r>
      <w:r w:rsidRPr="00CC0E23">
        <w:rPr>
          <w:rFonts w:ascii="Garamond" w:hAnsi="Garamond" w:cs="Times New Roman"/>
          <w:color w:val="000000"/>
          <w:sz w:val="24"/>
          <w:szCs w:val="24"/>
        </w:rPr>
        <w:t>ligjeve të tjer</w:t>
      </w:r>
      <w:r w:rsidR="00DB0893" w:rsidRPr="00CC0E23">
        <w:rPr>
          <w:rFonts w:ascii="Garamond" w:hAnsi="Garamond" w:cs="Times New Roman"/>
          <w:color w:val="000000"/>
          <w:sz w:val="24"/>
          <w:szCs w:val="24"/>
        </w:rPr>
        <w:t>a</w:t>
      </w:r>
      <w:r w:rsidRPr="00CC0E23">
        <w:rPr>
          <w:rFonts w:ascii="Garamond" w:hAnsi="Garamond" w:cs="Times New Roman"/>
          <w:color w:val="000000"/>
          <w:sz w:val="24"/>
          <w:szCs w:val="24"/>
        </w:rPr>
        <w:t xml:space="preserve"> për kualifikim</w:t>
      </w:r>
      <w:r w:rsidR="00CC0E23">
        <w:rPr>
          <w:rFonts w:ascii="Garamond" w:hAnsi="Garamond" w:cs="Times New Roman"/>
          <w:color w:val="000000"/>
          <w:sz w:val="24"/>
          <w:szCs w:val="24"/>
        </w:rPr>
        <w:t>in</w:t>
      </w:r>
      <w:r w:rsidRPr="00CC0E23">
        <w:rPr>
          <w:rFonts w:ascii="Garamond" w:hAnsi="Garamond" w:cs="Times New Roman"/>
          <w:color w:val="000000"/>
          <w:sz w:val="24"/>
          <w:szCs w:val="24"/>
        </w:rPr>
        <w:t xml:space="preserve"> e veprës.</w:t>
      </w:r>
      <w:r w:rsidRPr="00A11DD7">
        <w:rPr>
          <w:rFonts w:ascii="Garamond" w:hAnsi="Garamond" w:cs="Times New Roman"/>
          <w:color w:val="000000"/>
          <w:sz w:val="24"/>
          <w:szCs w:val="24"/>
        </w:rPr>
        <w:t xml:space="preserve"> Ai argumentoi se gjykata më e ulët e kishte shtrirë fushëveprimin e veprës në mënyrë të paarsyeshme, duke e bërë atë të paparashikueshme. </w:t>
      </w:r>
    </w:p>
    <w:p w14:paraId="3E57E884" w14:textId="4E1679A5"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33. Kërkuesi parashtroi se dënimi i tij së bashku me oficerët ushtarakë ishte një gabim, pasi ai nuk kishte trajnim teknik ushtarak. Gjykata nuk e kishte individualizuar veprën. Si jurist, ai nuk kishte ekspertizën teknike për të vënë në pyetje specifikimet e përcaktuara nga ushtarakët, dhe nuk mund të vlerësonte lëndën e atyre vendimeve. </w:t>
      </w:r>
    </w:p>
    <w:p w14:paraId="4D7FD75C" w14:textId="36879495"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lastRenderedPageBreak/>
        <w:t>34. Kërkuesi shtoi se MEICO kishte angazhuar nëpunësin e vet juridik, dhe se ai nuk duhej të bëhej përgjegjës për punën e atij juristi.</w:t>
      </w:r>
    </w:p>
    <w:p w14:paraId="3C75C23C" w14:textId="04A385AA"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35. Në fund, ai u shpreh se gjykata nuk kishte shpjeguar se cil</w:t>
      </w:r>
      <w:r w:rsidR="00DB0893">
        <w:rPr>
          <w:rFonts w:ascii="Garamond" w:hAnsi="Garamond" w:cs="Times New Roman"/>
          <w:color w:val="000000"/>
          <w:sz w:val="24"/>
          <w:szCs w:val="24"/>
        </w:rPr>
        <w:t>a</w:t>
      </w:r>
      <w:r w:rsidRPr="00A11DD7">
        <w:rPr>
          <w:rFonts w:ascii="Garamond" w:hAnsi="Garamond" w:cs="Times New Roman"/>
          <w:color w:val="000000"/>
          <w:sz w:val="24"/>
          <w:szCs w:val="24"/>
        </w:rPr>
        <w:t xml:space="preserve">t elemente e kishin çuar në përfundimin se kërkuesi kishte vepruar me qëllim kriminal në kryerjen e veprimeve dhe mosveprimeve për të cilat ai ishte dënuar. </w:t>
      </w:r>
    </w:p>
    <w:p w14:paraId="534F52AF" w14:textId="56F1DF8D"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11DD7">
        <w:rPr>
          <w:rFonts w:ascii="Garamond" w:hAnsi="Garamond" w:cs="Times New Roman"/>
          <w:i/>
          <w:iCs/>
          <w:color w:val="000000"/>
          <w:sz w:val="24"/>
          <w:szCs w:val="24"/>
        </w:rPr>
        <w:t>4. Gjykata e Apelit Tiranë</w:t>
      </w:r>
    </w:p>
    <w:p w14:paraId="6D2E2EF4" w14:textId="2DD3D306"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36. Më 13 </w:t>
      </w:r>
      <w:r w:rsidR="00DB0893">
        <w:rPr>
          <w:rFonts w:ascii="Garamond" w:hAnsi="Garamond" w:cs="Times New Roman"/>
          <w:color w:val="000000"/>
          <w:sz w:val="24"/>
          <w:szCs w:val="24"/>
        </w:rPr>
        <w:t>s</w:t>
      </w:r>
      <w:r w:rsidRPr="00A11DD7">
        <w:rPr>
          <w:rFonts w:ascii="Garamond" w:hAnsi="Garamond" w:cs="Times New Roman"/>
          <w:color w:val="000000"/>
          <w:sz w:val="24"/>
          <w:szCs w:val="24"/>
        </w:rPr>
        <w:t>hkurt 2013, Gjykata e Apelit Tiranë la në fuqi dënimin ndaj kërkuesit dhe dënimin e tij me burgim; megjithatë ajo shfuqizoi gjobën.</w:t>
      </w:r>
    </w:p>
    <w:p w14:paraId="1FCC2713" w14:textId="75F4BC8A"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37. Në lidhje me Y.</w:t>
      </w:r>
      <w:r w:rsidR="00DB0893">
        <w:rPr>
          <w:rFonts w:ascii="Garamond" w:hAnsi="Garamond" w:cs="Times New Roman"/>
          <w:color w:val="000000"/>
          <w:sz w:val="24"/>
          <w:szCs w:val="24"/>
        </w:rPr>
        <w:t xml:space="preserve"> </w:t>
      </w:r>
      <w:r w:rsidRPr="00A11DD7">
        <w:rPr>
          <w:rFonts w:ascii="Garamond" w:hAnsi="Garamond" w:cs="Times New Roman"/>
          <w:color w:val="000000"/>
          <w:sz w:val="24"/>
          <w:szCs w:val="24"/>
        </w:rPr>
        <w:t>P., i cili ishte drejtori i MEICO</w:t>
      </w:r>
      <w:r w:rsidR="00DB0893">
        <w:rPr>
          <w:rFonts w:ascii="Garamond" w:hAnsi="Garamond" w:cs="Times New Roman"/>
          <w:color w:val="000000"/>
          <w:sz w:val="24"/>
          <w:szCs w:val="24"/>
        </w:rPr>
        <w:t>-s</w:t>
      </w:r>
      <w:r w:rsidRPr="00A11DD7">
        <w:rPr>
          <w:rFonts w:ascii="Garamond" w:hAnsi="Garamond" w:cs="Times New Roman"/>
          <w:color w:val="000000"/>
          <w:sz w:val="24"/>
          <w:szCs w:val="24"/>
        </w:rPr>
        <w:t>, gjykata kundërshtoi akuzën e prokurorëve për vrasje. Ajo nuk gjeti asnjë indicie se i pandehuri kishte synuar të shkaktonte incidentin apo vdekjet. Gjykata e shpalli fajtor për “shkeljen e rregullave në lidhje me substancat shpërthyese, të djegshme ose radioaktive” dhe për shpërdorim të detyrës. Gjykata përdori një qasje identike për akuzat për vrasje ndaj një sërë të pandehurish të tjerë dhe për mungesën e “dashjes”.</w:t>
      </w:r>
    </w:p>
    <w:p w14:paraId="7603D50C" w14:textId="48F1E62E"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38. Në lidhje me kërkuesin, në diskutimet e saj për veprën e shpërdorimit të detyrës, gjykata konstatoi se dashja ishte një element i nevojshëm.</w:t>
      </w:r>
    </w:p>
    <w:p w14:paraId="0C1122B3" w14:textId="12EBB7D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39. Gjykata konstatoi se </w:t>
      </w:r>
      <w:r w:rsidR="00DB0893">
        <w:rPr>
          <w:rFonts w:ascii="Garamond" w:hAnsi="Garamond" w:cs="Times New Roman"/>
          <w:color w:val="000000"/>
          <w:sz w:val="24"/>
          <w:szCs w:val="24"/>
        </w:rPr>
        <w:t>u</w:t>
      </w:r>
      <w:r w:rsidRPr="00A11DD7">
        <w:rPr>
          <w:rFonts w:ascii="Garamond" w:hAnsi="Garamond" w:cs="Times New Roman"/>
          <w:color w:val="000000"/>
          <w:sz w:val="24"/>
          <w:szCs w:val="24"/>
        </w:rPr>
        <w:t xml:space="preserve">rdhri nr. 138 ishte i paligjshëm pasi ai nuk pajtohej me </w:t>
      </w:r>
      <w:r w:rsidR="00DB0893">
        <w:rPr>
          <w:rFonts w:ascii="Garamond" w:hAnsi="Garamond" w:cs="Times New Roman"/>
          <w:color w:val="000000"/>
          <w:sz w:val="24"/>
          <w:szCs w:val="24"/>
        </w:rPr>
        <w:t>v</w:t>
      </w:r>
      <w:r w:rsidRPr="00A11DD7">
        <w:rPr>
          <w:rFonts w:ascii="Garamond" w:hAnsi="Garamond" w:cs="Times New Roman"/>
          <w:color w:val="000000"/>
          <w:sz w:val="24"/>
          <w:szCs w:val="24"/>
        </w:rPr>
        <w:t>endimin nr. 138, sepse ai lejonte demontimin e municioneve të një kalibri të caktuar për të cilin kontraktori nuk ishte as i pajisur dhe as i licencuar.</w:t>
      </w:r>
    </w:p>
    <w:p w14:paraId="086CF1E4" w14:textId="463AFBB3"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40. Gjykata e Apelit, ashtu si Gjykata e Rrethit, theksoi se kërkuesi kishte qenë anëtar i grupi të punës që kishte hartuar </w:t>
      </w:r>
      <w:r w:rsidR="00DB0893">
        <w:rPr>
          <w:rFonts w:ascii="Garamond" w:hAnsi="Garamond" w:cs="Times New Roman"/>
          <w:color w:val="000000"/>
          <w:sz w:val="24"/>
          <w:szCs w:val="24"/>
        </w:rPr>
        <w:t>v</w:t>
      </w:r>
      <w:r w:rsidRPr="00A11DD7">
        <w:rPr>
          <w:rFonts w:ascii="Garamond" w:hAnsi="Garamond" w:cs="Times New Roman"/>
          <w:color w:val="000000"/>
          <w:sz w:val="24"/>
          <w:szCs w:val="24"/>
        </w:rPr>
        <w:t xml:space="preserve">endimin nr. 138, dhe në këtë mënyrë, ai nuk mund të mos kishte qenë në dijeni për përmbajtjen e tij. Ajo gjykoi se pasi nuk kishte respektuar </w:t>
      </w:r>
      <w:r w:rsidR="00DB0893">
        <w:rPr>
          <w:rFonts w:ascii="Garamond" w:hAnsi="Garamond" w:cs="Times New Roman"/>
          <w:color w:val="000000"/>
          <w:sz w:val="24"/>
          <w:szCs w:val="24"/>
        </w:rPr>
        <w:t>v</w:t>
      </w:r>
      <w:r w:rsidRPr="00A11DD7">
        <w:rPr>
          <w:rFonts w:ascii="Garamond" w:hAnsi="Garamond" w:cs="Times New Roman"/>
          <w:color w:val="000000"/>
          <w:sz w:val="24"/>
          <w:szCs w:val="24"/>
        </w:rPr>
        <w:t>endimin nr. 138, kërkuesi kishte kontribuar në përzgjedhjen e një kontraktori të papërshtatshëm për procesin e demontimit.</w:t>
      </w:r>
    </w:p>
    <w:p w14:paraId="56886888" w14:textId="255EACFC"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41. Në lidhje me L.</w:t>
      </w:r>
      <w:r w:rsidR="00DB0893">
        <w:rPr>
          <w:rFonts w:ascii="Garamond" w:hAnsi="Garamond" w:cs="Times New Roman"/>
          <w:color w:val="000000"/>
          <w:sz w:val="24"/>
          <w:szCs w:val="24"/>
        </w:rPr>
        <w:t xml:space="preserve"> </w:t>
      </w:r>
      <w:r w:rsidRPr="00A11DD7">
        <w:rPr>
          <w:rFonts w:ascii="Garamond" w:hAnsi="Garamond" w:cs="Times New Roman"/>
          <w:color w:val="000000"/>
          <w:sz w:val="24"/>
          <w:szCs w:val="24"/>
        </w:rPr>
        <w:t xml:space="preserve">H, </w:t>
      </w:r>
      <w:r w:rsidR="00DB0893" w:rsidRPr="00A11DD7">
        <w:rPr>
          <w:rFonts w:ascii="Garamond" w:hAnsi="Garamond" w:cs="Times New Roman"/>
          <w:color w:val="000000"/>
          <w:sz w:val="24"/>
          <w:szCs w:val="24"/>
        </w:rPr>
        <w:t xml:space="preserve">shefi </w:t>
      </w:r>
      <w:r w:rsidRPr="00A11DD7">
        <w:rPr>
          <w:rFonts w:ascii="Garamond" w:hAnsi="Garamond" w:cs="Times New Roman"/>
          <w:color w:val="000000"/>
          <w:sz w:val="24"/>
          <w:szCs w:val="24"/>
        </w:rPr>
        <w:t xml:space="preserve">i Stafit të Përgjithshëm të </w:t>
      </w:r>
      <w:r w:rsidR="00DB0893" w:rsidRPr="00A11DD7">
        <w:rPr>
          <w:rFonts w:ascii="Garamond" w:hAnsi="Garamond" w:cs="Times New Roman"/>
          <w:color w:val="000000"/>
          <w:sz w:val="24"/>
          <w:szCs w:val="24"/>
        </w:rPr>
        <w:t xml:space="preserve">Forcave </w:t>
      </w:r>
      <w:r w:rsidRPr="00A11DD7">
        <w:rPr>
          <w:rFonts w:ascii="Garamond" w:hAnsi="Garamond" w:cs="Times New Roman"/>
          <w:color w:val="000000"/>
          <w:sz w:val="24"/>
          <w:szCs w:val="24"/>
        </w:rPr>
        <w:t xml:space="preserve">të </w:t>
      </w:r>
      <w:r w:rsidR="00DB0893" w:rsidRPr="00A11DD7">
        <w:rPr>
          <w:rFonts w:ascii="Garamond" w:hAnsi="Garamond" w:cs="Times New Roman"/>
          <w:color w:val="000000"/>
          <w:sz w:val="24"/>
          <w:szCs w:val="24"/>
        </w:rPr>
        <w:t xml:space="preserve">Armatosura </w:t>
      </w:r>
      <w:r w:rsidRPr="00A11DD7">
        <w:rPr>
          <w:rFonts w:ascii="Garamond" w:hAnsi="Garamond" w:cs="Times New Roman"/>
          <w:color w:val="000000"/>
          <w:sz w:val="24"/>
          <w:szCs w:val="24"/>
        </w:rPr>
        <w:t xml:space="preserve">dhe anëtar i grupit të punës në </w:t>
      </w:r>
      <w:r w:rsidR="00DB0893">
        <w:rPr>
          <w:rFonts w:ascii="Garamond" w:hAnsi="Garamond" w:cs="Times New Roman"/>
          <w:color w:val="000000"/>
          <w:sz w:val="24"/>
          <w:szCs w:val="24"/>
        </w:rPr>
        <w:t>v</w:t>
      </w:r>
      <w:r w:rsidRPr="00A11DD7">
        <w:rPr>
          <w:rFonts w:ascii="Garamond" w:hAnsi="Garamond" w:cs="Times New Roman"/>
          <w:color w:val="000000"/>
          <w:sz w:val="24"/>
          <w:szCs w:val="24"/>
        </w:rPr>
        <w:t>endimin nr. 138, i cili po ashtu ishte akuzuar, gjykata vlerësoi:</w:t>
      </w:r>
    </w:p>
    <w:p w14:paraId="232E152A" w14:textId="00B1B5C0"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“Procesi [i demontimit] i rregulluar nga [</w:t>
      </w:r>
      <w:r w:rsidR="00DB0893">
        <w:rPr>
          <w:rFonts w:ascii="Garamond" w:hAnsi="Garamond" w:cs="Times New Roman"/>
          <w:color w:val="000000"/>
          <w:sz w:val="24"/>
          <w:szCs w:val="24"/>
        </w:rPr>
        <w:t>u</w:t>
      </w:r>
      <w:r w:rsidRPr="00A11DD7">
        <w:rPr>
          <w:rFonts w:ascii="Garamond" w:hAnsi="Garamond" w:cs="Times New Roman"/>
          <w:color w:val="000000"/>
          <w:sz w:val="24"/>
          <w:szCs w:val="24"/>
        </w:rPr>
        <w:t>rdhri nr. 2044] i hartuar nga i akuzuari D. Ç, L.</w:t>
      </w:r>
      <w:r w:rsidR="00DB0893">
        <w:rPr>
          <w:rFonts w:ascii="Garamond" w:hAnsi="Garamond" w:cs="Times New Roman"/>
          <w:color w:val="000000"/>
          <w:sz w:val="24"/>
          <w:szCs w:val="24"/>
        </w:rPr>
        <w:t xml:space="preserve"> </w:t>
      </w:r>
      <w:r w:rsidRPr="00A11DD7">
        <w:rPr>
          <w:rFonts w:ascii="Garamond" w:hAnsi="Garamond" w:cs="Times New Roman"/>
          <w:color w:val="000000"/>
          <w:sz w:val="24"/>
          <w:szCs w:val="24"/>
        </w:rPr>
        <w:t>H., H.</w:t>
      </w:r>
      <w:r w:rsidR="00DB0893">
        <w:rPr>
          <w:rFonts w:ascii="Garamond" w:hAnsi="Garamond" w:cs="Times New Roman"/>
          <w:color w:val="000000"/>
          <w:sz w:val="24"/>
          <w:szCs w:val="24"/>
        </w:rPr>
        <w:t xml:space="preserve"> </w:t>
      </w:r>
      <w:r w:rsidRPr="00A11DD7">
        <w:rPr>
          <w:rFonts w:ascii="Garamond" w:hAnsi="Garamond" w:cs="Times New Roman"/>
          <w:color w:val="000000"/>
          <w:sz w:val="24"/>
          <w:szCs w:val="24"/>
        </w:rPr>
        <w:t>J. dhe [kërkuesi] është rreptësisht ushtarak, me elementet e duhura teknike, dhe për këtë arsye dhe për shkak të eksperiencës dhe njohurive të të akuzuarve, të cilët ishin oficerë të nivelit të lartë, [urdhri] duhej të ishte hartuar në një mënyrë të tillë që të reflektonte pa rrezik procesin e demontimit”.</w:t>
      </w:r>
    </w:p>
    <w:p w14:paraId="14612ABA" w14:textId="1CF1E69F"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42. Gjykata e Apelit konstatoi</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gjithashtu</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se “MEICO ishte ngarkuar me detyrën për të lidhur kontrata për kryerjen e operacioneve [të demontimit], duke bërë një vlerësim paraprak të kapaciteteve teknike dhe masave të sigurisë </w:t>
      </w:r>
      <w:r w:rsidR="00DB0893">
        <w:rPr>
          <w:rFonts w:ascii="Garamond" w:hAnsi="Garamond" w:cs="Times New Roman"/>
          <w:color w:val="000000"/>
          <w:sz w:val="24"/>
          <w:szCs w:val="24"/>
        </w:rPr>
        <w:t>s</w:t>
      </w:r>
      <w:r w:rsidRPr="00A11DD7">
        <w:rPr>
          <w:rFonts w:ascii="Garamond" w:hAnsi="Garamond" w:cs="Times New Roman"/>
          <w:color w:val="000000"/>
          <w:sz w:val="24"/>
          <w:szCs w:val="24"/>
        </w:rPr>
        <w:t xml:space="preserve">ë procesit të demontimit”. </w:t>
      </w:r>
    </w:p>
    <w:p w14:paraId="13DB1D27" w14:textId="1134224F"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A11DD7">
        <w:rPr>
          <w:rFonts w:ascii="Garamond" w:hAnsi="Garamond" w:cs="Times New Roman"/>
          <w:i/>
          <w:iCs/>
          <w:color w:val="000000"/>
          <w:sz w:val="24"/>
          <w:szCs w:val="24"/>
        </w:rPr>
        <w:t xml:space="preserve">5. Gjykata e Lartë </w:t>
      </w:r>
    </w:p>
    <w:p w14:paraId="2F10D9F6" w14:textId="5230975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43. Më 25 </w:t>
      </w:r>
      <w:r w:rsidR="00DB0893">
        <w:rPr>
          <w:rFonts w:ascii="Garamond" w:hAnsi="Garamond" w:cs="Times New Roman"/>
          <w:color w:val="000000"/>
          <w:sz w:val="24"/>
          <w:szCs w:val="24"/>
        </w:rPr>
        <w:t>s</w:t>
      </w:r>
      <w:r w:rsidRPr="00A11DD7">
        <w:rPr>
          <w:rFonts w:ascii="Garamond" w:hAnsi="Garamond" w:cs="Times New Roman"/>
          <w:color w:val="000000"/>
          <w:sz w:val="24"/>
          <w:szCs w:val="24"/>
        </w:rPr>
        <w:t>hkurt 2013, kërkuesi paraqiti një ankesë mbi pikat e ligjit, ku përsëriste argumentet e tij të mëparshm</w:t>
      </w:r>
      <w:r w:rsidR="00DB0893">
        <w:rPr>
          <w:rFonts w:ascii="Garamond" w:hAnsi="Garamond" w:cs="Times New Roman"/>
          <w:color w:val="000000"/>
          <w:sz w:val="24"/>
          <w:szCs w:val="24"/>
        </w:rPr>
        <w:t>e</w:t>
      </w:r>
      <w:r w:rsidRPr="00A11DD7">
        <w:rPr>
          <w:rFonts w:ascii="Garamond" w:hAnsi="Garamond" w:cs="Times New Roman"/>
          <w:color w:val="000000"/>
          <w:sz w:val="24"/>
          <w:szCs w:val="24"/>
        </w:rPr>
        <w:t xml:space="preserve">. Ai shtoi se Gjykata e Apelit kishte gjykuar se </w:t>
      </w:r>
      <w:r w:rsidR="00DB0893" w:rsidRPr="00A11DD7">
        <w:rPr>
          <w:rFonts w:ascii="Garamond" w:hAnsi="Garamond" w:cs="Times New Roman"/>
          <w:color w:val="000000"/>
          <w:sz w:val="24"/>
          <w:szCs w:val="24"/>
        </w:rPr>
        <w:t xml:space="preserve">urdhri </w:t>
      </w:r>
      <w:r w:rsidRPr="00A11DD7">
        <w:rPr>
          <w:rFonts w:ascii="Garamond" w:hAnsi="Garamond" w:cs="Times New Roman"/>
          <w:color w:val="000000"/>
          <w:sz w:val="24"/>
          <w:szCs w:val="24"/>
        </w:rPr>
        <w:t>nr. 2044 ishte një instrument “rreptësisht ushtarak” me “elementet e duhur</w:t>
      </w:r>
      <w:r w:rsidR="00DB0893">
        <w:rPr>
          <w:rFonts w:ascii="Garamond" w:hAnsi="Garamond" w:cs="Times New Roman"/>
          <w:color w:val="000000"/>
          <w:sz w:val="24"/>
          <w:szCs w:val="24"/>
        </w:rPr>
        <w:t>a</w:t>
      </w:r>
      <w:r w:rsidRPr="00A11DD7">
        <w:rPr>
          <w:rFonts w:ascii="Garamond" w:hAnsi="Garamond" w:cs="Times New Roman"/>
          <w:color w:val="000000"/>
          <w:sz w:val="24"/>
          <w:szCs w:val="24"/>
        </w:rPr>
        <w:t xml:space="preserve"> teknik</w:t>
      </w:r>
      <w:r w:rsidR="00DB0893">
        <w:rPr>
          <w:rFonts w:ascii="Garamond" w:hAnsi="Garamond" w:cs="Times New Roman"/>
          <w:color w:val="000000"/>
          <w:sz w:val="24"/>
          <w:szCs w:val="24"/>
        </w:rPr>
        <w:t>e</w:t>
      </w:r>
      <w:r w:rsidRPr="00A11DD7">
        <w:rPr>
          <w:rFonts w:ascii="Garamond" w:hAnsi="Garamond" w:cs="Times New Roman"/>
          <w:color w:val="000000"/>
          <w:sz w:val="24"/>
          <w:szCs w:val="24"/>
        </w:rPr>
        <w:t xml:space="preserve">” (shih paragrafin 41 më sipër), dhe përsëri e kishte dënuar atë </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një jurist </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për përmbajtjen e tij. </w:t>
      </w:r>
    </w:p>
    <w:p w14:paraId="34867C2C" w14:textId="2D2AD4D9"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44. Gjithashtu, kërkuesi parashtroi se Gjykata e Apelit kishte deklaruar qartazi se vlerësimi i kapaciteteve dhe masave të sigurisë së procesit të demontimit (shih paragrafin 42 më sipër) kishin qenë detyra të MEICO-s, dhe sidoqoftë ajo e kishte dënuar atë për mosrealizimin e këtyre veprimeve.</w:t>
      </w:r>
    </w:p>
    <w:p w14:paraId="26567A9A" w14:textId="46E3B07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45. Në fund, ai u ankua se Gjykata e Apelit kishte theksuar se dashja ishte një element i nevojshëm i veprës (shih paragrafin 38 më sipër) dhe përsëri nuk kishte shpjeguar se përse kishte arritur në përfundimin se kërkuesi kishte vepruar me dashje kriminale, teksa konstatonte</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gjithashtu</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se shpërthimi kishte qenë i paqëllimshëm (shih paragrafin 37 më sipër).</w:t>
      </w:r>
    </w:p>
    <w:p w14:paraId="5EAA3EE2" w14:textId="48791974"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46. Më 19 </w:t>
      </w:r>
      <w:r w:rsidR="00DB0893">
        <w:rPr>
          <w:rFonts w:ascii="Garamond" w:hAnsi="Garamond" w:cs="Times New Roman"/>
          <w:color w:val="000000"/>
          <w:sz w:val="24"/>
          <w:szCs w:val="24"/>
        </w:rPr>
        <w:t>k</w:t>
      </w:r>
      <w:r w:rsidRPr="00A11DD7">
        <w:rPr>
          <w:rFonts w:ascii="Garamond" w:hAnsi="Garamond" w:cs="Times New Roman"/>
          <w:color w:val="000000"/>
          <w:sz w:val="24"/>
          <w:szCs w:val="24"/>
        </w:rPr>
        <w:t>orrik 2013, Gjykata e Lartë e rrëzoi ankesën e kërkuesit pasi ajo nuk mbështetej në arsye që ishin nën juridiksionin e saj.</w:t>
      </w:r>
    </w:p>
    <w:p w14:paraId="443B553E" w14:textId="655FF70A"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47. Më 23 </w:t>
      </w:r>
      <w:r w:rsidR="00DB0893">
        <w:rPr>
          <w:rFonts w:ascii="Garamond" w:hAnsi="Garamond" w:cs="Times New Roman"/>
          <w:color w:val="000000"/>
          <w:sz w:val="24"/>
          <w:szCs w:val="24"/>
        </w:rPr>
        <w:t>j</w:t>
      </w:r>
      <w:r w:rsidRPr="00A11DD7">
        <w:rPr>
          <w:rFonts w:ascii="Garamond" w:hAnsi="Garamond" w:cs="Times New Roman"/>
          <w:color w:val="000000"/>
          <w:sz w:val="24"/>
          <w:szCs w:val="24"/>
        </w:rPr>
        <w:t xml:space="preserve">anar 2014, Gjykata Kushtetuese rrëzoi apelimin e kërkuesit, duke mos konstatuar shkelje të parimit </w:t>
      </w:r>
      <w:r w:rsidRPr="00A11DD7">
        <w:rPr>
          <w:rFonts w:ascii="Garamond" w:hAnsi="Garamond" w:cs="Times New Roman"/>
          <w:i/>
          <w:iCs/>
          <w:color w:val="000000"/>
          <w:sz w:val="24"/>
          <w:szCs w:val="24"/>
        </w:rPr>
        <w:t>nulla poena sine lege</w:t>
      </w:r>
      <w:r w:rsidRPr="00A11DD7">
        <w:rPr>
          <w:rFonts w:ascii="Garamond" w:hAnsi="Garamond" w:cs="Times New Roman"/>
          <w:color w:val="000000"/>
          <w:sz w:val="24"/>
          <w:szCs w:val="24"/>
        </w:rPr>
        <w:t xml:space="preserve">. </w:t>
      </w:r>
    </w:p>
    <w:p w14:paraId="33421001" w14:textId="7777777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p>
    <w:p w14:paraId="086CC019" w14:textId="7777777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lastRenderedPageBreak/>
        <w:t>LIGJI PËRKATËS VENDAS</w:t>
      </w:r>
    </w:p>
    <w:p w14:paraId="06A37B37" w14:textId="5FA4B81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t>A. Kodi Penal</w:t>
      </w:r>
    </w:p>
    <w:p w14:paraId="385A54D1" w14:textId="5B00BAF8"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48. Neni 248 i Kodit Penal, në fuqi në periudhën konkrete, parashikon si në vijim: </w:t>
      </w:r>
    </w:p>
    <w:p w14:paraId="24343C1E" w14:textId="0725B232"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“Kryerja ose moskryerja me dashje e veprimeve a e mosveprimeve në kundërshtim me ligjin, që përbën mospërmbushje</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të</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rregullt të</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detyrës, nga</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personi</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që</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ushtron</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funksione</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publike,</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kur</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i</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kanë</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sjellë</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atij</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 xml:space="preserve">ose personave të tjerë përfitime materiale ose jomateriale të padrejta a kanë dëmtuar interesat e ligjshëm të shtetit, të shtetasve dhe të personave të tjerë juridikë, nëse nuk përbën vepër tjetër penale, dënohet me burgim deri në shtatë vjet burgim dhe një gjobë nga treqind mijë deri në një </w:t>
      </w:r>
      <w:r w:rsidR="00DB0893" w:rsidRPr="00A11DD7">
        <w:rPr>
          <w:rFonts w:ascii="Garamond" w:hAnsi="Garamond" w:cs="Times New Roman"/>
          <w:color w:val="000000"/>
          <w:sz w:val="24"/>
          <w:szCs w:val="24"/>
        </w:rPr>
        <w:t>milion</w:t>
      </w:r>
      <w:r w:rsidRPr="00A11DD7">
        <w:rPr>
          <w:rFonts w:ascii="Garamond" w:hAnsi="Garamond" w:cs="Times New Roman"/>
          <w:color w:val="000000"/>
          <w:sz w:val="24"/>
          <w:szCs w:val="24"/>
        </w:rPr>
        <w:t xml:space="preserve"> lekë.”</w:t>
      </w:r>
    </w:p>
    <w:p w14:paraId="423A5656" w14:textId="2BF100A7" w:rsidR="0048725C" w:rsidRPr="00A11DD7" w:rsidRDefault="0048725C" w:rsidP="0048725C">
      <w:pPr>
        <w:autoSpaceDE w:val="0"/>
        <w:autoSpaceDN w:val="0"/>
        <w:adjustRightInd w:val="0"/>
        <w:spacing w:after="0" w:line="240" w:lineRule="auto"/>
        <w:ind w:firstLine="284"/>
        <w:jc w:val="both"/>
        <w:rPr>
          <w:rFonts w:ascii="Garamond" w:hAnsi="Garamond" w:cs="Times New Roman"/>
          <w:b/>
          <w:bCs/>
          <w:color w:val="000000"/>
          <w:sz w:val="24"/>
          <w:szCs w:val="24"/>
        </w:rPr>
      </w:pPr>
      <w:r w:rsidRPr="00A11DD7">
        <w:rPr>
          <w:rFonts w:ascii="Garamond" w:hAnsi="Garamond" w:cs="Times New Roman"/>
          <w:b/>
          <w:bCs/>
          <w:color w:val="000000"/>
          <w:sz w:val="24"/>
          <w:szCs w:val="24"/>
        </w:rPr>
        <w:t>B. Vendimi nr. 138 i Këshillit të Ministrave</w:t>
      </w:r>
    </w:p>
    <w:p w14:paraId="003F0342" w14:textId="363AF660"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49. Kapitulli IV</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i </w:t>
      </w:r>
      <w:r w:rsidR="00DB0893">
        <w:rPr>
          <w:rFonts w:ascii="Garamond" w:hAnsi="Garamond" w:cs="Times New Roman"/>
          <w:color w:val="000000"/>
          <w:sz w:val="24"/>
          <w:szCs w:val="24"/>
        </w:rPr>
        <w:t>v</w:t>
      </w:r>
      <w:r w:rsidRPr="00A11DD7">
        <w:rPr>
          <w:rFonts w:ascii="Garamond" w:hAnsi="Garamond" w:cs="Times New Roman"/>
          <w:color w:val="000000"/>
          <w:sz w:val="24"/>
          <w:szCs w:val="24"/>
        </w:rPr>
        <w:t>endimit nr. 138 të Këshillit të Ministrave, për sa ka të bëjë me çështjen, parashikon si në vijim:</w:t>
      </w:r>
    </w:p>
    <w:p w14:paraId="3EAA1E1E" w14:textId="14202046" w:rsidR="0048725C"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“1. Ministria e Mbrojtjes, në funksion të reduktimit të stoqeve të vjetëruara të municioneve të kalibrit të vogël, të nxjerra nga përdorimi e armatimi, mund të realizojë shitje për qëllim çmontimi dhe çmilitarizimi. Ky proces përfshin shitjen e municionit, mbikëqyrjen e procesit të çmilitarizimit dhe çmontimit të municioneve dhe të nënprodukteve, të rrjedhura prej tyre...</w:t>
      </w:r>
    </w:p>
    <w:p w14:paraId="2F82D135" w14:textId="77777777" w:rsidR="00B01970" w:rsidRPr="00A11DD7" w:rsidRDefault="00B01970" w:rsidP="0048725C">
      <w:pPr>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bookmarkEnd w:id="0"/>
    </w:p>
    <w:p w14:paraId="328D9F31" w14:textId="25626A35"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3. Procedurat e shitjes së municionit për çmontim dhe çmilitarizim kryhen nga ndërmarrja MEICO, në bazë të kontratave. Në lidhjen e kontratave me subjekte të ndryshme të mbahen parasysh: përvoja e ofertuesit në fushën e armatim-municioneve, kapacitetet teknike, lloji i teknologjisë së përdorur në procesin e çmilitarizimit e çmontimit, afatet, ndikimi në mjedis, respektimi i masave të sigurisë gjatë procesit të çmilitarizimit e të çmontimit dhe çmimet e ...”</w:t>
      </w:r>
      <w:r w:rsidR="00DB0893">
        <w:rPr>
          <w:rFonts w:ascii="Garamond" w:hAnsi="Garamond" w:cs="Times New Roman"/>
          <w:color w:val="000000"/>
          <w:sz w:val="24"/>
          <w:szCs w:val="24"/>
        </w:rPr>
        <w:t>.</w:t>
      </w:r>
    </w:p>
    <w:p w14:paraId="4DAFD348" w14:textId="77777777"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VLERËSIMI I GJYKATËS</w:t>
      </w:r>
    </w:p>
    <w:p w14:paraId="2F3F30C7" w14:textId="358D9A1F"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50. Kërkuesi u ankua në mbështetje të </w:t>
      </w:r>
      <w:r w:rsidR="00DB0893">
        <w:rPr>
          <w:rFonts w:ascii="Garamond" w:hAnsi="Garamond" w:cs="Times New Roman"/>
          <w:color w:val="000000"/>
          <w:sz w:val="24"/>
          <w:szCs w:val="24"/>
        </w:rPr>
        <w:t>n</w:t>
      </w:r>
      <w:r w:rsidRPr="00A11DD7">
        <w:rPr>
          <w:rFonts w:ascii="Garamond" w:hAnsi="Garamond" w:cs="Times New Roman"/>
          <w:color w:val="000000"/>
          <w:sz w:val="24"/>
          <w:szCs w:val="24"/>
        </w:rPr>
        <w:t>enit 7 të Konventës se ai nuk mund të kishte parashikuar se do të do të mbante përgjegjësi penale për arsye se kishte rishikuar ligjshmërinë e projekt-</w:t>
      </w:r>
      <w:r w:rsidR="00DB0893">
        <w:rPr>
          <w:rFonts w:ascii="Garamond" w:hAnsi="Garamond" w:cs="Times New Roman"/>
          <w:color w:val="000000"/>
          <w:sz w:val="24"/>
          <w:szCs w:val="24"/>
        </w:rPr>
        <w:t>u</w:t>
      </w:r>
      <w:r w:rsidRPr="00A11DD7">
        <w:rPr>
          <w:rFonts w:ascii="Garamond" w:hAnsi="Garamond" w:cs="Times New Roman"/>
          <w:color w:val="000000"/>
          <w:sz w:val="24"/>
          <w:szCs w:val="24"/>
        </w:rPr>
        <w:t xml:space="preserve">rdhrit nr. 2044. </w:t>
      </w:r>
    </w:p>
    <w:p w14:paraId="263F038F" w14:textId="145E5B3A"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51. Qeveria nuk ra dakord.</w:t>
      </w:r>
    </w:p>
    <w:p w14:paraId="5A784071" w14:textId="7D7C461F"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52. Parimet përkatëse së fundmi janë përmbledhur në çështjen </w:t>
      </w:r>
      <w:r w:rsidRPr="00A11DD7">
        <w:rPr>
          <w:rFonts w:ascii="Garamond" w:hAnsi="Garamond" w:cs="Times New Roman"/>
          <w:i/>
          <w:iCs/>
          <w:color w:val="000000"/>
          <w:sz w:val="24"/>
          <w:szCs w:val="24"/>
        </w:rPr>
        <w:t xml:space="preserve">Saakashvili kundër Gjeorgjisë </w:t>
      </w:r>
      <w:r w:rsidRPr="00A11DD7">
        <w:rPr>
          <w:rFonts w:ascii="Garamond" w:hAnsi="Garamond" w:cs="Times New Roman"/>
          <w:color w:val="000000"/>
          <w:sz w:val="24"/>
          <w:szCs w:val="24"/>
        </w:rPr>
        <w:t>(nr. 6232/20 dhe 22394/20, §§ 141</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43, 23 </w:t>
      </w:r>
      <w:r w:rsidR="00DB0893">
        <w:rPr>
          <w:rFonts w:ascii="Garamond" w:hAnsi="Garamond" w:cs="Times New Roman"/>
          <w:color w:val="000000"/>
          <w:sz w:val="24"/>
          <w:szCs w:val="24"/>
        </w:rPr>
        <w:t>m</w:t>
      </w:r>
      <w:r w:rsidRPr="00A11DD7">
        <w:rPr>
          <w:rFonts w:ascii="Garamond" w:hAnsi="Garamond" w:cs="Times New Roman"/>
          <w:color w:val="000000"/>
          <w:sz w:val="24"/>
          <w:szCs w:val="24"/>
        </w:rPr>
        <w:t xml:space="preserve">aj 2024). </w:t>
      </w:r>
    </w:p>
    <w:p w14:paraId="524D116E" w14:textId="62F39188"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53. Gjykata tashmë ka vlerësuar se në rastin kur ka jetë të humbura në kontekstin e aktiviteteve të rrezikshme që potencialisht përfshijnë përgjegjësinë e </w:t>
      </w:r>
      <w:r w:rsidR="00DB0893">
        <w:rPr>
          <w:rFonts w:ascii="Garamond" w:hAnsi="Garamond" w:cs="Times New Roman"/>
          <w:color w:val="000000"/>
          <w:sz w:val="24"/>
          <w:szCs w:val="24"/>
        </w:rPr>
        <w:t>s</w:t>
      </w:r>
      <w:r w:rsidRPr="00A11DD7">
        <w:rPr>
          <w:rFonts w:ascii="Garamond" w:hAnsi="Garamond" w:cs="Times New Roman"/>
          <w:color w:val="000000"/>
          <w:sz w:val="24"/>
          <w:szCs w:val="24"/>
        </w:rPr>
        <w:t xml:space="preserve">htetit, mund të ketë raste përjashtimore ku është i nevojshëm një hetim penal efikas për të përmbushur detyrimin procedural të parashikuar në </w:t>
      </w:r>
      <w:r w:rsidR="00DB0893">
        <w:rPr>
          <w:rFonts w:ascii="Garamond" w:hAnsi="Garamond" w:cs="Times New Roman"/>
          <w:color w:val="000000"/>
          <w:sz w:val="24"/>
          <w:szCs w:val="24"/>
        </w:rPr>
        <w:t>n</w:t>
      </w:r>
      <w:r w:rsidRPr="00A11DD7">
        <w:rPr>
          <w:rFonts w:ascii="Garamond" w:hAnsi="Garamond" w:cs="Times New Roman"/>
          <w:color w:val="000000"/>
          <w:sz w:val="24"/>
          <w:szCs w:val="24"/>
        </w:rPr>
        <w:t xml:space="preserve">enin 2. Gjithashtu, Gjykata vlerëson se për sa i përket incidentit në Gërdec, hetimi penal ishte i përshtatshëm për faktin se në përgjithësi ai arriti me sukses që të përcaktonte rrethanat e incidentit dhe të identifikonte personat përgjegjës për të (shih </w:t>
      </w:r>
      <w:r w:rsidRPr="00A11DD7">
        <w:rPr>
          <w:rFonts w:ascii="Garamond" w:hAnsi="Garamond" w:cs="Times New Roman"/>
          <w:i/>
          <w:iCs/>
          <w:color w:val="000000"/>
          <w:sz w:val="24"/>
          <w:szCs w:val="24"/>
        </w:rPr>
        <w:t>Durdaj dhe të tjerë kundër Shqipërisë</w:t>
      </w:r>
      <w:r w:rsidRPr="00A11DD7">
        <w:rPr>
          <w:rFonts w:ascii="Garamond" w:hAnsi="Garamond" w:cs="Times New Roman"/>
          <w:color w:val="000000"/>
          <w:sz w:val="24"/>
          <w:szCs w:val="24"/>
        </w:rPr>
        <w:t>, nr. 63543/09 dhe 3 të tjerë, §§ 183</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204, 7 </w:t>
      </w:r>
      <w:r w:rsidR="00DB0893">
        <w:rPr>
          <w:rFonts w:ascii="Garamond" w:hAnsi="Garamond" w:cs="Times New Roman"/>
          <w:color w:val="000000"/>
          <w:sz w:val="24"/>
          <w:szCs w:val="24"/>
        </w:rPr>
        <w:t>n</w:t>
      </w:r>
      <w:r w:rsidRPr="00A11DD7">
        <w:rPr>
          <w:rFonts w:ascii="Garamond" w:hAnsi="Garamond" w:cs="Times New Roman"/>
          <w:color w:val="000000"/>
          <w:sz w:val="24"/>
          <w:szCs w:val="24"/>
        </w:rPr>
        <w:t xml:space="preserve">ëntor 2023). </w:t>
      </w:r>
    </w:p>
    <w:p w14:paraId="71A295C1" w14:textId="31BDDD7D"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54. Përgjegjësia penale e kërkuesit, siç gjykohet nga Gjykata e Apelit, qëndronte në përfshirjen e tij si këshilltar juridik në Ministrinë e Mbrojtjes për hartimin e urdhrit që autorizonte SAC</w:t>
      </w:r>
      <w:r w:rsidR="00DB0893">
        <w:rPr>
          <w:rFonts w:ascii="Garamond" w:hAnsi="Garamond" w:cs="Times New Roman"/>
          <w:color w:val="000000"/>
          <w:sz w:val="24"/>
          <w:szCs w:val="24"/>
        </w:rPr>
        <w:t>-in</w:t>
      </w:r>
      <w:r w:rsidRPr="00A11DD7">
        <w:rPr>
          <w:rFonts w:ascii="Garamond" w:hAnsi="Garamond" w:cs="Times New Roman"/>
          <w:color w:val="000000"/>
          <w:sz w:val="24"/>
          <w:szCs w:val="24"/>
        </w:rPr>
        <w:t xml:space="preserve"> të merrej me municionin që nuk ishte i një kalibri të vogël, dhe për të cilin kompania nuk kishte licencat, pajisjet apo ekspertizën e duhur. Së pari, në kundërshtim me parashtrimet e kërkuesit, të dyja problematikat ngrinin çështjet e ligjshmërisë dhe nuk ishin tërësisht të natyrës teknike. As fakti se autoritetet vendase kishin emëruar ekspertë ushtarakë për të shqyrtuar problematikën e parë, dhe as përgjigjet e ekspertëve</w:t>
      </w:r>
      <w:r w:rsidR="00004FA6">
        <w:rPr>
          <w:rFonts w:ascii="Garamond" w:hAnsi="Garamond" w:cs="Times New Roman"/>
          <w:color w:val="000000"/>
          <w:sz w:val="24"/>
          <w:szCs w:val="24"/>
        </w:rPr>
        <w:t xml:space="preserve"> </w:t>
      </w:r>
      <w:r w:rsidRPr="00A11DD7">
        <w:rPr>
          <w:rFonts w:ascii="Garamond" w:hAnsi="Garamond" w:cs="Times New Roman"/>
          <w:color w:val="000000"/>
          <w:sz w:val="24"/>
          <w:szCs w:val="24"/>
        </w:rPr>
        <w:t>apo konstatimi i Gjykatës së Apelit në lidhje me L.</w:t>
      </w:r>
      <w:r w:rsidR="00DB0893">
        <w:rPr>
          <w:rFonts w:ascii="Garamond" w:hAnsi="Garamond" w:cs="Times New Roman"/>
          <w:color w:val="000000"/>
          <w:sz w:val="24"/>
          <w:szCs w:val="24"/>
        </w:rPr>
        <w:t xml:space="preserve"> </w:t>
      </w:r>
      <w:r w:rsidRPr="00A11DD7">
        <w:rPr>
          <w:rFonts w:ascii="Garamond" w:hAnsi="Garamond" w:cs="Times New Roman"/>
          <w:color w:val="000000"/>
          <w:sz w:val="24"/>
          <w:szCs w:val="24"/>
        </w:rPr>
        <w:t>H. (shih paragrafët 15</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17 dhe 41 më sipër) nuk kanë asnjë ndikim në përfundimin e Gjykatës në lidhje me këtë aspekt. Së dyti, në lidhje me aq sa kërkuesi kundërshtoi përfundimet e Gjykatës së Apelit, Gjykata përsërit se nuk është detyra e saj që të zëvendësojë këndvështrimin e saj për atë të autoriteteve vendase. Duke pasur parasysh natyrën ndihmëse të sistemit të Konventës, nuk është funksioni i Gjykatës që të merret me gabimet e faktit apo të ligjit që pretendohen të jenë kryer nga një gjykatë vendase, për aq kohë sa nuk janë cenuar të </w:t>
      </w:r>
      <w:r w:rsidRPr="00A11DD7">
        <w:rPr>
          <w:rFonts w:ascii="Garamond" w:hAnsi="Garamond" w:cs="Times New Roman"/>
          <w:color w:val="000000"/>
          <w:sz w:val="24"/>
          <w:szCs w:val="24"/>
        </w:rPr>
        <w:lastRenderedPageBreak/>
        <w:t xml:space="preserve">drejtat dhe liritë e mbrojtura nga Konventa, dhe për aq kohë sa vlerësimi vendas nuk është arbitrar (shih </w:t>
      </w:r>
      <w:r w:rsidRPr="00A11DD7">
        <w:rPr>
          <w:rFonts w:ascii="Garamond" w:hAnsi="Garamond" w:cs="Times New Roman"/>
          <w:i/>
          <w:iCs/>
          <w:color w:val="000000"/>
          <w:sz w:val="24"/>
          <w:szCs w:val="24"/>
        </w:rPr>
        <w:t>Vasiliauskas kundër Lituanisë</w:t>
      </w:r>
      <w:r w:rsidRPr="00A11DD7">
        <w:rPr>
          <w:rFonts w:ascii="Garamond" w:hAnsi="Garamond" w:cs="Times New Roman"/>
          <w:color w:val="000000"/>
          <w:sz w:val="24"/>
          <w:szCs w:val="24"/>
        </w:rPr>
        <w:t xml:space="preserve">, [DHM], nr. 35343/06, § 160, GJEDNJ 2015). </w:t>
      </w:r>
    </w:p>
    <w:p w14:paraId="0558036E" w14:textId="733B277A"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55. Në çështjen konkrete Gjykata nuk dallon ndonjë arbitraritet të tillë.</w:t>
      </w:r>
    </w:p>
    <w:p w14:paraId="1C883F3F" w14:textId="180D2B8C"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56. Kërkuesi parashtroi se nuk ekzistonte asnjë përkufizim juridik për municionet e kalibrit të vogël. Megjithatë, gjykatat vendase arritën në përfundimin, në procedurat e mbështetura mbi parimin e kontradiktoriaritetit, se ishte brenda fushëveprimit të detyrës së tij si këshilltar që të këshillonte </w:t>
      </w:r>
      <w:r w:rsidR="00DB0893" w:rsidRPr="00A11DD7">
        <w:rPr>
          <w:rFonts w:ascii="Garamond" w:hAnsi="Garamond" w:cs="Times New Roman"/>
          <w:color w:val="000000"/>
          <w:sz w:val="24"/>
          <w:szCs w:val="24"/>
        </w:rPr>
        <w:t xml:space="preserve">ministrin </w:t>
      </w:r>
      <w:r w:rsidRPr="00A11DD7">
        <w:rPr>
          <w:rFonts w:ascii="Garamond" w:hAnsi="Garamond" w:cs="Times New Roman"/>
          <w:color w:val="000000"/>
          <w:sz w:val="24"/>
          <w:szCs w:val="24"/>
        </w:rPr>
        <w:t xml:space="preserve">e Mbrojtjes se </w:t>
      </w:r>
      <w:r w:rsidR="00DB0893" w:rsidRPr="00A11DD7">
        <w:rPr>
          <w:rFonts w:ascii="Garamond" w:hAnsi="Garamond" w:cs="Times New Roman"/>
          <w:color w:val="000000"/>
          <w:sz w:val="24"/>
          <w:szCs w:val="24"/>
        </w:rPr>
        <w:t xml:space="preserve">vendimi </w:t>
      </w:r>
      <w:r w:rsidRPr="00A11DD7">
        <w:rPr>
          <w:rFonts w:ascii="Garamond" w:hAnsi="Garamond" w:cs="Times New Roman"/>
          <w:color w:val="000000"/>
          <w:sz w:val="24"/>
          <w:szCs w:val="24"/>
        </w:rPr>
        <w:t xml:space="preserve">nr. 138 autorizonte çmontimin vetëm të municionit të kalibrit të vogël. </w:t>
      </w:r>
    </w:p>
    <w:p w14:paraId="31EF14C7" w14:textId="6ECA9582"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57. Në vijim, çështja tjetër ligjore për kërkuesin që duhej të adresohej ishte nëse SAC</w:t>
      </w:r>
      <w:r w:rsidR="00DB0893">
        <w:rPr>
          <w:rFonts w:ascii="Garamond" w:hAnsi="Garamond" w:cs="Times New Roman"/>
          <w:color w:val="000000"/>
          <w:sz w:val="24"/>
          <w:szCs w:val="24"/>
        </w:rPr>
        <w:t>-i</w:t>
      </w:r>
      <w:r w:rsidRPr="00A11DD7">
        <w:rPr>
          <w:rFonts w:ascii="Garamond" w:hAnsi="Garamond" w:cs="Times New Roman"/>
          <w:color w:val="000000"/>
          <w:sz w:val="24"/>
          <w:szCs w:val="24"/>
        </w:rPr>
        <w:t xml:space="preserve"> kishte kapacitetin që të trajtonte në mënyrë të sigurt municionin që ishte dhënë faktikisht për çmontim. Teksa vlerësimi fillestar i këtyre aspekteve mund të jetë kryer nga MEICO dhe oficerët ushtarakë, gjykatat vlerësuan se ishte detyra profesionale e kërkuesit që të sigurohej se – ose të paktën të bënte kërkime nëse – kontraktori privat i propozuar për procesin e çmontimit</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sipas </w:t>
      </w:r>
      <w:r w:rsidR="00DB0893">
        <w:rPr>
          <w:rFonts w:ascii="Garamond" w:hAnsi="Garamond" w:cs="Times New Roman"/>
          <w:color w:val="000000"/>
          <w:sz w:val="24"/>
          <w:szCs w:val="24"/>
        </w:rPr>
        <w:t>u</w:t>
      </w:r>
      <w:r w:rsidRPr="00A11DD7">
        <w:rPr>
          <w:rFonts w:ascii="Garamond" w:hAnsi="Garamond" w:cs="Times New Roman"/>
          <w:color w:val="000000"/>
          <w:sz w:val="24"/>
          <w:szCs w:val="24"/>
        </w:rPr>
        <w:t>rdhrit nr. 2044</w:t>
      </w:r>
      <w:r w:rsidR="00DB0893">
        <w:rPr>
          <w:rFonts w:ascii="Garamond" w:hAnsi="Garamond" w:cs="Times New Roman"/>
          <w:color w:val="000000"/>
          <w:sz w:val="24"/>
          <w:szCs w:val="24"/>
        </w:rPr>
        <w:t>,</w:t>
      </w:r>
      <w:r w:rsidRPr="00A11DD7">
        <w:rPr>
          <w:rFonts w:ascii="Garamond" w:hAnsi="Garamond" w:cs="Times New Roman"/>
          <w:color w:val="000000"/>
          <w:sz w:val="24"/>
          <w:szCs w:val="24"/>
        </w:rPr>
        <w:t xml:space="preserve"> plotësonte kushtet juridike të kërkuara. Gjykata nuk konstaton asnjë arsye për të arritur në përfundimin se një interpretim i tillë i ligjit përkatës vendas nga gjykatat e procedurave penale të ishte i paarsyeshëm ose në mospërputhje me thelbin e veprës së shpërdorimit të detyrës (shih </w:t>
      </w:r>
      <w:r w:rsidRPr="00A11DD7">
        <w:rPr>
          <w:rFonts w:ascii="Garamond" w:hAnsi="Garamond" w:cs="Times New Roman"/>
          <w:i/>
          <w:iCs/>
          <w:color w:val="000000"/>
          <w:sz w:val="24"/>
          <w:szCs w:val="24"/>
        </w:rPr>
        <w:t>Saakashvili</w:t>
      </w:r>
      <w:r w:rsidRPr="00A11DD7">
        <w:rPr>
          <w:rFonts w:ascii="Garamond" w:hAnsi="Garamond" w:cs="Times New Roman"/>
          <w:color w:val="000000"/>
          <w:sz w:val="24"/>
          <w:szCs w:val="24"/>
        </w:rPr>
        <w:t xml:space="preserve">, cituar më sipër, § 152). </w:t>
      </w:r>
    </w:p>
    <w:p w14:paraId="3BFCD54F" w14:textId="6CD684AD"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58. Në lidhje me pretendimin për mungesë të elementit të dashjes, ndryshe nga parashtrimet e kërkuesit, konstatimi i gjykatave vendase se shpërthimi kishte qenë i paqëllimshëm, nuk është relevant me </w:t>
      </w:r>
      <w:r w:rsidRPr="00A11DD7">
        <w:rPr>
          <w:rFonts w:ascii="Garamond" w:hAnsi="Garamond" w:cs="Times New Roman"/>
          <w:i/>
          <w:iCs/>
          <w:color w:val="000000"/>
          <w:sz w:val="24"/>
          <w:szCs w:val="24"/>
        </w:rPr>
        <w:t>mens rea</w:t>
      </w:r>
      <w:r w:rsidRPr="00A11DD7">
        <w:rPr>
          <w:rFonts w:ascii="Garamond" w:hAnsi="Garamond" w:cs="Times New Roman"/>
          <w:color w:val="000000"/>
          <w:sz w:val="24"/>
          <w:szCs w:val="24"/>
        </w:rPr>
        <w:t xml:space="preserve"> për sa i përket mosveprimeve të tij si kryekëshilltar juridik (në krahasim me neglizhencën e thjeshtë në përmbushjen e detyrës së tij). Edhe pse do të ishte e dëshirueshme që gjykatat vendase të kishin ofruar një arsyetim më të gjerë në lidhje me dashjen/qëllimin e tij, shkalla e shpërdorimit të detyrës nga ana e kërkuesit rezultoi të ishte e tillë që të shkonte përtej neglizhencës së thjeshtë.</w:t>
      </w:r>
    </w:p>
    <w:p w14:paraId="6D900852" w14:textId="7E4E9D32"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59. Në përfundim, Gjykata konstaton se ekziston një bazë ligjore për dënimin e kërkuesit dhe për dënimin për shpërdorim detyre. Përfundimet e gjykatave vendase për elementet përbërs</w:t>
      </w:r>
      <w:r w:rsidR="00DB0893">
        <w:rPr>
          <w:rFonts w:ascii="Garamond" w:hAnsi="Garamond" w:cs="Times New Roman"/>
          <w:color w:val="000000"/>
          <w:sz w:val="24"/>
          <w:szCs w:val="24"/>
        </w:rPr>
        <w:t>e</w:t>
      </w:r>
      <w:r w:rsidRPr="00A11DD7">
        <w:rPr>
          <w:rFonts w:ascii="Garamond" w:hAnsi="Garamond" w:cs="Times New Roman"/>
          <w:color w:val="000000"/>
          <w:sz w:val="24"/>
          <w:szCs w:val="24"/>
        </w:rPr>
        <w:t xml:space="preserve"> të veprës penale dhe konkretizimi i tyre në sjelljen e kërkuesit duhet të konsiderohen se janë pjesë e kompetencave të atyre gjykatave për të interpretuar dhe zbatuar ligjin vendas, dhe kërkuesi, i cili ishte një zyrtar i nivelit të lartë në Ministrinë e Mbrojtjes, mund të kishte parashikuar se sjellja e tij do ta bënte atë përgjegjës penalisht sipas këtyre dispozitave.</w:t>
      </w:r>
    </w:p>
    <w:p w14:paraId="499C1CB6" w14:textId="53E31E7B" w:rsidR="0048725C" w:rsidRPr="00A11DD7" w:rsidRDefault="0048725C" w:rsidP="0048725C">
      <w:pPr>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60. Për këtë arsye, Gjykata vlerëson se ankesa është qartazi e pambështetur në fakte dhe duhet të rrëzohet në përputhje me </w:t>
      </w:r>
      <w:r w:rsidR="00DB0893">
        <w:rPr>
          <w:rFonts w:ascii="Garamond" w:hAnsi="Garamond" w:cs="Times New Roman"/>
          <w:color w:val="000000"/>
          <w:sz w:val="24"/>
          <w:szCs w:val="24"/>
        </w:rPr>
        <w:t>n</w:t>
      </w:r>
      <w:r w:rsidRPr="00A11DD7">
        <w:rPr>
          <w:rFonts w:ascii="Garamond" w:hAnsi="Garamond" w:cs="Times New Roman"/>
          <w:color w:val="000000"/>
          <w:sz w:val="24"/>
          <w:szCs w:val="24"/>
        </w:rPr>
        <w:t>enin 35 §§ 3 (a) dhe 4 të Konventës.</w:t>
      </w:r>
    </w:p>
    <w:p w14:paraId="5EC7BA39" w14:textId="4B152B27"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 Për këto arsye, Gjykata, në mënyrë unanime,</w:t>
      </w:r>
    </w:p>
    <w:p w14:paraId="4893B479" w14:textId="732AD6BB"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i/>
          <w:iCs/>
          <w:color w:val="000000"/>
          <w:sz w:val="24"/>
          <w:szCs w:val="24"/>
        </w:rPr>
        <w:t xml:space="preserve"> E shpall </w:t>
      </w:r>
      <w:r w:rsidRPr="00A11DD7">
        <w:rPr>
          <w:rFonts w:ascii="Garamond" w:hAnsi="Garamond" w:cs="Times New Roman"/>
          <w:color w:val="000000"/>
          <w:sz w:val="24"/>
          <w:szCs w:val="24"/>
        </w:rPr>
        <w:t>kërkesën të papranueshme.</w:t>
      </w:r>
    </w:p>
    <w:p w14:paraId="63096117" w14:textId="5E686501" w:rsidR="0048725C" w:rsidRPr="00A11DD7" w:rsidRDefault="0048725C" w:rsidP="0048725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11DD7">
        <w:rPr>
          <w:rFonts w:ascii="Garamond" w:hAnsi="Garamond" w:cs="Times New Roman"/>
          <w:color w:val="000000"/>
          <w:sz w:val="24"/>
          <w:szCs w:val="24"/>
        </w:rPr>
        <w:t xml:space="preserve"> Hartuar në anglisht dhe njoftuar me shkrim më 16 </w:t>
      </w:r>
      <w:r w:rsidR="00DB0893">
        <w:rPr>
          <w:rFonts w:ascii="Garamond" w:hAnsi="Garamond" w:cs="Times New Roman"/>
          <w:color w:val="000000"/>
          <w:sz w:val="24"/>
          <w:szCs w:val="24"/>
        </w:rPr>
        <w:t>t</w:t>
      </w:r>
      <w:r w:rsidRPr="00A11DD7">
        <w:rPr>
          <w:rFonts w:ascii="Garamond" w:hAnsi="Garamond" w:cs="Times New Roman"/>
          <w:color w:val="000000"/>
          <w:sz w:val="24"/>
          <w:szCs w:val="24"/>
        </w:rPr>
        <w:t xml:space="preserve">etor 2025. </w:t>
      </w:r>
    </w:p>
    <w:p w14:paraId="79DE933B" w14:textId="1C4F73D3" w:rsidR="0048725C" w:rsidRPr="00A11DD7" w:rsidRDefault="0048725C" w:rsidP="0048725C">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p>
    <w:p w14:paraId="6AC34381" w14:textId="43647E48" w:rsidR="0048725C" w:rsidRPr="00A11DD7" w:rsidRDefault="0048725C" w:rsidP="00496CB5">
      <w:pPr>
        <w:tabs>
          <w:tab w:val="left" w:pos="560"/>
          <w:tab w:val="left" w:pos="1120"/>
        </w:tabs>
        <w:autoSpaceDE w:val="0"/>
        <w:autoSpaceDN w:val="0"/>
        <w:adjustRightInd w:val="0"/>
        <w:spacing w:after="0" w:line="240" w:lineRule="auto"/>
        <w:ind w:firstLine="284"/>
        <w:jc w:val="right"/>
        <w:rPr>
          <w:rFonts w:ascii="Garamond" w:hAnsi="Garamond" w:cs="Times New Roman"/>
          <w:b/>
          <w:color w:val="000000"/>
          <w:sz w:val="24"/>
          <w:szCs w:val="24"/>
        </w:rPr>
      </w:pPr>
      <w:r w:rsidRPr="00A11DD7">
        <w:rPr>
          <w:rFonts w:ascii="Garamond" w:hAnsi="Garamond" w:cs="Times New Roman"/>
          <w:b/>
          <w:color w:val="000000"/>
          <w:sz w:val="24"/>
          <w:szCs w:val="24"/>
        </w:rPr>
        <w:t xml:space="preserve">Olga Chernishova </w:t>
      </w:r>
    </w:p>
    <w:p w14:paraId="60019C7B" w14:textId="4361C97E" w:rsidR="0048725C" w:rsidRPr="00A11DD7" w:rsidRDefault="00DB0893" w:rsidP="00496CB5">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rPr>
      </w:pPr>
      <w:r w:rsidRPr="00A11DD7">
        <w:rPr>
          <w:rFonts w:ascii="Garamond" w:hAnsi="Garamond" w:cs="Times New Roman"/>
          <w:color w:val="000000"/>
          <w:sz w:val="24"/>
          <w:szCs w:val="24"/>
        </w:rPr>
        <w:t>ZËVENDËSSEKRETARE</w:t>
      </w:r>
      <w:r w:rsidR="00004FA6">
        <w:rPr>
          <w:rFonts w:ascii="Garamond" w:hAnsi="Garamond" w:cs="Times New Roman"/>
          <w:color w:val="000000"/>
          <w:sz w:val="24"/>
          <w:szCs w:val="24"/>
        </w:rPr>
        <w:t xml:space="preserve"> </w:t>
      </w:r>
    </w:p>
    <w:p w14:paraId="2D22FFA9" w14:textId="0AC03C06" w:rsidR="00BC78CF" w:rsidRPr="00A11DD7" w:rsidRDefault="00BC78CF" w:rsidP="00496CB5">
      <w:pPr>
        <w:spacing w:after="0" w:line="240" w:lineRule="auto"/>
        <w:ind w:firstLine="284"/>
        <w:jc w:val="right"/>
        <w:rPr>
          <w:rFonts w:ascii="Garamond" w:hAnsi="Garamond"/>
          <w:sz w:val="24"/>
          <w:szCs w:val="24"/>
        </w:rPr>
      </w:pPr>
    </w:p>
    <w:p w14:paraId="0665767C" w14:textId="77777777" w:rsidR="00496CB5" w:rsidRPr="00A11DD7" w:rsidRDefault="00496CB5" w:rsidP="00496CB5">
      <w:pPr>
        <w:spacing w:after="0" w:line="240" w:lineRule="auto"/>
        <w:ind w:firstLine="284"/>
        <w:jc w:val="right"/>
        <w:rPr>
          <w:rFonts w:ascii="Garamond" w:hAnsi="Garamond" w:cs="Times New Roman"/>
          <w:b/>
          <w:color w:val="000000"/>
          <w:sz w:val="24"/>
          <w:szCs w:val="24"/>
        </w:rPr>
      </w:pPr>
      <w:r w:rsidRPr="00A11DD7">
        <w:rPr>
          <w:rFonts w:ascii="Garamond" w:hAnsi="Garamond" w:cs="Times New Roman"/>
          <w:b/>
          <w:color w:val="000000"/>
          <w:sz w:val="24"/>
          <w:szCs w:val="24"/>
        </w:rPr>
        <w:t xml:space="preserve">Úna Ní Raifeartaigh </w:t>
      </w:r>
    </w:p>
    <w:p w14:paraId="6BC1AA51" w14:textId="07A9AC76" w:rsidR="00F5332C" w:rsidRPr="00A11DD7" w:rsidRDefault="00DB0893" w:rsidP="00496CB5">
      <w:pPr>
        <w:spacing w:after="0" w:line="240" w:lineRule="auto"/>
        <w:ind w:firstLine="284"/>
        <w:jc w:val="right"/>
        <w:rPr>
          <w:rFonts w:ascii="Garamond" w:hAnsi="Garamond"/>
          <w:sz w:val="24"/>
          <w:szCs w:val="24"/>
        </w:rPr>
      </w:pPr>
      <w:r w:rsidRPr="00A11DD7">
        <w:rPr>
          <w:rFonts w:ascii="Garamond" w:hAnsi="Garamond" w:cs="Times New Roman"/>
          <w:color w:val="000000"/>
          <w:sz w:val="24"/>
          <w:szCs w:val="24"/>
        </w:rPr>
        <w:t>KRYETARE</w:t>
      </w:r>
    </w:p>
    <w:sectPr w:rsidR="00F5332C" w:rsidRPr="00A11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04FA6"/>
    <w:rsid w:val="00011A19"/>
    <w:rsid w:val="0001697C"/>
    <w:rsid w:val="00064FDD"/>
    <w:rsid w:val="00071BB9"/>
    <w:rsid w:val="0007396F"/>
    <w:rsid w:val="000843A3"/>
    <w:rsid w:val="00093903"/>
    <w:rsid w:val="000A0D30"/>
    <w:rsid w:val="000A33D3"/>
    <w:rsid w:val="000C0908"/>
    <w:rsid w:val="000C5E68"/>
    <w:rsid w:val="000F48DC"/>
    <w:rsid w:val="000F74B6"/>
    <w:rsid w:val="00126DFF"/>
    <w:rsid w:val="00131897"/>
    <w:rsid w:val="0014568A"/>
    <w:rsid w:val="001551BD"/>
    <w:rsid w:val="001567CA"/>
    <w:rsid w:val="001574C5"/>
    <w:rsid w:val="0016691A"/>
    <w:rsid w:val="001C517C"/>
    <w:rsid w:val="001D4E73"/>
    <w:rsid w:val="00204D6F"/>
    <w:rsid w:val="00206E43"/>
    <w:rsid w:val="00214D39"/>
    <w:rsid w:val="002165F3"/>
    <w:rsid w:val="00220A38"/>
    <w:rsid w:val="00222EA2"/>
    <w:rsid w:val="00232150"/>
    <w:rsid w:val="002363A9"/>
    <w:rsid w:val="00261F38"/>
    <w:rsid w:val="00265762"/>
    <w:rsid w:val="0028358F"/>
    <w:rsid w:val="002A21F8"/>
    <w:rsid w:val="002C21B1"/>
    <w:rsid w:val="002C7122"/>
    <w:rsid w:val="002E286B"/>
    <w:rsid w:val="002E28BA"/>
    <w:rsid w:val="00302224"/>
    <w:rsid w:val="00324421"/>
    <w:rsid w:val="003334D1"/>
    <w:rsid w:val="0036540F"/>
    <w:rsid w:val="00365AE3"/>
    <w:rsid w:val="00386B82"/>
    <w:rsid w:val="00387FA9"/>
    <w:rsid w:val="003A1254"/>
    <w:rsid w:val="003E016F"/>
    <w:rsid w:val="003F3D67"/>
    <w:rsid w:val="00412455"/>
    <w:rsid w:val="00420FCC"/>
    <w:rsid w:val="004326E6"/>
    <w:rsid w:val="004429C1"/>
    <w:rsid w:val="004509DF"/>
    <w:rsid w:val="00451F03"/>
    <w:rsid w:val="0048725C"/>
    <w:rsid w:val="004943C8"/>
    <w:rsid w:val="00495544"/>
    <w:rsid w:val="00496CB5"/>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09C3"/>
    <w:rsid w:val="005748A5"/>
    <w:rsid w:val="00591C6C"/>
    <w:rsid w:val="005B5F43"/>
    <w:rsid w:val="005C0089"/>
    <w:rsid w:val="005C18A7"/>
    <w:rsid w:val="005F421D"/>
    <w:rsid w:val="0061636A"/>
    <w:rsid w:val="00631241"/>
    <w:rsid w:val="0066067F"/>
    <w:rsid w:val="00662063"/>
    <w:rsid w:val="0067192E"/>
    <w:rsid w:val="00677538"/>
    <w:rsid w:val="00680408"/>
    <w:rsid w:val="00692570"/>
    <w:rsid w:val="006A2DA6"/>
    <w:rsid w:val="007165FA"/>
    <w:rsid w:val="00724FF2"/>
    <w:rsid w:val="007436A1"/>
    <w:rsid w:val="0077573A"/>
    <w:rsid w:val="00784F15"/>
    <w:rsid w:val="00790CF7"/>
    <w:rsid w:val="00797BDC"/>
    <w:rsid w:val="007A00F9"/>
    <w:rsid w:val="007A461B"/>
    <w:rsid w:val="007A657F"/>
    <w:rsid w:val="007E0E9E"/>
    <w:rsid w:val="0084433D"/>
    <w:rsid w:val="008846AE"/>
    <w:rsid w:val="008C55F4"/>
    <w:rsid w:val="008C7EE7"/>
    <w:rsid w:val="008D15FD"/>
    <w:rsid w:val="008F0E16"/>
    <w:rsid w:val="009053DA"/>
    <w:rsid w:val="00917422"/>
    <w:rsid w:val="00961A75"/>
    <w:rsid w:val="009719B8"/>
    <w:rsid w:val="009822A2"/>
    <w:rsid w:val="00993B15"/>
    <w:rsid w:val="009A23B6"/>
    <w:rsid w:val="00A10771"/>
    <w:rsid w:val="00A11DD7"/>
    <w:rsid w:val="00A3131A"/>
    <w:rsid w:val="00A4634C"/>
    <w:rsid w:val="00A46BE7"/>
    <w:rsid w:val="00A51BE5"/>
    <w:rsid w:val="00A84B62"/>
    <w:rsid w:val="00A95DBE"/>
    <w:rsid w:val="00AB7D07"/>
    <w:rsid w:val="00AD6F91"/>
    <w:rsid w:val="00AE6691"/>
    <w:rsid w:val="00B01970"/>
    <w:rsid w:val="00B022DA"/>
    <w:rsid w:val="00B07E60"/>
    <w:rsid w:val="00B119FC"/>
    <w:rsid w:val="00B16E3C"/>
    <w:rsid w:val="00B268BE"/>
    <w:rsid w:val="00B363FA"/>
    <w:rsid w:val="00B95EFE"/>
    <w:rsid w:val="00BB50B0"/>
    <w:rsid w:val="00BB6F9D"/>
    <w:rsid w:val="00BB777A"/>
    <w:rsid w:val="00BC4560"/>
    <w:rsid w:val="00BC78CF"/>
    <w:rsid w:val="00BD00CF"/>
    <w:rsid w:val="00BF482C"/>
    <w:rsid w:val="00C0163A"/>
    <w:rsid w:val="00C12399"/>
    <w:rsid w:val="00C80ABB"/>
    <w:rsid w:val="00C9462E"/>
    <w:rsid w:val="00C95924"/>
    <w:rsid w:val="00CA5391"/>
    <w:rsid w:val="00CC0E23"/>
    <w:rsid w:val="00CC1BA0"/>
    <w:rsid w:val="00CC5B7C"/>
    <w:rsid w:val="00D238CA"/>
    <w:rsid w:val="00D55481"/>
    <w:rsid w:val="00D624AB"/>
    <w:rsid w:val="00D67644"/>
    <w:rsid w:val="00D72D59"/>
    <w:rsid w:val="00D8245B"/>
    <w:rsid w:val="00D83955"/>
    <w:rsid w:val="00DA512A"/>
    <w:rsid w:val="00DB0893"/>
    <w:rsid w:val="00DB3128"/>
    <w:rsid w:val="00DB4920"/>
    <w:rsid w:val="00E11D35"/>
    <w:rsid w:val="00E13DFD"/>
    <w:rsid w:val="00E154BC"/>
    <w:rsid w:val="00E3764D"/>
    <w:rsid w:val="00E53E37"/>
    <w:rsid w:val="00E6558D"/>
    <w:rsid w:val="00E70897"/>
    <w:rsid w:val="00E7372A"/>
    <w:rsid w:val="00E910FA"/>
    <w:rsid w:val="00EA6DB4"/>
    <w:rsid w:val="00EF009A"/>
    <w:rsid w:val="00EF1B46"/>
    <w:rsid w:val="00EF200C"/>
    <w:rsid w:val="00EF2A0A"/>
    <w:rsid w:val="00F23FBB"/>
    <w:rsid w:val="00F45C03"/>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FFA9"/>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25C"/>
    <w:pPr>
      <w:autoSpaceDE w:val="0"/>
      <w:autoSpaceDN w:val="0"/>
      <w:adjustRightInd w:val="0"/>
      <w:spacing w:after="200" w:line="302" w:lineRule="atLeast"/>
      <w:ind w:left="720"/>
    </w:pPr>
    <w:rPr>
      <w:rFonts w:ascii="Times New Roman" w:hAnsi="Times New Roman" w:cs="Times New Roman"/>
      <w:color w:val="000000"/>
    </w:rPr>
  </w:style>
  <w:style w:type="paragraph" w:customStyle="1" w:styleId="ECHRDecisionBody">
    <w:name w:val="ECHR_Decision_Body"/>
    <w:aliases w:val="Ju_Judges"/>
    <w:basedOn w:val="Normal"/>
    <w:uiPriority w:val="99"/>
    <w:rsid w:val="0048725C"/>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rPr>
  </w:style>
  <w:style w:type="paragraph" w:customStyle="1" w:styleId="ECHRPara">
    <w:name w:val="ECHR_Para"/>
    <w:aliases w:val="Ju_Para"/>
    <w:basedOn w:val="Normal"/>
    <w:uiPriority w:val="99"/>
    <w:rsid w:val="0048725C"/>
    <w:pPr>
      <w:autoSpaceDE w:val="0"/>
      <w:autoSpaceDN w:val="0"/>
      <w:adjustRightInd w:val="0"/>
      <w:spacing w:after="200" w:line="330" w:lineRule="atLeast"/>
      <w:ind w:firstLine="280"/>
      <w:jc w:val="both"/>
    </w:pPr>
    <w:rPr>
      <w:rFonts w:ascii="Times New Roman" w:hAnsi="Times New Roman" w:cs="Times New Roman"/>
      <w:color w:val="000000"/>
      <w:sz w:val="24"/>
      <w:szCs w:val="24"/>
    </w:rPr>
  </w:style>
  <w:style w:type="paragraph" w:styleId="NoSpacing">
    <w:name w:val="No Spacing"/>
    <w:uiPriority w:val="99"/>
    <w:qFormat/>
    <w:rsid w:val="0048725C"/>
    <w:pPr>
      <w:autoSpaceDE w:val="0"/>
      <w:autoSpaceDN w:val="0"/>
      <w:adjustRightInd w:val="0"/>
      <w:spacing w:after="0" w:line="240" w:lineRule="auto"/>
    </w:pPr>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9DF24334A4B4D99A3C6FBA9961101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57271-14</Nr_x002e__x0020_akti>
    <Data_x0020_e_x0020_Krijimit xmlns="0e656187-b300-4fb0-8bf4-3a50f872073c">2025-11-04T12:35:27Z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2025-11-03T00:00:00Z</Date_x0020_protokolli>
    <Titulli xmlns="0e656187-b300-4fb0-8bf4-3a50f872073c">Çështja Ndue Marku kundër Shqipërisë</Titulli>
    <Modifikuesi xmlns="0e656187-b300-4fb0-8bf4-3a50f872073c">Fjora.Cahani</Modifikuesi>
    <Nr_x002e__x0020_prot_x0020_QBZ xmlns="0e656187-b300-4fb0-8bf4-3a50f872073c">1830/1</Nr_x002e__x0020_prot_x0020_QBZ>
    <Data_x0020_e_x0020_Modifikimit xmlns="0e656187-b300-4fb0-8bf4-3a50f872073c">2025-11-04T14:14:02Z</Data_x0020_e_x0020_Modifikimit>
    <Dekretuar xmlns="0e656187-b300-4fb0-8bf4-3a50f872073c">false</Dekretuar>
    <Data xmlns="0e656187-b300-4fb0-8bf4-3a50f872073c">2025-10-16T00:00:00Z</Data>
    <Nr_x002e__x0020_protokolli_x0020_i_x0020_aktit xmlns="0e656187-b300-4fb0-8bf4-3a50f872073c">5298/1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DF24334A4B4D99A3C6FBA9961101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F0C418A-4E96-43ED-85F1-83FB59377D7C}">
  <ds:schemaRefs>
    <ds:schemaRef ds:uri="http://schemas.microsoft.com/sharepoint/v3/contenttype/forms"/>
  </ds:schemaRefs>
</ds:datastoreItem>
</file>

<file path=customXml/itemProps2.xml><?xml version="1.0" encoding="utf-8"?>
<ds:datastoreItem xmlns:ds="http://schemas.openxmlformats.org/officeDocument/2006/customXml" ds:itemID="{686A8522-1CB1-485E-B74A-BADF2B143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E17C5D1-7419-435F-A70C-70E3143F593D}">
  <ds:schemaRefs>
    <ds:schemaRef ds:uri="http://purl.org/dc/elements/1.1/"/>
    <ds:schemaRef ds:uri="http://schemas.microsoft.com/office/2006/documentManagement/types"/>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1E465BD0-C49A-43C8-8D13-60F918A473B7}">
  <ds:schemaRefs>
    <ds:schemaRef ds:uri="http://schemas.microsoft.com/sharepoint/v3/contenttype/forms"/>
  </ds:schemaRefs>
</ds:datastoreItem>
</file>

<file path=customXml/itemProps5.xml><?xml version="1.0" encoding="utf-8"?>
<ds:datastoreItem xmlns:ds="http://schemas.openxmlformats.org/officeDocument/2006/customXml" ds:itemID="{053F448D-AB23-4AE4-AC78-4182A5BE1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3174</Words>
  <Characters>18096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Çështja Ndue Marku kundër Shqipërisë</vt:lpstr>
    </vt:vector>
  </TitlesOfParts>
  <Company/>
  <LinksUpToDate>false</LinksUpToDate>
  <CharactersWithSpaces>21228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Ndue Marku kundër Shqipërisë</dc:title>
  <dc:creator>Entela Suli</dc:creator>
  <cp:lastModifiedBy>Valeta Kaftalli</cp:lastModifiedBy>
  <cp:revision>10</cp:revision>
  <dcterms:created xsi:type="dcterms:W3CDTF">2025-11-04T10:33:00Z</dcterms:created>
  <dcterms:modified xsi:type="dcterms:W3CDTF">2025-11-05T08:51:00Z</dcterms:modified>
</cp:coreProperties>
</file>