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AA9A9F" w14:textId="77777777" w:rsidR="00E04470" w:rsidRPr="00E40A34" w:rsidRDefault="00E04470" w:rsidP="00875700">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GJYKATA EVROPIANE E TË DREJTAVE TË NJERIUT</w:t>
      </w:r>
    </w:p>
    <w:p w14:paraId="7700A014" w14:textId="77777777" w:rsidR="00E04470" w:rsidRPr="00E40A34" w:rsidRDefault="00E04470" w:rsidP="00875700">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SEKSIONI I TRETË</w:t>
      </w:r>
    </w:p>
    <w:p w14:paraId="52BAB807" w14:textId="77777777" w:rsidR="00875700" w:rsidRPr="00E40A34" w:rsidRDefault="00875700" w:rsidP="00875700">
      <w:pPr>
        <w:autoSpaceDE w:val="0"/>
        <w:autoSpaceDN w:val="0"/>
        <w:adjustRightInd w:val="0"/>
        <w:spacing w:after="0" w:line="240" w:lineRule="auto"/>
        <w:ind w:firstLine="284"/>
        <w:jc w:val="center"/>
        <w:rPr>
          <w:rFonts w:ascii="Garamond" w:eastAsiaTheme="minorHAnsi" w:hAnsi="Garamond"/>
          <w:b/>
          <w:bCs/>
          <w:color w:val="000000"/>
          <w:sz w:val="24"/>
          <w:szCs w:val="24"/>
          <w:lang w:val="sq-AL"/>
          <w14:ligatures w14:val="standardContextual"/>
        </w:rPr>
      </w:pPr>
    </w:p>
    <w:p w14:paraId="6B0CACF2" w14:textId="497CC5BD" w:rsidR="00E04470" w:rsidRPr="00E40A34" w:rsidRDefault="00E04470" w:rsidP="00875700">
      <w:pPr>
        <w:autoSpaceDE w:val="0"/>
        <w:autoSpaceDN w:val="0"/>
        <w:adjustRightInd w:val="0"/>
        <w:spacing w:after="0" w:line="240" w:lineRule="auto"/>
        <w:ind w:firstLine="284"/>
        <w:jc w:val="center"/>
        <w:rPr>
          <w:rFonts w:ascii="Garamond" w:eastAsiaTheme="minorHAnsi" w:hAnsi="Garamond"/>
          <w:b/>
          <w:bCs/>
          <w:color w:val="000000"/>
          <w:sz w:val="24"/>
          <w:szCs w:val="24"/>
          <w:lang w:val="sq-AL"/>
          <w14:ligatures w14:val="standardContextual"/>
        </w:rPr>
      </w:pPr>
      <w:r w:rsidRPr="00E40A34">
        <w:rPr>
          <w:rFonts w:ascii="Garamond" w:eastAsiaTheme="minorHAnsi" w:hAnsi="Garamond"/>
          <w:b/>
          <w:bCs/>
          <w:color w:val="000000"/>
          <w:sz w:val="24"/>
          <w:szCs w:val="24"/>
          <w:lang w:val="sq-AL"/>
          <w14:ligatures w14:val="standardContextual"/>
        </w:rPr>
        <w:t>ÇËSHTJA TASHI KUNDËR SHQIPËRISË</w:t>
      </w:r>
    </w:p>
    <w:p w14:paraId="1E5722F4" w14:textId="21DFDB2E" w:rsidR="00E04470" w:rsidRPr="00E40A34" w:rsidRDefault="00E04470" w:rsidP="00875700">
      <w:pPr>
        <w:autoSpaceDE w:val="0"/>
        <w:autoSpaceDN w:val="0"/>
        <w:adjustRightInd w:val="0"/>
        <w:spacing w:after="0" w:line="240" w:lineRule="auto"/>
        <w:ind w:firstLine="284"/>
        <w:jc w:val="center"/>
        <w:rPr>
          <w:rFonts w:ascii="Garamond" w:eastAsiaTheme="minorHAnsi" w:hAnsi="Garamond"/>
          <w:i/>
          <w:iCs/>
          <w:color w:val="000000"/>
          <w:sz w:val="24"/>
          <w:szCs w:val="24"/>
          <w:lang w:val="sq-AL"/>
          <w14:ligatures w14:val="standardContextual"/>
        </w:rPr>
      </w:pPr>
      <w:r w:rsidRPr="00E40A34">
        <w:rPr>
          <w:rFonts w:ascii="Garamond" w:eastAsiaTheme="minorHAnsi" w:hAnsi="Garamond"/>
          <w:i/>
          <w:iCs/>
          <w:color w:val="000000"/>
          <w:sz w:val="24"/>
          <w:szCs w:val="24"/>
          <w:lang w:val="sq-AL"/>
          <w14:ligatures w14:val="standardContextual"/>
        </w:rPr>
        <w:t>(</w:t>
      </w:r>
      <w:r w:rsidR="00924FB5" w:rsidRPr="00E40A34">
        <w:rPr>
          <w:rFonts w:ascii="Garamond" w:eastAsiaTheme="minorHAnsi" w:hAnsi="Garamond"/>
          <w:i/>
          <w:iCs/>
          <w:color w:val="000000"/>
          <w:sz w:val="24"/>
          <w:szCs w:val="24"/>
          <w:lang w:val="sq-AL"/>
          <w14:ligatures w14:val="standardContextual"/>
        </w:rPr>
        <w:t xml:space="preserve">kërkesa </w:t>
      </w:r>
      <w:r w:rsidRPr="00E40A34">
        <w:rPr>
          <w:rFonts w:ascii="Garamond" w:eastAsiaTheme="minorHAnsi" w:hAnsi="Garamond"/>
          <w:i/>
          <w:iCs/>
          <w:color w:val="000000"/>
          <w:sz w:val="24"/>
          <w:szCs w:val="24"/>
          <w:lang w:val="sq-AL"/>
          <w14:ligatures w14:val="standardContextual"/>
        </w:rPr>
        <w:t>nr. 1351/19)</w:t>
      </w:r>
    </w:p>
    <w:p w14:paraId="29236DE5" w14:textId="77777777" w:rsidR="00DB7F0B" w:rsidRDefault="00DB7F0B" w:rsidP="00875700">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p>
    <w:p w14:paraId="4F92FB00" w14:textId="593D8BA7" w:rsidR="00E04470" w:rsidRPr="00E40A34" w:rsidRDefault="00E04470" w:rsidP="00875700">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bookmarkStart w:id="0" w:name="_GoBack"/>
      <w:bookmarkEnd w:id="0"/>
      <w:r w:rsidRPr="00E40A34">
        <w:rPr>
          <w:rFonts w:ascii="Garamond" w:eastAsiaTheme="minorHAnsi" w:hAnsi="Garamond"/>
          <w:color w:val="000000"/>
          <w:sz w:val="24"/>
          <w:szCs w:val="24"/>
          <w:lang w:val="sq-AL"/>
          <w14:ligatures w14:val="standardContextual"/>
        </w:rPr>
        <w:t>VENDIM</w:t>
      </w:r>
    </w:p>
    <w:p w14:paraId="0E8139E3" w14:textId="77777777" w:rsidR="00E04470" w:rsidRPr="00E40A34" w:rsidRDefault="00E04470" w:rsidP="00875700">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p>
    <w:p w14:paraId="3E8A4C72" w14:textId="191F3D2F" w:rsidR="00E04470" w:rsidRPr="00E40A34" w:rsidRDefault="00E04470" w:rsidP="00875700">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STRASBURG</w:t>
      </w:r>
    </w:p>
    <w:p w14:paraId="2CE69453" w14:textId="1E3B050D" w:rsidR="00E04470" w:rsidRPr="00E40A34" w:rsidRDefault="00E04470" w:rsidP="00875700">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 xml:space="preserve">13 </w:t>
      </w:r>
      <w:r w:rsidR="00DB7F0B" w:rsidRPr="00E40A34">
        <w:rPr>
          <w:rFonts w:ascii="Garamond" w:eastAsiaTheme="minorHAnsi" w:hAnsi="Garamond"/>
          <w:color w:val="000000"/>
          <w:sz w:val="24"/>
          <w:szCs w:val="24"/>
          <w:lang w:val="sq-AL"/>
          <w14:ligatures w14:val="standardContextual"/>
        </w:rPr>
        <w:t xml:space="preserve">janar </w:t>
      </w:r>
      <w:r w:rsidRPr="00E40A34">
        <w:rPr>
          <w:rFonts w:ascii="Garamond" w:eastAsiaTheme="minorHAnsi" w:hAnsi="Garamond"/>
          <w:color w:val="000000"/>
          <w:sz w:val="24"/>
          <w:szCs w:val="24"/>
          <w:lang w:val="sq-AL"/>
          <w14:ligatures w14:val="standardContextual"/>
        </w:rPr>
        <w:t>2026</w:t>
      </w:r>
    </w:p>
    <w:p w14:paraId="77DD0B1E" w14:textId="77777777" w:rsidR="00E04470" w:rsidRPr="00E40A34" w:rsidRDefault="00E04470" w:rsidP="00875700">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p>
    <w:p w14:paraId="219843CC" w14:textId="0A9795C4" w:rsidR="00E04470" w:rsidRPr="00E40A34" w:rsidRDefault="00E04470" w:rsidP="00875700">
      <w:pPr>
        <w:autoSpaceDE w:val="0"/>
        <w:autoSpaceDN w:val="0"/>
        <w:adjustRightInd w:val="0"/>
        <w:spacing w:after="0" w:line="240" w:lineRule="auto"/>
        <w:ind w:firstLine="284"/>
        <w:jc w:val="center"/>
        <w:rPr>
          <w:rFonts w:ascii="Garamond" w:eastAsiaTheme="minorHAnsi" w:hAnsi="Garamond"/>
          <w:i/>
          <w:iCs/>
          <w:color w:val="000000"/>
          <w:sz w:val="24"/>
          <w:szCs w:val="24"/>
          <w:lang w:val="sq-AL"/>
          <w14:ligatures w14:val="standardContextual"/>
        </w:rPr>
      </w:pPr>
      <w:r w:rsidRPr="00E40A34">
        <w:rPr>
          <w:rFonts w:ascii="Garamond" w:eastAsiaTheme="minorHAnsi" w:hAnsi="Garamond"/>
          <w:i/>
          <w:iCs/>
          <w:color w:val="000000"/>
          <w:sz w:val="24"/>
          <w:szCs w:val="24"/>
          <w:lang w:val="sq-AL"/>
          <w14:ligatures w14:val="standardContextual"/>
        </w:rPr>
        <w:t xml:space="preserve">Ky vendim është i formës së prerë, por mund të jetë subjekt i rishikimit redaktues. </w:t>
      </w:r>
    </w:p>
    <w:p w14:paraId="2A1602D0" w14:textId="77777777" w:rsidR="00E04470" w:rsidRPr="00E40A34" w:rsidRDefault="00E04470" w:rsidP="00875700">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p>
    <w:p w14:paraId="30E72CC8" w14:textId="4061202C" w:rsidR="00E04470" w:rsidRPr="00E40A34" w:rsidRDefault="00E04470" w:rsidP="00875700">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E40A34">
        <w:rPr>
          <w:rFonts w:ascii="Garamond" w:eastAsiaTheme="minorHAnsi" w:hAnsi="Garamond"/>
          <w:b/>
          <w:bCs/>
          <w:color w:val="000000"/>
          <w:sz w:val="24"/>
          <w:szCs w:val="24"/>
          <w:lang w:val="sq-AL"/>
          <w14:ligatures w14:val="standardContextual"/>
        </w:rPr>
        <w:t>Në çështjen Tashi kundër Shqipërisë</w:t>
      </w:r>
    </w:p>
    <w:p w14:paraId="6E314E5F" w14:textId="7DD702CC" w:rsidR="00E04470" w:rsidRPr="00E40A34" w:rsidRDefault="00E04470" w:rsidP="0087570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 xml:space="preserve">Gjykata Evropiane e të Drejtave të Njeriut (Seksioni i Tretë), e mbledhur si një Komitet i përbërë nga: </w:t>
      </w:r>
    </w:p>
    <w:p w14:paraId="74987DBB" w14:textId="3CE9A07F" w:rsidR="00E04470" w:rsidRPr="00E40A34" w:rsidRDefault="00875700" w:rsidP="00875700">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 xml:space="preserve"> </w:t>
      </w:r>
      <w:r w:rsidR="00E04470" w:rsidRPr="00E40A34">
        <w:rPr>
          <w:rFonts w:ascii="Garamond" w:eastAsiaTheme="minorHAnsi" w:hAnsi="Garamond"/>
          <w:color w:val="000000"/>
          <w:sz w:val="24"/>
          <w:szCs w:val="24"/>
          <w:lang w:val="sq-AL"/>
          <w14:ligatures w14:val="standardContextual"/>
        </w:rPr>
        <w:t>Úna Ní Raifeartaigh,</w:t>
      </w:r>
      <w:r w:rsidR="00E04470" w:rsidRPr="00E40A34">
        <w:rPr>
          <w:rFonts w:ascii="Garamond" w:eastAsiaTheme="minorHAnsi" w:hAnsi="Garamond"/>
          <w:i/>
          <w:iCs/>
          <w:color w:val="000000"/>
          <w:sz w:val="24"/>
          <w:szCs w:val="24"/>
          <w:lang w:val="sq-AL"/>
          <w14:ligatures w14:val="standardContextual"/>
        </w:rPr>
        <w:t xml:space="preserve"> </w:t>
      </w:r>
      <w:r w:rsidR="00E40A34" w:rsidRPr="00E40A34">
        <w:rPr>
          <w:rFonts w:ascii="Garamond" w:eastAsiaTheme="minorHAnsi" w:hAnsi="Garamond"/>
          <w:i/>
          <w:iCs/>
          <w:color w:val="000000"/>
          <w:sz w:val="24"/>
          <w:szCs w:val="24"/>
          <w:lang w:val="sq-AL"/>
          <w14:ligatures w14:val="standardContextual"/>
        </w:rPr>
        <w:t>kryetare</w:t>
      </w:r>
      <w:r w:rsidR="00E04470" w:rsidRPr="00E40A34">
        <w:rPr>
          <w:rFonts w:ascii="Garamond" w:eastAsiaTheme="minorHAnsi" w:hAnsi="Garamond"/>
          <w:i/>
          <w:iCs/>
          <w:color w:val="000000"/>
          <w:sz w:val="24"/>
          <w:szCs w:val="24"/>
          <w:lang w:val="sq-AL"/>
          <w14:ligatures w14:val="standardContextual"/>
        </w:rPr>
        <w:t>,</w:t>
      </w:r>
    </w:p>
    <w:p w14:paraId="16403837" w14:textId="6A2C30A8" w:rsidR="00E04470" w:rsidRPr="00E40A34" w:rsidRDefault="00875700" w:rsidP="00875700">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lang w:val="sq-AL"/>
          <w14:ligatures w14:val="standardContextual"/>
        </w:rPr>
      </w:pPr>
      <w:r w:rsidRPr="00E40A34">
        <w:rPr>
          <w:rFonts w:ascii="Garamond" w:eastAsiaTheme="minorHAnsi" w:hAnsi="Garamond"/>
          <w:i/>
          <w:iCs/>
          <w:color w:val="000000"/>
          <w:sz w:val="24"/>
          <w:szCs w:val="24"/>
          <w:lang w:val="sq-AL"/>
          <w14:ligatures w14:val="standardContextual"/>
        </w:rPr>
        <w:t xml:space="preserve"> </w:t>
      </w:r>
      <w:r w:rsidR="00E04470" w:rsidRPr="00E40A34">
        <w:rPr>
          <w:rFonts w:ascii="Garamond" w:eastAsiaTheme="minorHAnsi" w:hAnsi="Garamond"/>
          <w:color w:val="000000"/>
          <w:sz w:val="24"/>
          <w:szCs w:val="24"/>
          <w:lang w:val="sq-AL"/>
          <w14:ligatures w14:val="standardContextual"/>
        </w:rPr>
        <w:t>Darian Pavli,</w:t>
      </w:r>
      <w:r w:rsidRPr="00E40A34">
        <w:rPr>
          <w:rFonts w:ascii="Garamond" w:eastAsiaTheme="minorHAnsi" w:hAnsi="Garamond"/>
          <w:i/>
          <w:iCs/>
          <w:color w:val="000000"/>
          <w:sz w:val="24"/>
          <w:szCs w:val="24"/>
          <w:lang w:val="sq-AL"/>
          <w14:ligatures w14:val="standardContextual"/>
        </w:rPr>
        <w:t xml:space="preserve"> </w:t>
      </w:r>
    </w:p>
    <w:p w14:paraId="63BBDBC8" w14:textId="6CC42F7C" w:rsidR="00E04470" w:rsidRPr="00E40A34" w:rsidRDefault="00875700" w:rsidP="00875700">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 xml:space="preserve"> </w:t>
      </w:r>
      <w:r w:rsidR="00E04470" w:rsidRPr="00E40A34">
        <w:rPr>
          <w:rFonts w:ascii="Garamond" w:eastAsiaTheme="minorHAnsi" w:hAnsi="Garamond"/>
          <w:color w:val="000000"/>
          <w:sz w:val="24"/>
          <w:szCs w:val="24"/>
          <w:lang w:val="sq-AL"/>
          <w14:ligatures w14:val="standardContextual"/>
        </w:rPr>
        <w:t xml:space="preserve">Mateja Đurović, </w:t>
      </w:r>
      <w:r w:rsidR="00E04470" w:rsidRPr="00E40A34">
        <w:rPr>
          <w:rFonts w:ascii="Garamond" w:eastAsiaTheme="minorHAnsi" w:hAnsi="Garamond"/>
          <w:i/>
          <w:iCs/>
          <w:color w:val="000000"/>
          <w:sz w:val="24"/>
          <w:szCs w:val="24"/>
          <w:lang w:val="sq-AL"/>
          <w14:ligatures w14:val="standardContextual"/>
        </w:rPr>
        <w:t>gjyqtarë</w:t>
      </w:r>
    </w:p>
    <w:p w14:paraId="1FE2CEED" w14:textId="11D836B9" w:rsidR="00E04470" w:rsidRPr="00E40A34" w:rsidRDefault="00E04470" w:rsidP="00875700">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 xml:space="preserve">dhe Olga Chernishova, </w:t>
      </w:r>
      <w:r w:rsidR="00E40A34" w:rsidRPr="00E40A34">
        <w:rPr>
          <w:rFonts w:ascii="Garamond" w:eastAsiaTheme="minorHAnsi" w:hAnsi="Garamond"/>
          <w:i/>
          <w:iCs/>
          <w:color w:val="000000"/>
          <w:sz w:val="24"/>
          <w:szCs w:val="24"/>
          <w:lang w:val="sq-AL"/>
          <w14:ligatures w14:val="standardContextual"/>
        </w:rPr>
        <w:t xml:space="preserve">zëvendëssekretare </w:t>
      </w:r>
      <w:r w:rsidRPr="00E40A34">
        <w:rPr>
          <w:rFonts w:ascii="Garamond" w:eastAsiaTheme="minorHAnsi" w:hAnsi="Garamond"/>
          <w:i/>
          <w:iCs/>
          <w:color w:val="000000"/>
          <w:sz w:val="24"/>
          <w:szCs w:val="24"/>
          <w:lang w:val="sq-AL"/>
          <w14:ligatures w14:val="standardContextual"/>
        </w:rPr>
        <w:t>e Seksionit,</w:t>
      </w:r>
    </w:p>
    <w:p w14:paraId="668045A7" w14:textId="740A69C0" w:rsidR="00E04470" w:rsidRPr="00E40A34" w:rsidRDefault="00875700" w:rsidP="00875700">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i/>
          <w:iCs/>
          <w:color w:val="000000"/>
          <w:sz w:val="24"/>
          <w:szCs w:val="24"/>
          <w:lang w:val="sq-AL"/>
          <w14:ligatures w14:val="standardContextual"/>
        </w:rPr>
        <w:t xml:space="preserve"> </w:t>
      </w:r>
      <w:r w:rsidR="00E04470" w:rsidRPr="00E40A34">
        <w:rPr>
          <w:rFonts w:ascii="Garamond" w:eastAsiaTheme="minorHAnsi" w:hAnsi="Garamond"/>
          <w:color w:val="000000"/>
          <w:sz w:val="24"/>
          <w:szCs w:val="24"/>
          <w:lang w:val="sq-AL"/>
          <w14:ligatures w14:val="standardContextual"/>
        </w:rPr>
        <w:t xml:space="preserve">Duke mbajtur në konsideratë: </w:t>
      </w:r>
    </w:p>
    <w:p w14:paraId="5D34C347" w14:textId="21104100" w:rsidR="00E04470" w:rsidRPr="00E40A34" w:rsidRDefault="00875700" w:rsidP="00875700">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 xml:space="preserve"> </w:t>
      </w:r>
      <w:r w:rsidR="00E04470" w:rsidRPr="00E40A34">
        <w:rPr>
          <w:rFonts w:ascii="Garamond" w:eastAsiaTheme="minorHAnsi" w:hAnsi="Garamond"/>
          <w:color w:val="000000"/>
          <w:sz w:val="24"/>
          <w:szCs w:val="24"/>
          <w:lang w:val="sq-AL"/>
          <w14:ligatures w14:val="standardContextual"/>
        </w:rPr>
        <w:t xml:space="preserve">kërkesën (nr. 1351/19) kundër Republikës së Shqipërisë depozituar në Gjykatë, më 28 </w:t>
      </w:r>
      <w:r w:rsidR="00E40A34" w:rsidRPr="00E40A34">
        <w:rPr>
          <w:rFonts w:ascii="Garamond" w:eastAsiaTheme="minorHAnsi" w:hAnsi="Garamond"/>
          <w:color w:val="000000"/>
          <w:sz w:val="24"/>
          <w:szCs w:val="24"/>
          <w:lang w:val="sq-AL"/>
          <w14:ligatures w14:val="standardContextual"/>
        </w:rPr>
        <w:t xml:space="preserve">dhjetor </w:t>
      </w:r>
      <w:r w:rsidR="00E04470" w:rsidRPr="00E40A34">
        <w:rPr>
          <w:rFonts w:ascii="Garamond" w:eastAsiaTheme="minorHAnsi" w:hAnsi="Garamond"/>
          <w:color w:val="000000"/>
          <w:sz w:val="24"/>
          <w:szCs w:val="24"/>
          <w:lang w:val="sq-AL"/>
          <w14:ligatures w14:val="standardContextual"/>
        </w:rPr>
        <w:t xml:space="preserve">202018, në mbështetje të </w:t>
      </w:r>
      <w:r w:rsidR="00E40A34" w:rsidRPr="00E40A34">
        <w:rPr>
          <w:rFonts w:ascii="Garamond" w:eastAsiaTheme="minorHAnsi" w:hAnsi="Garamond"/>
          <w:color w:val="000000"/>
          <w:sz w:val="24"/>
          <w:szCs w:val="24"/>
          <w:lang w:val="sq-AL"/>
          <w14:ligatures w14:val="standardContextual"/>
        </w:rPr>
        <w:t xml:space="preserve">nenit </w:t>
      </w:r>
      <w:r w:rsidR="00E04470" w:rsidRPr="00E40A34">
        <w:rPr>
          <w:rFonts w:ascii="Garamond" w:eastAsiaTheme="minorHAnsi" w:hAnsi="Garamond"/>
          <w:color w:val="000000"/>
          <w:sz w:val="24"/>
          <w:szCs w:val="24"/>
          <w:lang w:val="sq-AL"/>
          <w14:ligatures w14:val="standardContextual"/>
        </w:rPr>
        <w:t xml:space="preserve">34 të Konventës për Mbrojtjen e të Drejtave të Njeriut dhe Lirive Themelore (“Konventa”) nga një shtetase shqiptare, </w:t>
      </w:r>
      <w:r w:rsidR="00E40A34">
        <w:rPr>
          <w:rFonts w:ascii="Garamond" w:eastAsiaTheme="minorHAnsi" w:hAnsi="Garamond"/>
          <w:color w:val="000000"/>
          <w:sz w:val="24"/>
          <w:szCs w:val="24"/>
          <w:lang w:val="sq-AL"/>
          <w14:ligatures w14:val="standardContextual"/>
        </w:rPr>
        <w:t>znj.</w:t>
      </w:r>
      <w:r w:rsidR="00E04470" w:rsidRPr="00E40A34">
        <w:rPr>
          <w:rFonts w:ascii="Garamond" w:eastAsiaTheme="minorHAnsi" w:hAnsi="Garamond"/>
          <w:color w:val="000000"/>
          <w:sz w:val="24"/>
          <w:szCs w:val="24"/>
          <w:lang w:val="sq-AL"/>
          <w14:ligatures w14:val="standardContextual"/>
        </w:rPr>
        <w:t xml:space="preserve"> Evgjeni Tashi (“kërkuesja”), lindur në vitin 1959, me banim në Tiranë dhe e përfaqësuar nga </w:t>
      </w:r>
      <w:r w:rsidR="00E40A34" w:rsidRPr="00E40A34">
        <w:rPr>
          <w:rFonts w:ascii="Garamond" w:eastAsiaTheme="minorHAnsi" w:hAnsi="Garamond"/>
          <w:color w:val="000000"/>
          <w:sz w:val="24"/>
          <w:szCs w:val="24"/>
          <w:lang w:val="sq-AL"/>
          <w14:ligatures w14:val="standardContextual"/>
        </w:rPr>
        <w:t xml:space="preserve">z. </w:t>
      </w:r>
      <w:r w:rsidR="00E04470" w:rsidRPr="00E40A34">
        <w:rPr>
          <w:rFonts w:ascii="Garamond" w:eastAsiaTheme="minorHAnsi" w:hAnsi="Garamond"/>
          <w:color w:val="000000"/>
          <w:sz w:val="24"/>
          <w:szCs w:val="24"/>
          <w:lang w:val="sq-AL"/>
          <w14:ligatures w14:val="standardContextual"/>
        </w:rPr>
        <w:t xml:space="preserve">E. Rusi, avokat i cili e ushtron profesionin në Tiranë; </w:t>
      </w:r>
    </w:p>
    <w:p w14:paraId="66B8B252" w14:textId="411DD8D0" w:rsidR="00E04470" w:rsidRPr="00E40A34" w:rsidRDefault="00E04470" w:rsidP="00875700">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 xml:space="preserve">vendimin për të njoftuar mbi kërkesën Qeverinë Shqiptare (“Qeveria”) e përfaqësuar </w:t>
      </w:r>
      <w:r w:rsidR="00E40A34" w:rsidRPr="00E40A34">
        <w:rPr>
          <w:rFonts w:ascii="Garamond" w:eastAsiaTheme="minorHAnsi" w:hAnsi="Garamond"/>
          <w:color w:val="000000"/>
          <w:sz w:val="24"/>
          <w:szCs w:val="24"/>
          <w:lang w:val="sq-AL"/>
          <w14:ligatures w14:val="standardContextual"/>
        </w:rPr>
        <w:t xml:space="preserve">z. </w:t>
      </w:r>
      <w:r w:rsidRPr="00E40A34">
        <w:rPr>
          <w:rFonts w:ascii="Garamond" w:eastAsiaTheme="minorHAnsi" w:hAnsi="Garamond"/>
          <w:color w:val="000000"/>
          <w:sz w:val="24"/>
          <w:szCs w:val="24"/>
          <w:lang w:val="sq-AL"/>
          <w14:ligatures w14:val="standardContextual"/>
        </w:rPr>
        <w:t>O Moçka, Avokati i Përgjithshëm i Shtetit;</w:t>
      </w:r>
    </w:p>
    <w:p w14:paraId="32316330" w14:textId="499DADB5" w:rsidR="00E04470" w:rsidRPr="00E40A34" w:rsidRDefault="00E04470" w:rsidP="00875700">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vërejtjet e palëve;</w:t>
      </w:r>
      <w:r w:rsidR="00E40A34" w:rsidRPr="00E40A34">
        <w:rPr>
          <w:rFonts w:ascii="Garamond" w:eastAsiaTheme="minorHAnsi" w:hAnsi="Garamond"/>
          <w:color w:val="000000"/>
          <w:sz w:val="24"/>
          <w:szCs w:val="24"/>
          <w:lang w:val="sq-AL"/>
          <w14:ligatures w14:val="standardContextual"/>
        </w:rPr>
        <w:t xml:space="preserve"> </w:t>
      </w:r>
    </w:p>
    <w:p w14:paraId="29CB9005" w14:textId="27141CB2" w:rsidR="00E04470" w:rsidRPr="00E40A34" w:rsidRDefault="00E04470" w:rsidP="00875700">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 xml:space="preserve">Pasi diskutoi me dyer të mbyllura më 2 </w:t>
      </w:r>
      <w:r w:rsidR="00E40A34" w:rsidRPr="00E40A34">
        <w:rPr>
          <w:rFonts w:ascii="Garamond" w:eastAsiaTheme="minorHAnsi" w:hAnsi="Garamond"/>
          <w:color w:val="000000"/>
          <w:sz w:val="24"/>
          <w:szCs w:val="24"/>
          <w:lang w:val="sq-AL"/>
          <w14:ligatures w14:val="standardContextual"/>
        </w:rPr>
        <w:t xml:space="preserve">dhjetor </w:t>
      </w:r>
      <w:r w:rsidRPr="00E40A34">
        <w:rPr>
          <w:rFonts w:ascii="Garamond" w:eastAsiaTheme="minorHAnsi" w:hAnsi="Garamond"/>
          <w:color w:val="000000"/>
          <w:sz w:val="24"/>
          <w:szCs w:val="24"/>
          <w:lang w:val="sq-AL"/>
          <w14:ligatures w14:val="standardContextual"/>
        </w:rPr>
        <w:t xml:space="preserve">2025, </w:t>
      </w:r>
    </w:p>
    <w:p w14:paraId="00CDA7A2" w14:textId="733082BA" w:rsidR="00E04470" w:rsidRPr="00E40A34" w:rsidRDefault="00E04470" w:rsidP="00875700">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Shpall vendimin e mëposhtëm, që u miratua në të njëjtën datë:</w:t>
      </w:r>
      <w:r w:rsidR="00E40A34" w:rsidRPr="00E40A34">
        <w:rPr>
          <w:rFonts w:ascii="Garamond" w:eastAsiaTheme="minorHAnsi" w:hAnsi="Garamond"/>
          <w:color w:val="000000"/>
          <w:sz w:val="24"/>
          <w:szCs w:val="24"/>
          <w:lang w:val="sq-AL"/>
          <w14:ligatures w14:val="standardContextual"/>
        </w:rPr>
        <w:t xml:space="preserve"> </w:t>
      </w:r>
    </w:p>
    <w:p w14:paraId="38C1F104" w14:textId="7884BDDC" w:rsidR="00E04470" w:rsidRPr="00E40A34" w:rsidRDefault="00E04470" w:rsidP="00875700">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LËNDA E ÇËSHTJES</w:t>
      </w:r>
    </w:p>
    <w:p w14:paraId="515FA817" w14:textId="2B8C86C5" w:rsidR="00E04470" w:rsidRPr="00E40A34" w:rsidRDefault="00E04470" w:rsidP="00875700">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I.</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RRETHANAT E ÇËSHTJES</w:t>
      </w:r>
    </w:p>
    <w:p w14:paraId="39113551" w14:textId="28FBB8B6"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1.</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Në vitin 1966, babai i kërkueses bleu një shtëpi dhe ndërtoi një mur rreth saj. </w:t>
      </w:r>
    </w:p>
    <w:p w14:paraId="64373054" w14:textId="4E8E386B"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2.</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Më 27 </w:t>
      </w:r>
      <w:r w:rsidR="00E40A34" w:rsidRPr="00E40A34">
        <w:rPr>
          <w:rFonts w:ascii="Garamond" w:eastAsiaTheme="minorHAnsi" w:hAnsi="Garamond"/>
          <w:color w:val="000000"/>
          <w:sz w:val="24"/>
          <w:szCs w:val="24"/>
          <w:lang w:val="sq-AL"/>
          <w14:ligatures w14:val="standardContextual"/>
        </w:rPr>
        <w:t xml:space="preserve">qershor </w:t>
      </w:r>
      <w:r w:rsidRPr="00E40A34">
        <w:rPr>
          <w:rFonts w:ascii="Garamond" w:eastAsiaTheme="minorHAnsi" w:hAnsi="Garamond"/>
          <w:color w:val="000000"/>
          <w:sz w:val="24"/>
          <w:szCs w:val="24"/>
          <w:lang w:val="sq-AL"/>
          <w14:ligatures w14:val="standardContextual"/>
        </w:rPr>
        <w:t xml:space="preserve">2008, Inspektorati i Ndërtimit dhe Planifikimit Urban (“Inspektorati i Ndërtimit”) urdhëroi shembjen e murit me arsyetimin se ishte ndërtim i paligjshëm. Shembja e murit ndodhi në vitin 2008. </w:t>
      </w:r>
    </w:p>
    <w:p w14:paraId="3445E06E" w14:textId="147A75F6"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3.</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Më 12 </w:t>
      </w:r>
      <w:r w:rsidR="00E40A34" w:rsidRPr="00E40A34">
        <w:rPr>
          <w:rFonts w:ascii="Garamond" w:eastAsiaTheme="minorHAnsi" w:hAnsi="Garamond"/>
          <w:color w:val="000000"/>
          <w:sz w:val="24"/>
          <w:szCs w:val="24"/>
          <w:lang w:val="sq-AL"/>
          <w14:ligatures w14:val="standardContextual"/>
        </w:rPr>
        <w:t xml:space="preserve">mars </w:t>
      </w:r>
      <w:r w:rsidRPr="00E40A34">
        <w:rPr>
          <w:rFonts w:ascii="Garamond" w:eastAsiaTheme="minorHAnsi" w:hAnsi="Garamond"/>
          <w:color w:val="000000"/>
          <w:sz w:val="24"/>
          <w:szCs w:val="24"/>
          <w:lang w:val="sq-AL"/>
          <w14:ligatures w14:val="standardContextual"/>
        </w:rPr>
        <w:t>2010, Gjykata e Rrethit Tiranë pranoi padinë e babait të kërkueses ndaj Inspektoratit të Ndërtimit. Ajo vlerësoi se muri nuk kishte qenë ndërtim i paligjshëm, prishi vendimin për shembjen e tij, dhe e detyroi Inspektoratin e Ndërtimit të rindërtonte murin 14.3 m të gjatë dhe 1.8</w:t>
      </w:r>
      <w:r w:rsid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m të lartë. Më 10 </w:t>
      </w:r>
      <w:r w:rsidR="00E40A34" w:rsidRPr="00E40A34">
        <w:rPr>
          <w:rFonts w:ascii="Garamond" w:eastAsiaTheme="minorHAnsi" w:hAnsi="Garamond"/>
          <w:color w:val="000000"/>
          <w:sz w:val="24"/>
          <w:szCs w:val="24"/>
          <w:lang w:val="sq-AL"/>
          <w14:ligatures w14:val="standardContextual"/>
        </w:rPr>
        <w:t xml:space="preserve">maj </w:t>
      </w:r>
      <w:r w:rsidRPr="00E40A34">
        <w:rPr>
          <w:rFonts w:ascii="Garamond" w:eastAsiaTheme="minorHAnsi" w:hAnsi="Garamond"/>
          <w:color w:val="000000"/>
          <w:sz w:val="24"/>
          <w:szCs w:val="24"/>
          <w:lang w:val="sq-AL"/>
          <w14:ligatures w14:val="standardContextual"/>
        </w:rPr>
        <w:t xml:space="preserve">2011, Gjykata e Apelit e la në fuqi atë vendim. Në </w:t>
      </w:r>
      <w:r w:rsidR="00E40A34" w:rsidRPr="00E40A34">
        <w:rPr>
          <w:rFonts w:ascii="Garamond" w:eastAsiaTheme="minorHAnsi" w:hAnsi="Garamond"/>
          <w:color w:val="000000"/>
          <w:sz w:val="24"/>
          <w:szCs w:val="24"/>
          <w:lang w:val="sq-AL"/>
          <w14:ligatures w14:val="standardContextual"/>
        </w:rPr>
        <w:t xml:space="preserve">qershor </w:t>
      </w:r>
      <w:r w:rsidRPr="00E40A34">
        <w:rPr>
          <w:rFonts w:ascii="Garamond" w:eastAsiaTheme="minorHAnsi" w:hAnsi="Garamond"/>
          <w:color w:val="000000"/>
          <w:sz w:val="24"/>
          <w:szCs w:val="24"/>
          <w:lang w:val="sq-AL"/>
          <w14:ligatures w14:val="standardContextual"/>
        </w:rPr>
        <w:t xml:space="preserve">2011, u lëshua një urdhër ekzekutimi. </w:t>
      </w:r>
    </w:p>
    <w:p w14:paraId="77BFB499" w14:textId="5E6B167F"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4.</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Më 1 </w:t>
      </w:r>
      <w:r w:rsidR="00E40A34" w:rsidRPr="00E40A34">
        <w:rPr>
          <w:rFonts w:ascii="Garamond" w:eastAsiaTheme="minorHAnsi" w:hAnsi="Garamond"/>
          <w:color w:val="000000"/>
          <w:sz w:val="24"/>
          <w:szCs w:val="24"/>
          <w:lang w:val="sq-AL"/>
          <w14:ligatures w14:val="standardContextual"/>
        </w:rPr>
        <w:t xml:space="preserve">korrik </w:t>
      </w:r>
      <w:r w:rsidRPr="00E40A34">
        <w:rPr>
          <w:rFonts w:ascii="Garamond" w:eastAsiaTheme="minorHAnsi" w:hAnsi="Garamond"/>
          <w:color w:val="000000"/>
          <w:sz w:val="24"/>
          <w:szCs w:val="24"/>
          <w:lang w:val="sq-AL"/>
          <w14:ligatures w14:val="standardContextual"/>
        </w:rPr>
        <w:t xml:space="preserve">2011, babai i kërkueses nisi procedurat përmbarimore me anë të një përmbaruesi. </w:t>
      </w:r>
    </w:p>
    <w:p w14:paraId="10804D38" w14:textId="3AAB024D"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5.</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Më 22 </w:t>
      </w:r>
      <w:r w:rsidR="00E40A34" w:rsidRPr="00E40A34">
        <w:rPr>
          <w:rFonts w:ascii="Garamond" w:eastAsiaTheme="minorHAnsi" w:hAnsi="Garamond"/>
          <w:color w:val="000000"/>
          <w:sz w:val="24"/>
          <w:szCs w:val="24"/>
          <w:lang w:val="sq-AL"/>
          <w14:ligatures w14:val="standardContextual"/>
        </w:rPr>
        <w:t xml:space="preserve">korrik </w:t>
      </w:r>
      <w:r w:rsidRPr="00E40A34">
        <w:rPr>
          <w:rFonts w:ascii="Garamond" w:eastAsiaTheme="minorHAnsi" w:hAnsi="Garamond"/>
          <w:color w:val="000000"/>
          <w:sz w:val="24"/>
          <w:szCs w:val="24"/>
          <w:lang w:val="sq-AL"/>
          <w14:ligatures w14:val="standardContextual"/>
        </w:rPr>
        <w:t xml:space="preserve">2011, përmbaruesi theksoi në raportin e tij zyrtar se muri do të ndërtohej nga babai i kërkueses nën mbikëqyrjen e tij, si pjesë e procedurave përmbarimore të </w:t>
      </w:r>
      <w:r w:rsidR="00E40A34" w:rsidRPr="00E40A34">
        <w:rPr>
          <w:rFonts w:ascii="Garamond" w:eastAsiaTheme="minorHAnsi" w:hAnsi="Garamond"/>
          <w:color w:val="000000"/>
          <w:sz w:val="24"/>
          <w:szCs w:val="24"/>
          <w:lang w:val="sq-AL"/>
          <w14:ligatures w14:val="standardContextual"/>
        </w:rPr>
        <w:t xml:space="preserve">vendimit </w:t>
      </w:r>
      <w:r w:rsidRPr="00E40A34">
        <w:rPr>
          <w:rFonts w:ascii="Garamond" w:eastAsiaTheme="minorHAnsi" w:hAnsi="Garamond"/>
          <w:color w:val="000000"/>
          <w:sz w:val="24"/>
          <w:szCs w:val="24"/>
          <w:lang w:val="sq-AL"/>
          <w14:ligatures w14:val="standardContextual"/>
        </w:rPr>
        <w:t xml:space="preserve">të vitit 2011. </w:t>
      </w:r>
    </w:p>
    <w:p w14:paraId="251F05BB" w14:textId="5EEF90A4"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6.</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Më 7 </w:t>
      </w:r>
      <w:r w:rsidR="00E40A34" w:rsidRPr="00E40A34">
        <w:rPr>
          <w:rFonts w:ascii="Garamond" w:eastAsiaTheme="minorHAnsi" w:hAnsi="Garamond"/>
          <w:color w:val="000000"/>
          <w:sz w:val="24"/>
          <w:szCs w:val="24"/>
          <w:lang w:val="sq-AL"/>
          <w14:ligatures w14:val="standardContextual"/>
        </w:rPr>
        <w:t xml:space="preserve">nëntor </w:t>
      </w:r>
      <w:r w:rsidRPr="00E40A34">
        <w:rPr>
          <w:rFonts w:ascii="Garamond" w:eastAsiaTheme="minorHAnsi" w:hAnsi="Garamond"/>
          <w:color w:val="000000"/>
          <w:sz w:val="24"/>
          <w:szCs w:val="24"/>
          <w:lang w:val="sq-AL"/>
          <w14:ligatures w14:val="standardContextual"/>
        </w:rPr>
        <w:t xml:space="preserve">2011, përmbaruesi kërkoi që Inspektorati i Ndërtimit të rimbursonte shpenzimet e bëra nga babai i kërkueses për rindërtimin e murit. Autoritetet Shtetërore nuk kanë nisur ndonjë proces ndaj masave të përmbaruesit apo të babait të kërkueses. </w:t>
      </w:r>
    </w:p>
    <w:p w14:paraId="322BAD1A" w14:textId="47946EFA"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7.</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Më 5 </w:t>
      </w:r>
      <w:r w:rsidR="00E40A34" w:rsidRPr="00E40A34">
        <w:rPr>
          <w:rFonts w:ascii="Garamond" w:eastAsiaTheme="minorHAnsi" w:hAnsi="Garamond"/>
          <w:color w:val="000000"/>
          <w:sz w:val="24"/>
          <w:szCs w:val="24"/>
          <w:lang w:val="sq-AL"/>
          <w14:ligatures w14:val="standardContextual"/>
        </w:rPr>
        <w:t xml:space="preserve">shkurt </w:t>
      </w:r>
      <w:r w:rsidRPr="00E40A34">
        <w:rPr>
          <w:rFonts w:ascii="Garamond" w:eastAsiaTheme="minorHAnsi" w:hAnsi="Garamond"/>
          <w:color w:val="000000"/>
          <w:sz w:val="24"/>
          <w:szCs w:val="24"/>
          <w:lang w:val="sq-AL"/>
          <w14:ligatures w14:val="standardContextual"/>
        </w:rPr>
        <w:t xml:space="preserve">2015, babai i kërkueses ndërroi jetë dhe kërkuesja vijoi procesin e brendshëm në vend të si një prej tre trashëgimtarëve të tij. </w:t>
      </w:r>
    </w:p>
    <w:p w14:paraId="509C93F0" w14:textId="4C0F29C4"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lastRenderedPageBreak/>
        <w:t>8.</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Më 26 </w:t>
      </w:r>
      <w:r w:rsidR="00E40A34" w:rsidRPr="00E40A34">
        <w:rPr>
          <w:rFonts w:ascii="Garamond" w:eastAsiaTheme="minorHAnsi" w:hAnsi="Garamond"/>
          <w:color w:val="000000"/>
          <w:sz w:val="24"/>
          <w:szCs w:val="24"/>
          <w:lang w:val="sq-AL"/>
          <w14:ligatures w14:val="standardContextual"/>
        </w:rPr>
        <w:t xml:space="preserve">shkurt </w:t>
      </w:r>
      <w:r w:rsidRPr="00E40A34">
        <w:rPr>
          <w:rFonts w:ascii="Garamond" w:eastAsiaTheme="minorHAnsi" w:hAnsi="Garamond"/>
          <w:color w:val="000000"/>
          <w:sz w:val="24"/>
          <w:szCs w:val="24"/>
          <w:lang w:val="sq-AL"/>
          <w14:ligatures w14:val="standardContextual"/>
        </w:rPr>
        <w:t>2015, Gjykata e Lartë la në fuqi pjesërisht vendimin e Gjykatës së Rrethit 2010 në lidhje me prishjen e vendimit të Inspektoratit të Ndërtimit, dhe e ndryshoi atë pjesërisht duke i akorduar dëm pasuror</w:t>
      </w:r>
      <w:r w:rsidR="00E40A34"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babait të kërkueses në vend që t’i urdhëronte autoritetet të rindërtonin murin. </w:t>
      </w:r>
    </w:p>
    <w:p w14:paraId="21E441B2" w14:textId="0A1C162B"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9.</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Më 8 </w:t>
      </w:r>
      <w:r w:rsidR="00E40A34" w:rsidRPr="00E40A34">
        <w:rPr>
          <w:rFonts w:ascii="Garamond" w:eastAsiaTheme="minorHAnsi" w:hAnsi="Garamond"/>
          <w:color w:val="000000"/>
          <w:sz w:val="24"/>
          <w:szCs w:val="24"/>
          <w:lang w:val="sq-AL"/>
          <w14:ligatures w14:val="standardContextual"/>
        </w:rPr>
        <w:t xml:space="preserve">mars </w:t>
      </w:r>
      <w:r w:rsidRPr="00E40A34">
        <w:rPr>
          <w:rFonts w:ascii="Garamond" w:eastAsiaTheme="minorHAnsi" w:hAnsi="Garamond"/>
          <w:color w:val="000000"/>
          <w:sz w:val="24"/>
          <w:szCs w:val="24"/>
          <w:lang w:val="sq-AL"/>
          <w14:ligatures w14:val="standardContextual"/>
        </w:rPr>
        <w:t xml:space="preserve">2017, kërkuesja nisi procesin për ekzekutimin e vendimit të Gjykatës së Lartë. </w:t>
      </w:r>
    </w:p>
    <w:p w14:paraId="4CB90588" w14:textId="4EE6083F"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10.</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Më 2 </w:t>
      </w:r>
      <w:r w:rsidR="00E40A34" w:rsidRPr="00E40A34">
        <w:rPr>
          <w:rFonts w:ascii="Garamond" w:eastAsiaTheme="minorHAnsi" w:hAnsi="Garamond"/>
          <w:color w:val="000000"/>
          <w:sz w:val="24"/>
          <w:szCs w:val="24"/>
          <w:lang w:val="sq-AL"/>
          <w14:ligatures w14:val="standardContextual"/>
        </w:rPr>
        <w:t xml:space="preserve">tetor </w:t>
      </w:r>
      <w:r w:rsidRPr="00E40A34">
        <w:rPr>
          <w:rFonts w:ascii="Garamond" w:eastAsiaTheme="minorHAnsi" w:hAnsi="Garamond"/>
          <w:color w:val="000000"/>
          <w:sz w:val="24"/>
          <w:szCs w:val="24"/>
          <w:lang w:val="sq-AL"/>
          <w14:ligatures w14:val="standardContextual"/>
        </w:rPr>
        <w:t>2018, kërkuesja dhe trashëgimtarët e tjerë u gjobitën nga Inspektorati Kombëtar i Ndërtimit dhe Planifikimit Urban (“Inspektorati Kombëtar i Ndërtimit”) me argumentin se muri me gjatësi 36</w:t>
      </w:r>
      <w:r w:rsid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m ishte ndërtim i paligjshëm, dhe u lëshua një vendim për shembjen e tij. Shembja e tij ndodhi më 17 </w:t>
      </w:r>
      <w:r w:rsidR="00E40A34" w:rsidRPr="00E40A34">
        <w:rPr>
          <w:rFonts w:ascii="Garamond" w:eastAsiaTheme="minorHAnsi" w:hAnsi="Garamond"/>
          <w:color w:val="000000"/>
          <w:sz w:val="24"/>
          <w:szCs w:val="24"/>
          <w:lang w:val="sq-AL"/>
          <w14:ligatures w14:val="standardContextual"/>
        </w:rPr>
        <w:t xml:space="preserve">tetor </w:t>
      </w:r>
      <w:r w:rsidRPr="00E40A34">
        <w:rPr>
          <w:rFonts w:ascii="Garamond" w:eastAsiaTheme="minorHAnsi" w:hAnsi="Garamond"/>
          <w:color w:val="000000"/>
          <w:sz w:val="24"/>
          <w:szCs w:val="24"/>
          <w:lang w:val="sq-AL"/>
          <w14:ligatures w14:val="standardContextual"/>
        </w:rPr>
        <w:t xml:space="preserve">2018. </w:t>
      </w:r>
    </w:p>
    <w:p w14:paraId="71161143" w14:textId="31011A52"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11.</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Më 26 </w:t>
      </w:r>
      <w:r w:rsidR="00E40A34" w:rsidRPr="00E40A34">
        <w:rPr>
          <w:rFonts w:ascii="Garamond" w:eastAsiaTheme="minorHAnsi" w:hAnsi="Garamond"/>
          <w:color w:val="000000"/>
          <w:sz w:val="24"/>
          <w:szCs w:val="24"/>
          <w:lang w:val="sq-AL"/>
          <w14:ligatures w14:val="standardContextual"/>
        </w:rPr>
        <w:t xml:space="preserve">dhjetor </w:t>
      </w:r>
      <w:r w:rsidRPr="00E40A34">
        <w:rPr>
          <w:rFonts w:ascii="Garamond" w:eastAsiaTheme="minorHAnsi" w:hAnsi="Garamond"/>
          <w:color w:val="000000"/>
          <w:sz w:val="24"/>
          <w:szCs w:val="24"/>
          <w:lang w:val="sq-AL"/>
          <w14:ligatures w14:val="standardContextual"/>
        </w:rPr>
        <w:t xml:space="preserve">2018, Gjykata Administrative Tiranë pranoi kërkesën e kërkueses për kompensim për dëmin e shkaktuar nga shembja e murit në vitin 2018. Procesi vijon ende pranë Gjykatës Administrative të Apelit. </w:t>
      </w:r>
    </w:p>
    <w:p w14:paraId="76A135E4" w14:textId="14E5A6DD"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12.</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Më 6 </w:t>
      </w:r>
      <w:r w:rsidR="00085CD4" w:rsidRPr="00E40A34">
        <w:rPr>
          <w:rFonts w:ascii="Garamond" w:eastAsiaTheme="minorHAnsi" w:hAnsi="Garamond"/>
          <w:color w:val="000000"/>
          <w:sz w:val="24"/>
          <w:szCs w:val="24"/>
          <w:lang w:val="sq-AL"/>
          <w14:ligatures w14:val="standardContextual"/>
        </w:rPr>
        <w:t xml:space="preserve">korrik </w:t>
      </w:r>
      <w:r w:rsidRPr="00E40A34">
        <w:rPr>
          <w:rFonts w:ascii="Garamond" w:eastAsiaTheme="minorHAnsi" w:hAnsi="Garamond"/>
          <w:color w:val="000000"/>
          <w:sz w:val="24"/>
          <w:szCs w:val="24"/>
          <w:lang w:val="sq-AL"/>
          <w14:ligatures w14:val="standardContextual"/>
        </w:rPr>
        <w:t>2022, autoritete Shtetërore ekzekutuan vendimin e Gjykatës së Lartë</w:t>
      </w:r>
      <w:r w:rsidR="00085CD4">
        <w:rPr>
          <w:rFonts w:ascii="Garamond" w:eastAsiaTheme="minorHAnsi" w:hAnsi="Garamond"/>
          <w:color w:val="000000"/>
          <w:sz w:val="24"/>
          <w:szCs w:val="24"/>
          <w:lang w:val="sq-AL"/>
          <w14:ligatures w14:val="standardContextual"/>
        </w:rPr>
        <w:t>,</w:t>
      </w:r>
      <w:r w:rsidRPr="00E40A34">
        <w:rPr>
          <w:rFonts w:ascii="Garamond" w:eastAsiaTheme="minorHAnsi" w:hAnsi="Garamond"/>
          <w:color w:val="000000"/>
          <w:sz w:val="24"/>
          <w:szCs w:val="24"/>
          <w:lang w:val="sq-AL"/>
          <w14:ligatures w14:val="standardContextual"/>
        </w:rPr>
        <w:t xml:space="preserve"> duke paguar kompensimin pasuror dhe më 28 </w:t>
      </w:r>
      <w:r w:rsidR="00085CD4" w:rsidRPr="00E40A34">
        <w:rPr>
          <w:rFonts w:ascii="Garamond" w:eastAsiaTheme="minorHAnsi" w:hAnsi="Garamond"/>
          <w:color w:val="000000"/>
          <w:sz w:val="24"/>
          <w:szCs w:val="24"/>
          <w:lang w:val="sq-AL"/>
          <w14:ligatures w14:val="standardContextual"/>
        </w:rPr>
        <w:t xml:space="preserve">shkurt </w:t>
      </w:r>
      <w:r w:rsidRPr="00E40A34">
        <w:rPr>
          <w:rFonts w:ascii="Garamond" w:eastAsiaTheme="minorHAnsi" w:hAnsi="Garamond"/>
          <w:color w:val="000000"/>
          <w:sz w:val="24"/>
          <w:szCs w:val="24"/>
          <w:lang w:val="sq-AL"/>
          <w14:ligatures w14:val="standardContextual"/>
        </w:rPr>
        <w:t xml:space="preserve">2023, autoritete paguan kostot dhe shpenzimet për procedurat e përmbarimit. </w:t>
      </w:r>
    </w:p>
    <w:p w14:paraId="219D6417" w14:textId="5076BF0D"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13.</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Në mbështetje të </w:t>
      </w:r>
      <w:r w:rsidR="00085CD4" w:rsidRPr="00E40A34">
        <w:rPr>
          <w:rFonts w:ascii="Garamond" w:eastAsiaTheme="minorHAnsi" w:hAnsi="Garamond"/>
          <w:color w:val="000000"/>
          <w:sz w:val="24"/>
          <w:szCs w:val="24"/>
          <w:lang w:val="sq-AL"/>
          <w14:ligatures w14:val="standardContextual"/>
        </w:rPr>
        <w:t xml:space="preserve">nenit </w:t>
      </w:r>
      <w:r w:rsidRPr="00E40A34">
        <w:rPr>
          <w:rFonts w:ascii="Garamond" w:eastAsiaTheme="minorHAnsi" w:hAnsi="Garamond"/>
          <w:color w:val="000000"/>
          <w:sz w:val="24"/>
          <w:szCs w:val="24"/>
          <w:lang w:val="sq-AL"/>
          <w14:ligatures w14:val="standardContextual"/>
        </w:rPr>
        <w:t xml:space="preserve">6 § 1 dhe </w:t>
      </w:r>
      <w:r w:rsidR="00085CD4" w:rsidRPr="00E40A34">
        <w:rPr>
          <w:rFonts w:ascii="Garamond" w:eastAsiaTheme="minorHAnsi" w:hAnsi="Garamond"/>
          <w:color w:val="000000"/>
          <w:sz w:val="24"/>
          <w:szCs w:val="24"/>
          <w:lang w:val="sq-AL"/>
          <w14:ligatures w14:val="standardContextual"/>
        </w:rPr>
        <w:t xml:space="preserve">nenit </w:t>
      </w:r>
      <w:r w:rsidRPr="00E40A34">
        <w:rPr>
          <w:rFonts w:ascii="Garamond" w:eastAsiaTheme="minorHAnsi" w:hAnsi="Garamond"/>
          <w:color w:val="000000"/>
          <w:sz w:val="24"/>
          <w:szCs w:val="24"/>
          <w:lang w:val="sq-AL"/>
          <w14:ligatures w14:val="standardContextual"/>
        </w:rPr>
        <w:t xml:space="preserve">13 të Konventës, si edhe në mbështetje të </w:t>
      </w:r>
      <w:r w:rsidR="00085CD4" w:rsidRPr="00E40A34">
        <w:rPr>
          <w:rFonts w:ascii="Garamond" w:eastAsiaTheme="minorHAnsi" w:hAnsi="Garamond"/>
          <w:color w:val="000000"/>
          <w:sz w:val="24"/>
          <w:szCs w:val="24"/>
          <w:lang w:val="sq-AL"/>
          <w14:ligatures w14:val="standardContextual"/>
        </w:rPr>
        <w:t xml:space="preserve">nenit </w:t>
      </w:r>
      <w:r w:rsidRPr="00E40A34">
        <w:rPr>
          <w:rFonts w:ascii="Garamond" w:eastAsiaTheme="minorHAnsi" w:hAnsi="Garamond"/>
          <w:color w:val="000000"/>
          <w:sz w:val="24"/>
          <w:szCs w:val="24"/>
          <w:lang w:val="sq-AL"/>
          <w14:ligatures w14:val="standardContextual"/>
        </w:rPr>
        <w:t xml:space="preserve">1 të </w:t>
      </w:r>
      <w:r w:rsidR="00085CD4" w:rsidRPr="00E40A34">
        <w:rPr>
          <w:rFonts w:ascii="Garamond" w:eastAsiaTheme="minorHAnsi" w:hAnsi="Garamond"/>
          <w:color w:val="000000"/>
          <w:sz w:val="24"/>
          <w:szCs w:val="24"/>
          <w:lang w:val="sq-AL"/>
          <w14:ligatures w14:val="standardContextual"/>
        </w:rPr>
        <w:t xml:space="preserve">protokollit nr. </w:t>
      </w:r>
      <w:r w:rsidRPr="00E40A34">
        <w:rPr>
          <w:rFonts w:ascii="Garamond" w:eastAsiaTheme="minorHAnsi" w:hAnsi="Garamond"/>
          <w:color w:val="000000"/>
          <w:sz w:val="24"/>
          <w:szCs w:val="24"/>
          <w:lang w:val="sq-AL"/>
          <w14:ligatures w14:val="standardContextual"/>
        </w:rPr>
        <w:t xml:space="preserve">1 të Konventës, kërkuesja u ankua se ishte shkelur parimi i sigurisë juridike dhe e drejta e saj ndaj pronës, sepse vendimi i vitit 2015 dhënë në favor të babait të saj nuk ishte ekzekutuar, dhe muri ishte prishur për herë të dytë. </w:t>
      </w:r>
    </w:p>
    <w:p w14:paraId="0C034E9E" w14:textId="42EF9B33"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II.</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LIGJI DHE PRAKTIKA E BRENDSHME PËRKATËSE</w:t>
      </w:r>
    </w:p>
    <w:p w14:paraId="6F16FCDB" w14:textId="1F8853AC"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14.</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Parashikimet përkatëse në lidhje me mjetin kompensues për kohëzgjatjen e procesit përcaktohen te </w:t>
      </w:r>
      <w:r w:rsidRPr="00E40A34">
        <w:rPr>
          <w:rFonts w:ascii="Garamond" w:eastAsiaTheme="minorHAnsi" w:hAnsi="Garamond"/>
          <w:i/>
          <w:iCs/>
          <w:color w:val="000000"/>
          <w:sz w:val="24"/>
          <w:szCs w:val="24"/>
          <w:lang w:val="sq-AL"/>
          <w14:ligatures w14:val="standardContextual"/>
        </w:rPr>
        <w:t xml:space="preserve">Bara dhe Kola kundër Shqipërisë </w:t>
      </w:r>
      <w:r w:rsidRPr="00E40A34">
        <w:rPr>
          <w:rFonts w:ascii="Garamond" w:eastAsiaTheme="minorHAnsi" w:hAnsi="Garamond"/>
          <w:color w:val="000000"/>
          <w:sz w:val="24"/>
          <w:szCs w:val="24"/>
          <w:lang w:val="sq-AL"/>
          <w14:ligatures w14:val="standardContextual"/>
        </w:rPr>
        <w:t xml:space="preserve">(nr. 43391/18 dhe 17766/19, § 37, 12 tetor 2021) dhe </w:t>
      </w:r>
      <w:r w:rsidRPr="00E40A34">
        <w:rPr>
          <w:rFonts w:ascii="Garamond" w:eastAsiaTheme="minorHAnsi" w:hAnsi="Garamond"/>
          <w:i/>
          <w:iCs/>
          <w:color w:val="000000"/>
          <w:sz w:val="24"/>
          <w:szCs w:val="24"/>
          <w:lang w:val="sq-AL"/>
          <w14:ligatures w14:val="standardContextual"/>
        </w:rPr>
        <w:t xml:space="preserve">ARB </w:t>
      </w:r>
      <w:r w:rsidR="00085CD4" w:rsidRPr="00E40A34">
        <w:rPr>
          <w:rFonts w:ascii="Garamond" w:eastAsiaTheme="minorHAnsi" w:hAnsi="Garamond"/>
          <w:i/>
          <w:iCs/>
          <w:color w:val="000000"/>
          <w:sz w:val="24"/>
          <w:szCs w:val="24"/>
          <w:lang w:val="sq-AL"/>
          <w14:ligatures w14:val="standardContextual"/>
        </w:rPr>
        <w:t>sh</w:t>
      </w:r>
      <w:r w:rsidR="00085CD4">
        <w:rPr>
          <w:rFonts w:ascii="Garamond" w:eastAsiaTheme="minorHAnsi" w:hAnsi="Garamond"/>
          <w:i/>
          <w:iCs/>
          <w:color w:val="000000"/>
          <w:sz w:val="24"/>
          <w:szCs w:val="24"/>
          <w:lang w:val="sq-AL"/>
          <w14:ligatures w14:val="standardContextual"/>
        </w:rPr>
        <w:t>.</w:t>
      </w:r>
      <w:r w:rsidR="00085CD4" w:rsidRPr="00E40A34">
        <w:rPr>
          <w:rFonts w:ascii="Garamond" w:eastAsiaTheme="minorHAnsi" w:hAnsi="Garamond"/>
          <w:i/>
          <w:iCs/>
          <w:color w:val="000000"/>
          <w:sz w:val="24"/>
          <w:szCs w:val="24"/>
          <w:lang w:val="sq-AL"/>
          <w14:ligatures w14:val="standardContextual"/>
        </w:rPr>
        <w:t>p</w:t>
      </w:r>
      <w:r w:rsidR="00085CD4">
        <w:rPr>
          <w:rFonts w:ascii="Garamond" w:eastAsiaTheme="minorHAnsi" w:hAnsi="Garamond"/>
          <w:i/>
          <w:iCs/>
          <w:color w:val="000000"/>
          <w:sz w:val="24"/>
          <w:szCs w:val="24"/>
          <w:lang w:val="sq-AL"/>
          <w14:ligatures w14:val="standardContextual"/>
        </w:rPr>
        <w:t>.</w:t>
      </w:r>
      <w:r w:rsidR="00085CD4" w:rsidRPr="00E40A34">
        <w:rPr>
          <w:rFonts w:ascii="Garamond" w:eastAsiaTheme="minorHAnsi" w:hAnsi="Garamond"/>
          <w:i/>
          <w:iCs/>
          <w:color w:val="000000"/>
          <w:sz w:val="24"/>
          <w:szCs w:val="24"/>
          <w:lang w:val="sq-AL"/>
          <w14:ligatures w14:val="standardContextual"/>
        </w:rPr>
        <w:t>k</w:t>
      </w:r>
      <w:r w:rsidR="00085CD4">
        <w:rPr>
          <w:rFonts w:ascii="Garamond" w:eastAsiaTheme="minorHAnsi" w:hAnsi="Garamond"/>
          <w:i/>
          <w:iCs/>
          <w:color w:val="000000"/>
          <w:sz w:val="24"/>
          <w:szCs w:val="24"/>
          <w:lang w:val="sq-AL"/>
          <w14:ligatures w14:val="standardContextual"/>
        </w:rPr>
        <w:t>.</w:t>
      </w:r>
      <w:r w:rsidR="00085CD4" w:rsidRPr="00E40A34">
        <w:rPr>
          <w:rFonts w:ascii="Garamond" w:eastAsiaTheme="minorHAnsi" w:hAnsi="Garamond"/>
          <w:i/>
          <w:iCs/>
          <w:color w:val="000000"/>
          <w:sz w:val="24"/>
          <w:szCs w:val="24"/>
          <w:lang w:val="sq-AL"/>
          <w14:ligatures w14:val="standardContextual"/>
        </w:rPr>
        <w:t xml:space="preserve"> </w:t>
      </w:r>
      <w:r w:rsidRPr="00E40A34">
        <w:rPr>
          <w:rFonts w:ascii="Garamond" w:eastAsiaTheme="minorHAnsi" w:hAnsi="Garamond"/>
          <w:i/>
          <w:iCs/>
          <w:color w:val="000000"/>
          <w:sz w:val="24"/>
          <w:szCs w:val="24"/>
          <w:lang w:val="sq-AL"/>
          <w14:ligatures w14:val="standardContextual"/>
        </w:rPr>
        <w:t>dhe të Tjerë kundër Shqipërisë</w:t>
      </w:r>
      <w:r w:rsidRPr="00E40A34">
        <w:rPr>
          <w:rFonts w:ascii="Garamond" w:eastAsiaTheme="minorHAnsi" w:hAnsi="Garamond"/>
          <w:color w:val="000000"/>
          <w:sz w:val="24"/>
          <w:szCs w:val="24"/>
          <w:lang w:val="sq-AL"/>
          <w14:ligatures w14:val="standardContextual"/>
        </w:rPr>
        <w:t xml:space="preserve"> (nr. 39860/19 dhe 2 të tjerë, §§ 65-76, 27 </w:t>
      </w:r>
      <w:r w:rsidR="00085CD4" w:rsidRPr="00E40A34">
        <w:rPr>
          <w:rFonts w:ascii="Garamond" w:eastAsiaTheme="minorHAnsi" w:hAnsi="Garamond"/>
          <w:color w:val="000000"/>
          <w:sz w:val="24"/>
          <w:szCs w:val="24"/>
          <w:lang w:val="sq-AL"/>
          <w14:ligatures w14:val="standardContextual"/>
        </w:rPr>
        <w:t xml:space="preserve">maj </w:t>
      </w:r>
      <w:r w:rsidRPr="00E40A34">
        <w:rPr>
          <w:rFonts w:ascii="Garamond" w:eastAsiaTheme="minorHAnsi" w:hAnsi="Garamond"/>
          <w:color w:val="000000"/>
          <w:sz w:val="24"/>
          <w:szCs w:val="24"/>
          <w:lang w:val="sq-AL"/>
          <w14:ligatures w14:val="standardContextual"/>
        </w:rPr>
        <w:t>2025).</w:t>
      </w:r>
    </w:p>
    <w:p w14:paraId="351ABCE8" w14:textId="6032D29C"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VLERËSIMI I GJYKATËS</w:t>
      </w:r>
    </w:p>
    <w:p w14:paraId="3F575C05" w14:textId="4DB6FC0E"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I.</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PRETENDIM PËR SHKELJE TË NENIT 6 § 1 TË KONVENTËS</w:t>
      </w:r>
    </w:p>
    <w:p w14:paraId="52610EED" w14:textId="4B80D665"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E40A34">
        <w:rPr>
          <w:rFonts w:ascii="Garamond" w:eastAsiaTheme="minorHAnsi" w:hAnsi="Garamond"/>
          <w:b/>
          <w:bCs/>
          <w:color w:val="000000"/>
          <w:sz w:val="24"/>
          <w:szCs w:val="24"/>
          <w:lang w:val="sq-AL"/>
          <w14:ligatures w14:val="standardContextual"/>
        </w:rPr>
        <w:t>A.</w:t>
      </w:r>
      <w:r w:rsidR="00875700" w:rsidRPr="00E40A34">
        <w:rPr>
          <w:rFonts w:ascii="Garamond" w:eastAsiaTheme="minorHAnsi" w:hAnsi="Garamond"/>
          <w:b/>
          <w:bCs/>
          <w:color w:val="000000"/>
          <w:sz w:val="24"/>
          <w:szCs w:val="24"/>
          <w:lang w:val="sq-AL"/>
          <w14:ligatures w14:val="standardContextual"/>
        </w:rPr>
        <w:t xml:space="preserve"> </w:t>
      </w:r>
      <w:r w:rsidRPr="00E40A34">
        <w:rPr>
          <w:rFonts w:ascii="Garamond" w:eastAsiaTheme="minorHAnsi" w:hAnsi="Garamond"/>
          <w:b/>
          <w:bCs/>
          <w:color w:val="000000"/>
          <w:sz w:val="24"/>
          <w:szCs w:val="24"/>
          <w:lang w:val="sq-AL"/>
          <w14:ligatures w14:val="standardContextual"/>
        </w:rPr>
        <w:t>Siguria juridike</w:t>
      </w:r>
    </w:p>
    <w:p w14:paraId="73147918" w14:textId="79E168B8"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15.</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Kërkuesja u ankua në mbështetje të </w:t>
      </w:r>
      <w:r w:rsidR="00085CD4" w:rsidRPr="00E40A34">
        <w:rPr>
          <w:rFonts w:ascii="Garamond" w:eastAsiaTheme="minorHAnsi" w:hAnsi="Garamond"/>
          <w:color w:val="000000"/>
          <w:sz w:val="24"/>
          <w:szCs w:val="24"/>
          <w:lang w:val="sq-AL"/>
          <w14:ligatures w14:val="standardContextual"/>
        </w:rPr>
        <w:t xml:space="preserve">nenit </w:t>
      </w:r>
      <w:r w:rsidRPr="00E40A34">
        <w:rPr>
          <w:rFonts w:ascii="Garamond" w:eastAsiaTheme="minorHAnsi" w:hAnsi="Garamond"/>
          <w:color w:val="000000"/>
          <w:sz w:val="24"/>
          <w:szCs w:val="24"/>
          <w:lang w:val="sq-AL"/>
          <w14:ligatures w14:val="standardContextual"/>
        </w:rPr>
        <w:t xml:space="preserve">6 § 1 të Konventës se shembja e dytë e murit rrethues në shtëpinë e babait të saj kishte shkelur parimin e sigurisë juridike. </w:t>
      </w:r>
    </w:p>
    <w:p w14:paraId="26ADE2CB" w14:textId="1D0B5A95"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E40A34">
        <w:rPr>
          <w:rFonts w:ascii="Garamond" w:eastAsiaTheme="minorHAnsi" w:hAnsi="Garamond"/>
          <w:i/>
          <w:iCs/>
          <w:color w:val="000000"/>
          <w:sz w:val="24"/>
          <w:szCs w:val="24"/>
          <w:lang w:val="sq-AL"/>
          <w14:ligatures w14:val="standardContextual"/>
        </w:rPr>
        <w:t>1.</w:t>
      </w:r>
      <w:r w:rsidR="00875700" w:rsidRPr="00E40A34">
        <w:rPr>
          <w:rFonts w:ascii="Garamond" w:eastAsiaTheme="minorHAnsi" w:hAnsi="Garamond"/>
          <w:i/>
          <w:iCs/>
          <w:color w:val="000000"/>
          <w:sz w:val="24"/>
          <w:szCs w:val="24"/>
          <w:lang w:val="sq-AL"/>
          <w14:ligatures w14:val="standardContextual"/>
        </w:rPr>
        <w:t xml:space="preserve"> </w:t>
      </w:r>
      <w:r w:rsidRPr="00E40A34">
        <w:rPr>
          <w:rFonts w:ascii="Garamond" w:eastAsiaTheme="minorHAnsi" w:hAnsi="Garamond"/>
          <w:i/>
          <w:iCs/>
          <w:color w:val="000000"/>
          <w:sz w:val="24"/>
          <w:szCs w:val="24"/>
          <w:lang w:val="sq-AL"/>
          <w14:ligatures w14:val="standardContextual"/>
        </w:rPr>
        <w:t xml:space="preserve">Pranueshmëria </w:t>
      </w:r>
    </w:p>
    <w:p w14:paraId="3F4973E5" w14:textId="006E3389"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16.</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Qeveria parashtroi se ankesa ishte e parakohshme duke qenë se procesi i kompensimit për shembjen e dytë të murit ishte ende pezull. </w:t>
      </w:r>
    </w:p>
    <w:p w14:paraId="7FEFDED8" w14:textId="7908A3D6"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17.</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Gjykata vëren se ankesa e kërkueses ka lidhje me shkeljen e parimit të sigurisë juridike për ligjshmërinë e murit të shembur, sipas një vendimi të formës së prerë, dhe jo për kompensimin për shembjen e dytë të murit, që është ende duke u shqyrtuar pranë gjykatave të brendshme (shih paragrafin 11 më sipër). Për këtë arsye, Gjykata arrin në përfundimin se kjo ankesë nuk është e pambështetur në fakte sipas interpretimit të </w:t>
      </w:r>
      <w:r w:rsidR="00085CD4" w:rsidRPr="00E40A34">
        <w:rPr>
          <w:rFonts w:ascii="Garamond" w:eastAsiaTheme="minorHAnsi" w:hAnsi="Garamond"/>
          <w:color w:val="000000"/>
          <w:sz w:val="24"/>
          <w:szCs w:val="24"/>
          <w:lang w:val="sq-AL"/>
          <w14:ligatures w14:val="standardContextual"/>
        </w:rPr>
        <w:t xml:space="preserve">nenit </w:t>
      </w:r>
      <w:r w:rsidRPr="00E40A34">
        <w:rPr>
          <w:rFonts w:ascii="Garamond" w:eastAsiaTheme="minorHAnsi" w:hAnsi="Garamond"/>
          <w:color w:val="000000"/>
          <w:sz w:val="24"/>
          <w:szCs w:val="24"/>
          <w:lang w:val="sq-AL"/>
          <w14:ligatures w14:val="standardContextual"/>
        </w:rPr>
        <w:t xml:space="preserve">35 § 3 (a) të Konventës, apo e papranueshme për ndonjë arsye tjetër. Për këtë arsye, ajo duhet të deklarohet e pranueshme. </w:t>
      </w:r>
    </w:p>
    <w:p w14:paraId="6477994B" w14:textId="793A07EA"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E40A34">
        <w:rPr>
          <w:rFonts w:ascii="Garamond" w:eastAsiaTheme="minorHAnsi" w:hAnsi="Garamond"/>
          <w:i/>
          <w:iCs/>
          <w:color w:val="000000"/>
          <w:sz w:val="24"/>
          <w:szCs w:val="24"/>
          <w:lang w:val="sq-AL"/>
          <w14:ligatures w14:val="standardContextual"/>
        </w:rPr>
        <w:t>2.</w:t>
      </w:r>
      <w:r w:rsidR="00875700" w:rsidRPr="00E40A34">
        <w:rPr>
          <w:rFonts w:ascii="Garamond" w:eastAsiaTheme="minorHAnsi" w:hAnsi="Garamond"/>
          <w:i/>
          <w:iCs/>
          <w:color w:val="000000"/>
          <w:sz w:val="24"/>
          <w:szCs w:val="24"/>
          <w:lang w:val="sq-AL"/>
          <w14:ligatures w14:val="standardContextual"/>
        </w:rPr>
        <w:t xml:space="preserve"> </w:t>
      </w:r>
      <w:r w:rsidRPr="00E40A34">
        <w:rPr>
          <w:rFonts w:ascii="Garamond" w:eastAsiaTheme="minorHAnsi" w:hAnsi="Garamond"/>
          <w:i/>
          <w:iCs/>
          <w:color w:val="000000"/>
          <w:sz w:val="24"/>
          <w:szCs w:val="24"/>
          <w:lang w:val="sq-AL"/>
          <w14:ligatures w14:val="standardContextual"/>
        </w:rPr>
        <w:t xml:space="preserve">Meritat </w:t>
      </w:r>
    </w:p>
    <w:p w14:paraId="5E4F948C" w14:textId="4DDA7C2F"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18.</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Kërkuesja argumentoi se ligjshmëria e murit ishte konfirmuar në grupin e parë të procedurave, dhe rindërtimi i murit në vitin 2011 ishte bërë nën mbikëqyrjen e përmbaruesit dhe mbështetur në vendimin e Gjykatës së Apelit, që ishte i formës së prerë dhe i ekzekutueshëm. Masat e përmbaruesit nuk u kundërshtuan asnjëherë nga autoritetet Shtetërore. </w:t>
      </w:r>
    </w:p>
    <w:p w14:paraId="2E029EC5" w14:textId="2E04B6CE"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19.</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Qeveria argumentoi se autoritetet e brendshme kishin vepruar në përputhje me parashikimet ligjore. Muret e prishur në vitin 2008 dhe 2018 nuk ishin të njëjtë. Muri i dytë ishte 36</w:t>
      </w:r>
      <w:r w:rsidR="00085CD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m në krahasim me murin e parë që ishte 14.3</w:t>
      </w:r>
      <w:r w:rsidR="00085CD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m, dhe për këtë arsye, nuk ishte shkelur parimi i sigurisë juridike. </w:t>
      </w:r>
    </w:p>
    <w:p w14:paraId="3591B23A" w14:textId="52A20F9B"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20.</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Gjykata vëren se e drejta për t’u dëgjuar pranë një gjykate e garantuar nga </w:t>
      </w:r>
      <w:r w:rsidR="00C62321" w:rsidRPr="00E40A34">
        <w:rPr>
          <w:rFonts w:ascii="Garamond" w:eastAsiaTheme="minorHAnsi" w:hAnsi="Garamond"/>
          <w:color w:val="000000"/>
          <w:sz w:val="24"/>
          <w:szCs w:val="24"/>
          <w:lang w:val="sq-AL"/>
          <w14:ligatures w14:val="standardContextual"/>
        </w:rPr>
        <w:t xml:space="preserve">neni </w:t>
      </w:r>
      <w:r w:rsidRPr="00E40A34">
        <w:rPr>
          <w:rFonts w:ascii="Garamond" w:eastAsiaTheme="minorHAnsi" w:hAnsi="Garamond"/>
          <w:color w:val="000000"/>
          <w:sz w:val="24"/>
          <w:szCs w:val="24"/>
          <w:lang w:val="sq-AL"/>
          <w14:ligatures w14:val="standardContextual"/>
        </w:rPr>
        <w:t xml:space="preserve">6 § 1 i Konventës duhet të interpretohet sipas Preambulës së Konventës, ku midis të tjerash përcaktohet se shteti i së drejtës është pjesë e trashëgimisë së përbashkët të Shteteve Kontraktuese. Një prej aspekteve themelore të shtetit të së drejtës është parimi i sigurisë juridike, i cili parashikon, ndër të tjera se në rastin kur gjykatat kanë marrë një vendim të formës së prerë për një çështje, vendimmarrja e tyre nuk duhet të dihet në dyshim (shih </w:t>
      </w:r>
      <w:r w:rsidRPr="00E40A34">
        <w:rPr>
          <w:rFonts w:ascii="Garamond" w:eastAsiaTheme="minorHAnsi" w:hAnsi="Garamond"/>
          <w:i/>
          <w:iCs/>
          <w:color w:val="000000"/>
          <w:sz w:val="24"/>
          <w:szCs w:val="24"/>
          <w:lang w:val="sq-AL"/>
          <w14:ligatures w14:val="standardContextual"/>
        </w:rPr>
        <w:t>BrumÎrescu kundër Rumanisë</w:t>
      </w:r>
      <w:r w:rsidRPr="00E40A34">
        <w:rPr>
          <w:rFonts w:ascii="Garamond" w:eastAsiaTheme="minorHAnsi" w:hAnsi="Garamond"/>
          <w:color w:val="000000"/>
          <w:sz w:val="24"/>
          <w:szCs w:val="24"/>
          <w:lang w:val="sq-AL"/>
          <w14:ligatures w14:val="standardContextual"/>
        </w:rPr>
        <w:t xml:space="preserve"> [DHM], nr. 28342/95, § 61, GJEDNJ 1999-VII; </w:t>
      </w:r>
      <w:r w:rsidRPr="00E40A34">
        <w:rPr>
          <w:rFonts w:ascii="Garamond" w:eastAsiaTheme="minorHAnsi" w:hAnsi="Garamond"/>
          <w:i/>
          <w:iCs/>
          <w:color w:val="000000"/>
          <w:sz w:val="24"/>
          <w:szCs w:val="24"/>
          <w:lang w:val="sq-AL"/>
          <w14:ligatures w14:val="standardContextual"/>
        </w:rPr>
        <w:t>Ryabykh kundër Rusisë</w:t>
      </w:r>
      <w:r w:rsidRPr="00E40A34">
        <w:rPr>
          <w:rFonts w:ascii="Garamond" w:eastAsiaTheme="minorHAnsi" w:hAnsi="Garamond"/>
          <w:color w:val="000000"/>
          <w:sz w:val="24"/>
          <w:szCs w:val="24"/>
          <w:lang w:val="sq-AL"/>
          <w14:ligatures w14:val="standardContextual"/>
        </w:rPr>
        <w:t>, nr. 52854/99, §§ 51-56, GJEDNJ 2003-</w:t>
      </w:r>
      <w:r w:rsidRPr="00E40A34">
        <w:rPr>
          <w:rFonts w:ascii="Garamond" w:eastAsiaTheme="minorHAnsi" w:hAnsi="Garamond"/>
          <w:color w:val="000000"/>
          <w:sz w:val="24"/>
          <w:szCs w:val="24"/>
          <w:lang w:val="sq-AL"/>
          <w14:ligatures w14:val="standardContextual"/>
        </w:rPr>
        <w:lastRenderedPageBreak/>
        <w:t xml:space="preserve">IX; dhe </w:t>
      </w:r>
      <w:r w:rsidRPr="00E40A34">
        <w:rPr>
          <w:rFonts w:ascii="Garamond" w:eastAsiaTheme="minorHAnsi" w:hAnsi="Garamond"/>
          <w:i/>
          <w:iCs/>
          <w:color w:val="000000"/>
          <w:sz w:val="24"/>
          <w:szCs w:val="24"/>
          <w:lang w:val="sq-AL"/>
          <w14:ligatures w14:val="standardContextual"/>
        </w:rPr>
        <w:t>Ro’ca kundër Moldavisë</w:t>
      </w:r>
      <w:r w:rsidRPr="00E40A34">
        <w:rPr>
          <w:rFonts w:ascii="Garamond" w:eastAsiaTheme="minorHAnsi" w:hAnsi="Garamond"/>
          <w:color w:val="000000"/>
          <w:sz w:val="24"/>
          <w:szCs w:val="24"/>
          <w:lang w:val="sq-AL"/>
          <w14:ligatures w14:val="standardContextual"/>
        </w:rPr>
        <w:t xml:space="preserve">, nr. 6267/02, § 24, 22 </w:t>
      </w:r>
      <w:r w:rsidR="00C62321" w:rsidRPr="00E40A34">
        <w:rPr>
          <w:rFonts w:ascii="Garamond" w:eastAsiaTheme="minorHAnsi" w:hAnsi="Garamond"/>
          <w:color w:val="000000"/>
          <w:sz w:val="24"/>
          <w:szCs w:val="24"/>
          <w:lang w:val="sq-AL"/>
          <w14:ligatures w14:val="standardContextual"/>
        </w:rPr>
        <w:t xml:space="preserve">mars </w:t>
      </w:r>
      <w:r w:rsidRPr="00E40A34">
        <w:rPr>
          <w:rFonts w:ascii="Garamond" w:eastAsiaTheme="minorHAnsi" w:hAnsi="Garamond"/>
          <w:color w:val="000000"/>
          <w:sz w:val="24"/>
          <w:szCs w:val="24"/>
          <w:lang w:val="sq-AL"/>
          <w14:ligatures w14:val="standardContextual"/>
        </w:rPr>
        <w:t xml:space="preserve">2005). Gjykata përsërit se e drejta për t’iu drejtuar një gjykate, e garantuar nga </w:t>
      </w:r>
      <w:r w:rsidR="00C62321" w:rsidRPr="00E40A34">
        <w:rPr>
          <w:rFonts w:ascii="Garamond" w:eastAsiaTheme="minorHAnsi" w:hAnsi="Garamond"/>
          <w:color w:val="000000"/>
          <w:sz w:val="24"/>
          <w:szCs w:val="24"/>
          <w:lang w:val="sq-AL"/>
          <w14:ligatures w14:val="standardContextual"/>
        </w:rPr>
        <w:t xml:space="preserve">neni </w:t>
      </w:r>
      <w:r w:rsidRPr="00E40A34">
        <w:rPr>
          <w:rFonts w:ascii="Garamond" w:eastAsiaTheme="minorHAnsi" w:hAnsi="Garamond"/>
          <w:color w:val="000000"/>
          <w:sz w:val="24"/>
          <w:szCs w:val="24"/>
          <w:lang w:val="sq-AL"/>
          <w14:ligatures w14:val="standardContextual"/>
        </w:rPr>
        <w:t xml:space="preserve">6 § 1, do të ishte e gënjeshtërt nëse sistemi juridik i një Shteti Kontraktues do të lejonte që një vendim gjyqësor, detyrues, i formës së prerë të mbetej jofunksional në dëm të njërës palë (shih </w:t>
      </w:r>
      <w:r w:rsidRPr="00E40A34">
        <w:rPr>
          <w:rFonts w:ascii="Garamond" w:eastAsiaTheme="minorHAnsi" w:hAnsi="Garamond"/>
          <w:i/>
          <w:iCs/>
          <w:color w:val="000000"/>
          <w:sz w:val="24"/>
          <w:szCs w:val="24"/>
          <w:lang w:val="sq-AL"/>
          <w14:ligatures w14:val="standardContextual"/>
        </w:rPr>
        <w:t>Stoyanov dhe Tabakov kundër Bullgarisë</w:t>
      </w:r>
      <w:r w:rsidRPr="00E40A34">
        <w:rPr>
          <w:rFonts w:ascii="Garamond" w:eastAsiaTheme="minorHAnsi" w:hAnsi="Garamond"/>
          <w:color w:val="000000"/>
          <w:sz w:val="24"/>
          <w:szCs w:val="24"/>
          <w:lang w:val="sq-AL"/>
          <w14:ligatures w14:val="standardContextual"/>
        </w:rPr>
        <w:t xml:space="preserve"> </w:t>
      </w:r>
      <w:r w:rsidRPr="00C62321">
        <w:rPr>
          <w:rFonts w:ascii="Garamond" w:eastAsiaTheme="minorHAnsi" w:hAnsi="Garamond"/>
          <w:i/>
          <w:iCs/>
          <w:color w:val="000000"/>
          <w:sz w:val="24"/>
          <w:szCs w:val="24"/>
          <w:lang w:val="sq-AL"/>
          <w14:ligatures w14:val="standardContextual"/>
        </w:rPr>
        <w:t>(nr. 2),</w:t>
      </w:r>
      <w:r w:rsidRPr="00E40A34">
        <w:rPr>
          <w:rFonts w:ascii="Garamond" w:eastAsiaTheme="minorHAnsi" w:hAnsi="Garamond"/>
          <w:color w:val="000000"/>
          <w:sz w:val="24"/>
          <w:szCs w:val="24"/>
          <w:lang w:val="sq-AL"/>
          <w14:ligatures w14:val="standardContextual"/>
        </w:rPr>
        <w:t xml:space="preserve"> nr. 64387/14, § 51, 7 </w:t>
      </w:r>
      <w:r w:rsidR="00C62321" w:rsidRPr="00E40A34">
        <w:rPr>
          <w:rFonts w:ascii="Garamond" w:eastAsiaTheme="minorHAnsi" w:hAnsi="Garamond"/>
          <w:color w:val="000000"/>
          <w:sz w:val="24"/>
          <w:szCs w:val="24"/>
          <w:lang w:val="sq-AL"/>
          <w14:ligatures w14:val="standardContextual"/>
        </w:rPr>
        <w:t xml:space="preserve">dhjetor </w:t>
      </w:r>
      <w:r w:rsidRPr="00E40A34">
        <w:rPr>
          <w:rFonts w:ascii="Garamond" w:eastAsiaTheme="minorHAnsi" w:hAnsi="Garamond"/>
          <w:color w:val="000000"/>
          <w:sz w:val="24"/>
          <w:szCs w:val="24"/>
          <w:lang w:val="sq-AL"/>
          <w14:ligatures w14:val="standardContextual"/>
        </w:rPr>
        <w:t xml:space="preserve">2021, me referenca të tjera). </w:t>
      </w:r>
    </w:p>
    <w:p w14:paraId="316F1990" w14:textId="29E78662"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21.</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Për sa i përket çështjes konkrete, në fund të grupit të parë të procedurave, gjykatat e brendshme arritën në përfundimin se muri rrethues i shtëpisë së babait të kërkueses kishte qenë ndërtim i ligjshëm. Muri i dytë u ndërtua për të zëvendësuar të parin nën mbikëqyrjen e përmbaruesit gjatë procesit të ekzekutimit të vendimit të Gjykatës së Apelit të vitit 2015 (shih paragrafët 4</w:t>
      </w:r>
      <w:r w:rsidR="001B2491">
        <w:rPr>
          <w:rFonts w:ascii="Garamond" w:eastAsiaTheme="minorHAnsi" w:hAnsi="Garamond"/>
          <w:color w:val="000000"/>
          <w:sz w:val="24"/>
          <w:szCs w:val="24"/>
          <w:lang w:val="sq-AL"/>
          <w14:ligatures w14:val="standardContextual"/>
        </w:rPr>
        <w:t>–</w:t>
      </w:r>
      <w:r w:rsidRPr="00E40A34">
        <w:rPr>
          <w:rFonts w:ascii="Garamond" w:eastAsiaTheme="minorHAnsi" w:hAnsi="Garamond"/>
          <w:color w:val="000000"/>
          <w:sz w:val="24"/>
          <w:szCs w:val="24"/>
          <w:lang w:val="sq-AL"/>
          <w14:ligatures w14:val="standardContextual"/>
        </w:rPr>
        <w:t>6 më sipër). Gjykata vlerëson se autoritetet vendase nuk i kundërshtuan masat e përmbaruesit dhe as nuk nisën ndonjë procedurë në lidhje me ndërtimin ose përmasat e murit të ri. Qeveria nuk parashtroi se raporti përmbarimor i hartuar nga përmbaruesi në vitin 2011, apo kërkesa e përmbaruesit për shlyerjen e shpenzimeve, të ishin kundërshtuar pranë gjykatave të brendshme dhe as nuk paraqiti ndonjë argument se kishte arsye për ta bërë këtë. Pavarësisht nga sa më sipër, Inspektorati Kombëtar i Ndërtimi, pas më shumë se dhjetë v</w:t>
      </w:r>
      <w:r w:rsidR="00230185">
        <w:rPr>
          <w:rFonts w:ascii="Garamond" w:eastAsiaTheme="minorHAnsi" w:hAnsi="Garamond"/>
          <w:color w:val="000000"/>
          <w:sz w:val="24"/>
          <w:szCs w:val="24"/>
          <w:lang w:val="sq-AL"/>
          <w14:ligatures w14:val="standardContextual"/>
        </w:rPr>
        <w:t>jetësh</w:t>
      </w:r>
      <w:r w:rsidRPr="00E40A34">
        <w:rPr>
          <w:rFonts w:ascii="Garamond" w:eastAsiaTheme="minorHAnsi" w:hAnsi="Garamond"/>
          <w:color w:val="000000"/>
          <w:sz w:val="24"/>
          <w:szCs w:val="24"/>
          <w:lang w:val="sq-AL"/>
          <w14:ligatures w14:val="standardContextual"/>
        </w:rPr>
        <w:t xml:space="preserve"> nga rindërtimi, arriti në përfundimin se muri ishte ndërtim i paligjshëm dhe e shembi atë (shih paragrafin 10 më sipër). Sidoqoftë, muri i rindërtuar u shemb i gjithi, duke përfshirë pjesën që ishte deklaruar e ligjshme nga gjykatat. </w:t>
      </w:r>
    </w:p>
    <w:p w14:paraId="0E346F86" w14:textId="21648680"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22.</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Këto fakte tregojnë se, me shembjen e murit për herë të dytë, autoritetet administrative nuk respektuan vendimin e Gjykatës së Lartë të datës 26 </w:t>
      </w:r>
      <w:r w:rsidR="00230185" w:rsidRPr="00E40A34">
        <w:rPr>
          <w:rFonts w:ascii="Garamond" w:eastAsiaTheme="minorHAnsi" w:hAnsi="Garamond"/>
          <w:color w:val="000000"/>
          <w:sz w:val="24"/>
          <w:szCs w:val="24"/>
          <w:lang w:val="sq-AL"/>
          <w14:ligatures w14:val="standardContextual"/>
        </w:rPr>
        <w:t xml:space="preserve">shkurt </w:t>
      </w:r>
      <w:r w:rsidRPr="00E40A34">
        <w:rPr>
          <w:rFonts w:ascii="Garamond" w:eastAsiaTheme="minorHAnsi" w:hAnsi="Garamond"/>
          <w:color w:val="000000"/>
          <w:sz w:val="24"/>
          <w:szCs w:val="24"/>
          <w:lang w:val="sq-AL"/>
          <w14:ligatures w14:val="standardContextual"/>
        </w:rPr>
        <w:t xml:space="preserve">2015 që konfirmonte se muri ishte ndërtim i ligjshëm. Masat e </w:t>
      </w:r>
      <w:r w:rsidR="00230185" w:rsidRPr="00E40A34">
        <w:rPr>
          <w:rFonts w:ascii="Garamond" w:eastAsiaTheme="minorHAnsi" w:hAnsi="Garamond"/>
          <w:color w:val="000000"/>
          <w:sz w:val="24"/>
          <w:szCs w:val="24"/>
          <w:lang w:val="sq-AL"/>
          <w14:ligatures w14:val="standardContextual"/>
        </w:rPr>
        <w:t xml:space="preserve">Autoriteteve </w:t>
      </w:r>
      <w:r w:rsidRPr="00E40A34">
        <w:rPr>
          <w:rFonts w:ascii="Garamond" w:eastAsiaTheme="minorHAnsi" w:hAnsi="Garamond"/>
          <w:color w:val="000000"/>
          <w:sz w:val="24"/>
          <w:szCs w:val="24"/>
          <w:lang w:val="sq-AL"/>
          <w14:ligatures w14:val="standardContextual"/>
        </w:rPr>
        <w:t>Shtetërore e kanë lënë kërkuesen në një gjendje pasigurie të vazhdueshme dhe e kanë bërë të pamundur ekzekutimin e vendimit të formës së prerë dhënë në favor të saj.</w:t>
      </w:r>
    </w:p>
    <w:p w14:paraId="0CA722BA" w14:textId="1FD5F37E"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23.</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Mbështetur në sa më sipër, Gjykata arrin në përfundimin se shembja e dytë e murit rrethues së shtëpisë së babait të kërkueses vuri në dyshim vendimin e formës së prerë të dhënë në grupin e parë të procesit, dhe gjykon se përbën një shkelje të parimit të sigurisë juridike të parashikuar në </w:t>
      </w:r>
      <w:r w:rsidR="00230185" w:rsidRPr="00E40A34">
        <w:rPr>
          <w:rFonts w:ascii="Garamond" w:eastAsiaTheme="minorHAnsi" w:hAnsi="Garamond"/>
          <w:color w:val="000000"/>
          <w:sz w:val="24"/>
          <w:szCs w:val="24"/>
          <w:lang w:val="sq-AL"/>
          <w14:ligatures w14:val="standardContextual"/>
        </w:rPr>
        <w:t xml:space="preserve">nenin </w:t>
      </w:r>
      <w:r w:rsidRPr="00E40A34">
        <w:rPr>
          <w:rFonts w:ascii="Garamond" w:eastAsiaTheme="minorHAnsi" w:hAnsi="Garamond"/>
          <w:color w:val="000000"/>
          <w:sz w:val="24"/>
          <w:szCs w:val="24"/>
          <w:lang w:val="sq-AL"/>
          <w14:ligatures w14:val="standardContextual"/>
        </w:rPr>
        <w:t xml:space="preserve">6 § 1 të Konventës. </w:t>
      </w:r>
    </w:p>
    <w:p w14:paraId="30B52E3D" w14:textId="4A4DB0E8"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E40A34">
        <w:rPr>
          <w:rFonts w:ascii="Garamond" w:eastAsiaTheme="minorHAnsi" w:hAnsi="Garamond"/>
          <w:b/>
          <w:bCs/>
          <w:color w:val="000000"/>
          <w:sz w:val="24"/>
          <w:szCs w:val="24"/>
          <w:lang w:val="sq-AL"/>
          <w14:ligatures w14:val="standardContextual"/>
        </w:rPr>
        <w:t>B.</w:t>
      </w:r>
      <w:r w:rsidR="00875700" w:rsidRPr="00E40A34">
        <w:rPr>
          <w:rFonts w:ascii="Garamond" w:eastAsiaTheme="minorHAnsi" w:hAnsi="Garamond"/>
          <w:b/>
          <w:bCs/>
          <w:color w:val="000000"/>
          <w:sz w:val="24"/>
          <w:szCs w:val="24"/>
          <w:lang w:val="sq-AL"/>
          <w14:ligatures w14:val="standardContextual"/>
        </w:rPr>
        <w:t xml:space="preserve"> </w:t>
      </w:r>
      <w:r w:rsidRPr="00E40A34">
        <w:rPr>
          <w:rFonts w:ascii="Garamond" w:eastAsiaTheme="minorHAnsi" w:hAnsi="Garamond"/>
          <w:b/>
          <w:bCs/>
          <w:color w:val="000000"/>
          <w:sz w:val="24"/>
          <w:szCs w:val="24"/>
          <w:lang w:val="sq-AL"/>
          <w14:ligatures w14:val="standardContextual"/>
        </w:rPr>
        <w:t>Kohëzgjatja e procesit të përmbarimit</w:t>
      </w:r>
    </w:p>
    <w:p w14:paraId="0723A1A1" w14:textId="0F81A446"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24.</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Kërkuesja u ankua për mosekzekutim ose ekzekutim të vonuar të vendimit të vitit 2015 dhënë në favor të saj. </w:t>
      </w:r>
    </w:p>
    <w:p w14:paraId="7CFC56E1" w14:textId="5621CEA9"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25.</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Qeveria parashtroi se në vitin 2023, vendimi rezultonte të ishte i ekzekutuar. Për sa ka të bëjë me ekzekutimin e vonuar, Qeveria argumentoi se kërkuesja nuk kishte paraqitur pranë Gjykatës së Rrethit kërkesën për njohjen e kohëzgjatjes së tepër të procedurave, mbështetur në </w:t>
      </w:r>
      <w:r w:rsidR="00582D55" w:rsidRPr="00E40A34">
        <w:rPr>
          <w:rFonts w:ascii="Garamond" w:eastAsiaTheme="minorHAnsi" w:hAnsi="Garamond"/>
          <w:color w:val="000000"/>
          <w:sz w:val="24"/>
          <w:szCs w:val="24"/>
          <w:lang w:val="sq-AL"/>
          <w14:ligatures w14:val="standardContextual"/>
        </w:rPr>
        <w:t xml:space="preserve">nenin </w:t>
      </w:r>
      <w:r w:rsidRPr="00E40A34">
        <w:rPr>
          <w:rFonts w:ascii="Garamond" w:eastAsiaTheme="minorHAnsi" w:hAnsi="Garamond"/>
          <w:color w:val="000000"/>
          <w:sz w:val="24"/>
          <w:szCs w:val="24"/>
          <w:lang w:val="sq-AL"/>
          <w14:ligatures w14:val="standardContextual"/>
        </w:rPr>
        <w:t xml:space="preserve">399/6 të Kodit të Procedurës Civile (shih referencën në paragrafin 14 më sipër), dhe, në vijim, kërkesën për dëmshpërblim të drejtë. Sipas këndvështrimit të Qeverisë, në këtë mënyrë kërkuesja nuk kishte shfrytëzuar mjetet vendase. </w:t>
      </w:r>
    </w:p>
    <w:p w14:paraId="779DFB2F" w14:textId="3A26AA4B"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26.</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Gjykata mban në konsideratë faktin se autoriteteve iu deshën shtatë vite të ekzekutonin vendimin e vitit 2015 (shih paragrafët 12 më sipër) dhe se ata nuk bënë të gjitha përpjekjet e nevojshme për ta zbatuar atë vendim në kohën e duhur. Megjithatë, mbështetur në </w:t>
      </w:r>
      <w:r w:rsidR="00582D55" w:rsidRPr="00E40A34">
        <w:rPr>
          <w:rFonts w:ascii="Garamond" w:eastAsiaTheme="minorHAnsi" w:hAnsi="Garamond"/>
          <w:color w:val="000000"/>
          <w:sz w:val="24"/>
          <w:szCs w:val="24"/>
          <w:lang w:val="sq-AL"/>
          <w14:ligatures w14:val="standardContextual"/>
        </w:rPr>
        <w:t xml:space="preserve">nenin </w:t>
      </w:r>
      <w:r w:rsidRPr="00E40A34">
        <w:rPr>
          <w:rFonts w:ascii="Garamond" w:eastAsiaTheme="minorHAnsi" w:hAnsi="Garamond"/>
          <w:color w:val="000000"/>
          <w:sz w:val="24"/>
          <w:szCs w:val="24"/>
          <w:lang w:val="sq-AL"/>
          <w14:ligatures w14:val="standardContextual"/>
        </w:rPr>
        <w:t xml:space="preserve">399/6 të Kodit të Procedurës Civile, kërkuesja duhej të kishte paraqitur një kërkesë për njohjen e kohëzgjatjes së tepërt të procesit pranë Gjykatës së Rrethit. Në parim, Gjykata e vlerëson efikas mjetin kompensues për kohëzgjatjen e tepër të procesit (shih </w:t>
      </w:r>
      <w:r w:rsidRPr="00E40A34">
        <w:rPr>
          <w:rFonts w:ascii="Garamond" w:eastAsiaTheme="minorHAnsi" w:hAnsi="Garamond"/>
          <w:i/>
          <w:iCs/>
          <w:color w:val="000000"/>
          <w:sz w:val="24"/>
          <w:szCs w:val="24"/>
          <w:lang w:val="sq-AL"/>
          <w14:ligatures w14:val="standardContextual"/>
        </w:rPr>
        <w:t>Bara dhe Kola</w:t>
      </w:r>
      <w:r w:rsidRPr="00E40A34">
        <w:rPr>
          <w:rFonts w:ascii="Garamond" w:eastAsiaTheme="minorHAnsi" w:hAnsi="Garamond"/>
          <w:color w:val="000000"/>
          <w:sz w:val="24"/>
          <w:szCs w:val="24"/>
          <w:lang w:val="sq-AL"/>
          <w14:ligatures w14:val="standardContextual"/>
        </w:rPr>
        <w:t xml:space="preserve">, §§ 110-18, dhe </w:t>
      </w:r>
      <w:r w:rsidRPr="00E40A34">
        <w:rPr>
          <w:rFonts w:ascii="Garamond" w:eastAsiaTheme="minorHAnsi" w:hAnsi="Garamond"/>
          <w:i/>
          <w:iCs/>
          <w:color w:val="000000"/>
          <w:sz w:val="24"/>
          <w:szCs w:val="24"/>
          <w:lang w:val="sq-AL"/>
          <w14:ligatures w14:val="standardContextual"/>
        </w:rPr>
        <w:t>ARB SHPK dhe të Tjerë</w:t>
      </w:r>
      <w:r w:rsidRPr="00E40A34">
        <w:rPr>
          <w:rFonts w:ascii="Garamond" w:eastAsiaTheme="minorHAnsi" w:hAnsi="Garamond"/>
          <w:color w:val="000000"/>
          <w:sz w:val="24"/>
          <w:szCs w:val="24"/>
          <w:lang w:val="sq-AL"/>
          <w14:ligatures w14:val="standardContextual"/>
        </w:rPr>
        <w:t xml:space="preserve">, §192, të dy cituar më sipër). Kërkuesja nuk e ka shfrytëzuar këtë mjet. Për këtë arsye, ankesa në lidhje me kohëzgjatjen e mosekzekutimit duhet të rrëzohet në mbështetje të </w:t>
      </w:r>
      <w:r w:rsidR="00582D55" w:rsidRPr="00E40A34">
        <w:rPr>
          <w:rFonts w:ascii="Garamond" w:eastAsiaTheme="minorHAnsi" w:hAnsi="Garamond"/>
          <w:color w:val="000000"/>
          <w:sz w:val="24"/>
          <w:szCs w:val="24"/>
          <w:lang w:val="sq-AL"/>
          <w14:ligatures w14:val="standardContextual"/>
        </w:rPr>
        <w:t xml:space="preserve">nenit </w:t>
      </w:r>
      <w:r w:rsidRPr="00E40A34">
        <w:rPr>
          <w:rFonts w:ascii="Garamond" w:eastAsiaTheme="minorHAnsi" w:hAnsi="Garamond"/>
          <w:color w:val="000000"/>
          <w:sz w:val="24"/>
          <w:szCs w:val="24"/>
          <w:lang w:val="sq-AL"/>
          <w14:ligatures w14:val="standardContextual"/>
        </w:rPr>
        <w:t xml:space="preserve">35 §§ 1 dhe 4 të Konventës për mosshterim të mjeteve të brendshme. </w:t>
      </w:r>
    </w:p>
    <w:p w14:paraId="3A806864" w14:textId="6CE5F8FF"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II.</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ANKESA TË TJERA</w:t>
      </w:r>
    </w:p>
    <w:p w14:paraId="666BC460" w14:textId="035B4F04"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27.</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Ankuesja u ankua edhe në mbështetje të </w:t>
      </w:r>
      <w:r w:rsidR="00582D55" w:rsidRPr="00E40A34">
        <w:rPr>
          <w:rFonts w:ascii="Garamond" w:eastAsiaTheme="minorHAnsi" w:hAnsi="Garamond"/>
          <w:color w:val="000000"/>
          <w:sz w:val="24"/>
          <w:szCs w:val="24"/>
          <w:lang w:val="sq-AL"/>
          <w14:ligatures w14:val="standardContextual"/>
        </w:rPr>
        <w:t xml:space="preserve">nenit </w:t>
      </w:r>
      <w:r w:rsidRPr="00E40A34">
        <w:rPr>
          <w:rFonts w:ascii="Garamond" w:eastAsiaTheme="minorHAnsi" w:hAnsi="Garamond"/>
          <w:color w:val="000000"/>
          <w:sz w:val="24"/>
          <w:szCs w:val="24"/>
          <w:lang w:val="sq-AL"/>
          <w14:ligatures w14:val="standardContextual"/>
        </w:rPr>
        <w:t xml:space="preserve">13 të Konventës dhe </w:t>
      </w:r>
      <w:r w:rsidR="00582D55" w:rsidRPr="00E40A34">
        <w:rPr>
          <w:rFonts w:ascii="Garamond" w:eastAsiaTheme="minorHAnsi" w:hAnsi="Garamond"/>
          <w:color w:val="000000"/>
          <w:sz w:val="24"/>
          <w:szCs w:val="24"/>
          <w:lang w:val="sq-AL"/>
          <w14:ligatures w14:val="standardContextual"/>
        </w:rPr>
        <w:t xml:space="preserve">nenit </w:t>
      </w:r>
      <w:r w:rsidRPr="00E40A34">
        <w:rPr>
          <w:rFonts w:ascii="Garamond" w:eastAsiaTheme="minorHAnsi" w:hAnsi="Garamond"/>
          <w:color w:val="000000"/>
          <w:sz w:val="24"/>
          <w:szCs w:val="24"/>
          <w:lang w:val="sq-AL"/>
          <w14:ligatures w14:val="standardContextual"/>
        </w:rPr>
        <w:t xml:space="preserve">1 të Protokollit </w:t>
      </w:r>
      <w:r w:rsidR="00582D55" w:rsidRPr="00E40A34">
        <w:rPr>
          <w:rFonts w:ascii="Garamond" w:eastAsiaTheme="minorHAnsi" w:hAnsi="Garamond"/>
          <w:color w:val="000000"/>
          <w:sz w:val="24"/>
          <w:szCs w:val="24"/>
          <w:lang w:val="sq-AL"/>
          <w14:ligatures w14:val="standardContextual"/>
        </w:rPr>
        <w:t>nr</w:t>
      </w:r>
      <w:r w:rsidRPr="00E40A34">
        <w:rPr>
          <w:rFonts w:ascii="Garamond" w:eastAsiaTheme="minorHAnsi" w:hAnsi="Garamond"/>
          <w:color w:val="000000"/>
          <w:sz w:val="24"/>
          <w:szCs w:val="24"/>
          <w:lang w:val="sq-AL"/>
          <w14:ligatures w14:val="standardContextual"/>
        </w:rPr>
        <w:t xml:space="preserve">. 1 të Konventës për mungesën e pretenduar të mjetit efektiv dhe për shkeljen e </w:t>
      </w:r>
      <w:r w:rsidR="00582D55">
        <w:rPr>
          <w:rFonts w:ascii="Garamond" w:eastAsiaTheme="minorHAnsi" w:hAnsi="Garamond"/>
          <w:color w:val="000000"/>
          <w:sz w:val="24"/>
          <w:szCs w:val="24"/>
          <w:lang w:val="sq-AL"/>
          <w14:ligatures w14:val="standardContextual"/>
        </w:rPr>
        <w:t>s</w:t>
      </w:r>
      <w:r w:rsidRPr="00E40A34">
        <w:rPr>
          <w:rFonts w:ascii="Garamond" w:eastAsiaTheme="minorHAnsi" w:hAnsi="Garamond"/>
          <w:color w:val="000000"/>
          <w:sz w:val="24"/>
          <w:szCs w:val="24"/>
          <w:lang w:val="sq-AL"/>
          <w14:ligatures w14:val="standardContextual"/>
        </w:rPr>
        <w:t>ë drejtës së saj ndaj pasurisë</w:t>
      </w:r>
      <w:r w:rsidR="00582D55">
        <w:rPr>
          <w:rFonts w:ascii="Garamond" w:eastAsiaTheme="minorHAnsi" w:hAnsi="Garamond"/>
          <w:color w:val="000000"/>
          <w:sz w:val="24"/>
          <w:szCs w:val="24"/>
          <w:lang w:val="sq-AL"/>
          <w14:ligatures w14:val="standardContextual"/>
        </w:rPr>
        <w:t>,</w:t>
      </w:r>
      <w:r w:rsidRPr="00E40A34">
        <w:rPr>
          <w:rFonts w:ascii="Garamond" w:eastAsiaTheme="minorHAnsi" w:hAnsi="Garamond"/>
          <w:color w:val="000000"/>
          <w:sz w:val="24"/>
          <w:szCs w:val="24"/>
          <w:lang w:val="sq-AL"/>
          <w14:ligatures w14:val="standardContextual"/>
        </w:rPr>
        <w:t xml:space="preserve"> në lidhje me ankesën për mosekzekutimin e vendimit të brendshëm të formës së prerë. </w:t>
      </w:r>
    </w:p>
    <w:p w14:paraId="36BC7982" w14:textId="67E081A5"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28.</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Për sa </w:t>
      </w:r>
      <w:r w:rsidR="00582D55">
        <w:rPr>
          <w:rFonts w:ascii="Garamond" w:eastAsiaTheme="minorHAnsi" w:hAnsi="Garamond"/>
          <w:color w:val="000000"/>
          <w:sz w:val="24"/>
          <w:szCs w:val="24"/>
          <w:lang w:val="sq-AL"/>
          <w14:ligatures w14:val="standardContextual"/>
        </w:rPr>
        <w:t>u</w:t>
      </w:r>
      <w:r w:rsidRPr="00E40A34">
        <w:rPr>
          <w:rFonts w:ascii="Garamond" w:eastAsiaTheme="minorHAnsi" w:hAnsi="Garamond"/>
          <w:color w:val="000000"/>
          <w:sz w:val="24"/>
          <w:szCs w:val="24"/>
          <w:lang w:val="sq-AL"/>
          <w14:ligatures w14:val="standardContextual"/>
        </w:rPr>
        <w:t xml:space="preserve"> përket fakteve të çështjes, parashtrimeve të palëve dhe gjetjeve të saj, Gjykata vlerëson se ajo ka shqyrtuar çështjet kryesore juridike të ngritura në çështjen konkrete. Në këtë mënyrë, ajo konstaton se nuk është e nevojshme të jepet një vendim i veçantë për këto ankesa (shih </w:t>
      </w:r>
      <w:r w:rsidRPr="00E40A34">
        <w:rPr>
          <w:rFonts w:ascii="Garamond" w:eastAsiaTheme="minorHAnsi" w:hAnsi="Garamond"/>
          <w:i/>
          <w:iCs/>
          <w:color w:val="000000"/>
          <w:sz w:val="24"/>
          <w:szCs w:val="24"/>
          <w:lang w:val="sq-AL"/>
          <w14:ligatures w14:val="standardContextual"/>
        </w:rPr>
        <w:lastRenderedPageBreak/>
        <w:t>Qendra për Burimet Juridike në emër të Valentin Cmpeanu kundër Rumanisë</w:t>
      </w:r>
      <w:r w:rsidRPr="00E40A34">
        <w:rPr>
          <w:rFonts w:ascii="Garamond" w:eastAsiaTheme="minorHAnsi" w:hAnsi="Garamond"/>
          <w:color w:val="000000"/>
          <w:sz w:val="24"/>
          <w:szCs w:val="24"/>
          <w:lang w:val="sq-AL"/>
          <w14:ligatures w14:val="standardContextual"/>
        </w:rPr>
        <w:t xml:space="preserve"> [DHM], nr. 47848/08, § 156, GJEDNJ 2014). </w:t>
      </w:r>
    </w:p>
    <w:p w14:paraId="5722966D" w14:textId="4EAAB5E6"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ZBATIM I NENIT 41 TË KONVENTËS</w:t>
      </w:r>
    </w:p>
    <w:p w14:paraId="20CBEA5E" w14:textId="39CFA079"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29.</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Në parashtrimet e saj, kërkuesja kërkoi dëmshpërblim pasuror dhe jopasuror pa përcaktuar ndonjë shumë. Megjithatë, në kërkesën e saj pranë Gjykatës, ajo kishte kërkuar 620,800 lekë shqiptar (ALL) për dëmin pasuror për kostot e rindërtimit dhe për çdo dëm tjetër, dhe 10,000 euro (EUR) për dëmin jopasuror. Kërkuesja nuk kishte bërë kërkesë për kostot dhe shpenzimet. </w:t>
      </w:r>
    </w:p>
    <w:p w14:paraId="49EAEB9E" w14:textId="065BCF6E"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30.</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Qeveria i kundërshtoi këto kërkesa si të pajustifikuara dhe argumentoi se kërkuesja nuk kishte formuluar një kërkesë për dëmshpërblim të drejtë. </w:t>
      </w:r>
    </w:p>
    <w:p w14:paraId="545DF393" w14:textId="156E95AC"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31.</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Nën rrethanat e çështjes konkrete, Gjykata vëren se është e vërtetë se kërkuesja kërkonte shuma specifike për dëmin pasuror dhe jopasuror, vetëm në formularin e kërkesës. Megjithatë, në vërejtjet e saj parashtruar brenda afatit përkatës, ku u ftua shprehimisht të formulonte kërkesat e saj për dëmshpërblim të drejtë, kërkuesja e shprehu qartazi kërkesën për dëm pasuror dhe jopasuror, pavarësisht se nuk e përcaktonte shumën. Për këtë arsye, nuk mund të thuhet se ajo nuk parashtroi kërkesa për justifikim të drejtë brenda afatit përkatës në përputhje me </w:t>
      </w:r>
      <w:r w:rsidR="00AF6F1C" w:rsidRPr="00E40A34">
        <w:rPr>
          <w:rFonts w:ascii="Garamond" w:eastAsiaTheme="minorHAnsi" w:hAnsi="Garamond"/>
          <w:color w:val="000000"/>
          <w:sz w:val="24"/>
          <w:szCs w:val="24"/>
          <w:lang w:val="sq-AL"/>
          <w14:ligatures w14:val="standardContextual"/>
        </w:rPr>
        <w:t xml:space="preserve">rregullin </w:t>
      </w:r>
      <w:r w:rsidRPr="00E40A34">
        <w:rPr>
          <w:rFonts w:ascii="Garamond" w:eastAsiaTheme="minorHAnsi" w:hAnsi="Garamond"/>
          <w:color w:val="000000"/>
          <w:sz w:val="24"/>
          <w:szCs w:val="24"/>
          <w:lang w:val="sq-AL"/>
          <w14:ligatures w14:val="standardContextual"/>
        </w:rPr>
        <w:t xml:space="preserve">60, ku theksohet se dëmi jopasuror nuk e mundëson përllogaritjen precize dhe se një kërkesë e tillë nuk është gjithmonë e nevojshme të përcaktohet nga kërkuesit (shih </w:t>
      </w:r>
      <w:r w:rsidRPr="00E40A34">
        <w:rPr>
          <w:rFonts w:ascii="Garamond" w:eastAsiaTheme="minorHAnsi" w:hAnsi="Garamond"/>
          <w:i/>
          <w:iCs/>
          <w:color w:val="000000"/>
          <w:sz w:val="24"/>
          <w:szCs w:val="24"/>
          <w:lang w:val="sq-AL"/>
          <w14:ligatures w14:val="standardContextual"/>
        </w:rPr>
        <w:t>Svrtan kundër Kroacisë</w:t>
      </w:r>
      <w:r w:rsidRPr="00E40A34">
        <w:rPr>
          <w:rFonts w:ascii="Garamond" w:eastAsiaTheme="minorHAnsi" w:hAnsi="Garamond"/>
          <w:color w:val="000000"/>
          <w:sz w:val="24"/>
          <w:szCs w:val="24"/>
          <w:lang w:val="sq-AL"/>
          <w14:ligatures w14:val="standardContextual"/>
        </w:rPr>
        <w:t xml:space="preserve">, nr. 57507/19, § 105, 3 </w:t>
      </w:r>
      <w:r w:rsidR="00AF6F1C" w:rsidRPr="00E40A34">
        <w:rPr>
          <w:rFonts w:ascii="Garamond" w:eastAsiaTheme="minorHAnsi" w:hAnsi="Garamond"/>
          <w:color w:val="000000"/>
          <w:sz w:val="24"/>
          <w:szCs w:val="24"/>
          <w:lang w:val="sq-AL"/>
          <w14:ligatures w14:val="standardContextual"/>
        </w:rPr>
        <w:t xml:space="preserve">dhjetor </w:t>
      </w:r>
      <w:r w:rsidRPr="00E40A34">
        <w:rPr>
          <w:rFonts w:ascii="Garamond" w:eastAsiaTheme="minorHAnsi" w:hAnsi="Garamond"/>
          <w:color w:val="000000"/>
          <w:sz w:val="24"/>
          <w:szCs w:val="24"/>
          <w:lang w:val="sq-AL"/>
          <w14:ligatures w14:val="standardContextual"/>
        </w:rPr>
        <w:t>2024.)</w:t>
      </w:r>
    </w:p>
    <w:p w14:paraId="4A69CA0E" w14:textId="4A296F7F"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32.</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Duke u kthyer tek kërkesa për dëmin pasuror, Gjykata vëren se kërkuesja ka marrë kompensimin përkatës të dhënë nga gjykatat e brendshme për koston e rindërtimit. Për këtë arsye, ajo e rrëzon këtë kërkesë. Nga ana tjetër, Gjykata vlerëson se kërkuesja duhet të ketë vuajtur edhe dëm jopasuror si rezultat i shkeljes së konstatuar. Duke bërë këtë vlerësim mbi baza të barabarta, siç kërkohet në </w:t>
      </w:r>
      <w:r w:rsidR="00AF6F1C" w:rsidRPr="00E40A34">
        <w:rPr>
          <w:rFonts w:ascii="Garamond" w:eastAsiaTheme="minorHAnsi" w:hAnsi="Garamond"/>
          <w:color w:val="000000"/>
          <w:sz w:val="24"/>
          <w:szCs w:val="24"/>
          <w:lang w:val="sq-AL"/>
          <w14:ligatures w14:val="standardContextual"/>
        </w:rPr>
        <w:t xml:space="preserve">nenin </w:t>
      </w:r>
      <w:r w:rsidRPr="00E40A34">
        <w:rPr>
          <w:rFonts w:ascii="Garamond" w:eastAsiaTheme="minorHAnsi" w:hAnsi="Garamond"/>
          <w:color w:val="000000"/>
          <w:sz w:val="24"/>
          <w:szCs w:val="24"/>
          <w:lang w:val="sq-AL"/>
          <w14:ligatures w14:val="standardContextual"/>
        </w:rPr>
        <w:t xml:space="preserve">41 të Konventës, ajo i akordon kërkueses 3,600 euro për dëmin jopasuror. </w:t>
      </w:r>
    </w:p>
    <w:p w14:paraId="6D86605E" w14:textId="513E284C"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PËR KËTO ARSYE, NË MËNYRË UNANIME, GJYKATA</w:t>
      </w:r>
      <w:r w:rsidR="00AF6F1C">
        <w:rPr>
          <w:rFonts w:ascii="Garamond" w:eastAsiaTheme="minorHAnsi" w:hAnsi="Garamond"/>
          <w:color w:val="000000"/>
          <w:sz w:val="24"/>
          <w:szCs w:val="24"/>
          <w:lang w:val="sq-AL"/>
          <w14:ligatures w14:val="standardContextual"/>
        </w:rPr>
        <w:t>:</w:t>
      </w:r>
    </w:p>
    <w:p w14:paraId="3EEF6CD3" w14:textId="18CB071F"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i/>
          <w:iCs/>
          <w:color w:val="000000"/>
          <w:sz w:val="24"/>
          <w:szCs w:val="24"/>
          <w:lang w:val="sq-AL"/>
          <w14:ligatures w14:val="standardContextual"/>
        </w:rPr>
        <w:t>1.</w:t>
      </w:r>
      <w:r w:rsidR="00875700" w:rsidRPr="00E40A34">
        <w:rPr>
          <w:rFonts w:ascii="Garamond" w:eastAsiaTheme="minorHAnsi" w:hAnsi="Garamond"/>
          <w:i/>
          <w:iCs/>
          <w:color w:val="000000"/>
          <w:sz w:val="24"/>
          <w:szCs w:val="24"/>
          <w:lang w:val="sq-AL"/>
          <w14:ligatures w14:val="standardContextual"/>
        </w:rPr>
        <w:t xml:space="preserve"> </w:t>
      </w:r>
      <w:r w:rsidRPr="00E40A34">
        <w:rPr>
          <w:rFonts w:ascii="Garamond" w:eastAsiaTheme="minorHAnsi" w:hAnsi="Garamond"/>
          <w:i/>
          <w:iCs/>
          <w:color w:val="000000"/>
          <w:sz w:val="24"/>
          <w:szCs w:val="24"/>
          <w:lang w:val="sq-AL"/>
          <w14:ligatures w14:val="standardContextual"/>
        </w:rPr>
        <w:t xml:space="preserve">E shpall </w:t>
      </w:r>
      <w:r w:rsidRPr="00E40A34">
        <w:rPr>
          <w:rFonts w:ascii="Garamond" w:eastAsiaTheme="minorHAnsi" w:hAnsi="Garamond"/>
          <w:color w:val="000000"/>
          <w:sz w:val="24"/>
          <w:szCs w:val="24"/>
          <w:lang w:val="sq-AL"/>
          <w14:ligatures w14:val="standardContextual"/>
        </w:rPr>
        <w:t>të pranueshme</w:t>
      </w:r>
      <w:r w:rsidRPr="00E40A34">
        <w:rPr>
          <w:rFonts w:ascii="Garamond" w:eastAsiaTheme="minorHAnsi" w:hAnsi="Garamond"/>
          <w:i/>
          <w:iCs/>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ankesën bërë në mbështetje të </w:t>
      </w:r>
      <w:r w:rsidR="00AF6F1C" w:rsidRPr="00E40A34">
        <w:rPr>
          <w:rFonts w:ascii="Garamond" w:eastAsiaTheme="minorHAnsi" w:hAnsi="Garamond"/>
          <w:color w:val="000000"/>
          <w:sz w:val="24"/>
          <w:szCs w:val="24"/>
          <w:lang w:val="sq-AL"/>
          <w14:ligatures w14:val="standardContextual"/>
        </w:rPr>
        <w:t xml:space="preserve">nenit </w:t>
      </w:r>
      <w:r w:rsidRPr="00E40A34">
        <w:rPr>
          <w:rFonts w:ascii="Garamond" w:eastAsiaTheme="minorHAnsi" w:hAnsi="Garamond"/>
          <w:color w:val="000000"/>
          <w:sz w:val="24"/>
          <w:szCs w:val="24"/>
          <w:lang w:val="sq-AL"/>
          <w14:ligatures w14:val="standardContextual"/>
        </w:rPr>
        <w:t>6 § 1 të Konventës për sa ka të bëjë me parimin për sigurinë juridike</w:t>
      </w:r>
      <w:r w:rsidR="00AF6F1C">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dhe ankesën për kohëzgjatjen e procesit të papranueshme; </w:t>
      </w:r>
    </w:p>
    <w:p w14:paraId="022EAFB4" w14:textId="0B446346"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i/>
          <w:iCs/>
          <w:color w:val="000000"/>
          <w:sz w:val="24"/>
          <w:szCs w:val="24"/>
          <w:lang w:val="sq-AL"/>
          <w14:ligatures w14:val="standardContextual"/>
        </w:rPr>
        <w:t>2.</w:t>
      </w:r>
      <w:r w:rsidR="00875700" w:rsidRPr="00E40A34">
        <w:rPr>
          <w:rFonts w:ascii="Garamond" w:eastAsiaTheme="minorHAnsi" w:hAnsi="Garamond"/>
          <w:i/>
          <w:iCs/>
          <w:color w:val="000000"/>
          <w:sz w:val="24"/>
          <w:szCs w:val="24"/>
          <w:lang w:val="sq-AL"/>
          <w14:ligatures w14:val="standardContextual"/>
        </w:rPr>
        <w:t xml:space="preserve"> </w:t>
      </w:r>
      <w:r w:rsidRPr="00E40A34">
        <w:rPr>
          <w:rFonts w:ascii="Garamond" w:eastAsiaTheme="minorHAnsi" w:hAnsi="Garamond"/>
          <w:i/>
          <w:iCs/>
          <w:color w:val="000000"/>
          <w:sz w:val="24"/>
          <w:szCs w:val="24"/>
          <w:lang w:val="sq-AL"/>
          <w14:ligatures w14:val="standardContextual"/>
        </w:rPr>
        <w:t xml:space="preserve">Gjykon </w:t>
      </w:r>
      <w:r w:rsidRPr="00E40A34">
        <w:rPr>
          <w:rFonts w:ascii="Garamond" w:eastAsiaTheme="minorHAnsi" w:hAnsi="Garamond"/>
          <w:color w:val="000000"/>
          <w:sz w:val="24"/>
          <w:szCs w:val="24"/>
          <w:lang w:val="sq-AL"/>
          <w14:ligatures w14:val="standardContextual"/>
        </w:rPr>
        <w:t xml:space="preserve">se është shkelur parimi i sigurisë juridike sipas </w:t>
      </w:r>
      <w:r w:rsidR="00AF6F1C" w:rsidRPr="00E40A34">
        <w:rPr>
          <w:rFonts w:ascii="Garamond" w:eastAsiaTheme="minorHAnsi" w:hAnsi="Garamond"/>
          <w:color w:val="000000"/>
          <w:sz w:val="24"/>
          <w:szCs w:val="24"/>
          <w:lang w:val="sq-AL"/>
          <w14:ligatures w14:val="standardContextual"/>
        </w:rPr>
        <w:t xml:space="preserve">nenit </w:t>
      </w:r>
      <w:r w:rsidRPr="00E40A34">
        <w:rPr>
          <w:rFonts w:ascii="Garamond" w:eastAsiaTheme="minorHAnsi" w:hAnsi="Garamond"/>
          <w:color w:val="000000"/>
          <w:sz w:val="24"/>
          <w:szCs w:val="24"/>
          <w:lang w:val="sq-AL"/>
          <w14:ligatures w14:val="standardContextual"/>
        </w:rPr>
        <w:t xml:space="preserve">6 § 1 të Konventës për shembjen nga autoritetet e brendshme të murit rrethues të shtëpisë së babait të kërkueses në vitin 2018; </w:t>
      </w:r>
    </w:p>
    <w:p w14:paraId="541736B9" w14:textId="0B40AC49"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i/>
          <w:iCs/>
          <w:color w:val="000000"/>
          <w:sz w:val="24"/>
          <w:szCs w:val="24"/>
          <w:lang w:val="sq-AL"/>
          <w14:ligatures w14:val="standardContextual"/>
        </w:rPr>
        <w:t>3.</w:t>
      </w:r>
      <w:r w:rsidR="00875700" w:rsidRPr="00E40A34">
        <w:rPr>
          <w:rFonts w:ascii="Garamond" w:eastAsiaTheme="minorHAnsi" w:hAnsi="Garamond"/>
          <w:i/>
          <w:iCs/>
          <w:color w:val="000000"/>
          <w:sz w:val="24"/>
          <w:szCs w:val="24"/>
          <w:lang w:val="sq-AL"/>
          <w14:ligatures w14:val="standardContextual"/>
        </w:rPr>
        <w:t xml:space="preserve"> </w:t>
      </w:r>
      <w:r w:rsidRPr="00E40A34">
        <w:rPr>
          <w:rFonts w:ascii="Garamond" w:eastAsiaTheme="minorHAnsi" w:hAnsi="Garamond"/>
          <w:i/>
          <w:iCs/>
          <w:color w:val="000000"/>
          <w:sz w:val="24"/>
          <w:szCs w:val="24"/>
          <w:lang w:val="sq-AL"/>
          <w14:ligatures w14:val="standardContextual"/>
        </w:rPr>
        <w:t xml:space="preserve">Gjykon </w:t>
      </w:r>
      <w:r w:rsidRPr="00E40A34">
        <w:rPr>
          <w:rFonts w:ascii="Garamond" w:eastAsiaTheme="minorHAnsi" w:hAnsi="Garamond"/>
          <w:color w:val="000000"/>
          <w:sz w:val="24"/>
          <w:szCs w:val="24"/>
          <w:lang w:val="sq-AL"/>
          <w14:ligatures w14:val="standardContextual"/>
        </w:rPr>
        <w:t xml:space="preserve">se nuk është e nevojshme që pranueshmëria ose meritat e ankesave të kërkueses sipas </w:t>
      </w:r>
      <w:r w:rsidR="00AF6F1C" w:rsidRPr="00E40A34">
        <w:rPr>
          <w:rFonts w:ascii="Garamond" w:eastAsiaTheme="minorHAnsi" w:hAnsi="Garamond"/>
          <w:color w:val="000000"/>
          <w:sz w:val="24"/>
          <w:szCs w:val="24"/>
          <w:lang w:val="sq-AL"/>
          <w14:ligatures w14:val="standardContextual"/>
        </w:rPr>
        <w:t xml:space="preserve">nenit </w:t>
      </w:r>
      <w:r w:rsidRPr="00E40A34">
        <w:rPr>
          <w:rFonts w:ascii="Garamond" w:eastAsiaTheme="minorHAnsi" w:hAnsi="Garamond"/>
          <w:color w:val="000000"/>
          <w:sz w:val="24"/>
          <w:szCs w:val="24"/>
          <w:lang w:val="sq-AL"/>
          <w14:ligatures w14:val="standardContextual"/>
        </w:rPr>
        <w:t xml:space="preserve">1 të </w:t>
      </w:r>
      <w:r w:rsidR="00AF6F1C" w:rsidRPr="00E40A34">
        <w:rPr>
          <w:rFonts w:ascii="Garamond" w:eastAsiaTheme="minorHAnsi" w:hAnsi="Garamond"/>
          <w:color w:val="000000"/>
          <w:sz w:val="24"/>
          <w:szCs w:val="24"/>
          <w:lang w:val="sq-AL"/>
          <w14:ligatures w14:val="standardContextual"/>
        </w:rPr>
        <w:t xml:space="preserve">protokollit nr. </w:t>
      </w:r>
      <w:r w:rsidRPr="00E40A34">
        <w:rPr>
          <w:rFonts w:ascii="Garamond" w:eastAsiaTheme="minorHAnsi" w:hAnsi="Garamond"/>
          <w:color w:val="000000"/>
          <w:sz w:val="24"/>
          <w:szCs w:val="24"/>
          <w:lang w:val="sq-AL"/>
          <w14:ligatures w14:val="standardContextual"/>
        </w:rPr>
        <w:t xml:space="preserve">1 dhe </w:t>
      </w:r>
      <w:r w:rsidR="00AF6F1C" w:rsidRPr="00E40A34">
        <w:rPr>
          <w:rFonts w:ascii="Garamond" w:eastAsiaTheme="minorHAnsi" w:hAnsi="Garamond"/>
          <w:color w:val="000000"/>
          <w:sz w:val="24"/>
          <w:szCs w:val="24"/>
          <w:lang w:val="sq-AL"/>
          <w14:ligatures w14:val="standardContextual"/>
        </w:rPr>
        <w:t xml:space="preserve">nenit </w:t>
      </w:r>
      <w:r w:rsidRPr="00E40A34">
        <w:rPr>
          <w:rFonts w:ascii="Garamond" w:eastAsiaTheme="minorHAnsi" w:hAnsi="Garamond"/>
          <w:color w:val="000000"/>
          <w:sz w:val="24"/>
          <w:szCs w:val="24"/>
          <w:lang w:val="sq-AL"/>
          <w14:ligatures w14:val="standardContextual"/>
        </w:rPr>
        <w:t xml:space="preserve">13 të Konventës të shqyrtohen të ndara; </w:t>
      </w:r>
    </w:p>
    <w:p w14:paraId="199B491A" w14:textId="451A36FA"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i/>
          <w:iCs/>
          <w:color w:val="000000"/>
          <w:sz w:val="24"/>
          <w:szCs w:val="24"/>
          <w:lang w:val="sq-AL"/>
          <w14:ligatures w14:val="standardContextual"/>
        </w:rPr>
        <w:t>4.</w:t>
      </w:r>
      <w:r w:rsidR="00875700" w:rsidRPr="00E40A34">
        <w:rPr>
          <w:rFonts w:ascii="Garamond" w:eastAsiaTheme="minorHAnsi" w:hAnsi="Garamond"/>
          <w:i/>
          <w:iCs/>
          <w:color w:val="000000"/>
          <w:sz w:val="24"/>
          <w:szCs w:val="24"/>
          <w:lang w:val="sq-AL"/>
          <w14:ligatures w14:val="standardContextual"/>
        </w:rPr>
        <w:t xml:space="preserve"> </w:t>
      </w:r>
      <w:r w:rsidRPr="00E40A34">
        <w:rPr>
          <w:rFonts w:ascii="Garamond" w:eastAsiaTheme="minorHAnsi" w:hAnsi="Garamond"/>
          <w:i/>
          <w:iCs/>
          <w:color w:val="000000"/>
          <w:sz w:val="24"/>
          <w:szCs w:val="24"/>
          <w:lang w:val="sq-AL"/>
          <w14:ligatures w14:val="standardContextual"/>
        </w:rPr>
        <w:t>Gjykon</w:t>
      </w:r>
      <w:r w:rsidR="000E6E7E">
        <w:rPr>
          <w:rFonts w:ascii="Garamond" w:eastAsiaTheme="minorHAnsi" w:hAnsi="Garamond"/>
          <w:i/>
          <w:iCs/>
          <w:color w:val="000000"/>
          <w:sz w:val="24"/>
          <w:szCs w:val="24"/>
          <w:lang w:val="sq-AL"/>
          <w14:ligatures w14:val="standardContextual"/>
        </w:rPr>
        <w:t>:</w:t>
      </w:r>
    </w:p>
    <w:p w14:paraId="75503885" w14:textId="19BBE166" w:rsidR="00E04470" w:rsidRPr="00E40A34" w:rsidRDefault="00E04470" w:rsidP="00875700">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a)</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se Shteti i paditur duhet t’i paguajë kërkueses, brenda tre muajve, 3,600 euro (tre mijë e gjashtëqind euro) plus çdo taksë që mund të jetë e tarifueshme për dëmin jopasuror, të konvertuar në monedhën e Shtetit të paditur në normën e zbatueshme në datën e shlyerjes; </w:t>
      </w:r>
    </w:p>
    <w:p w14:paraId="21952A7F" w14:textId="44C5C106" w:rsidR="00E04470" w:rsidRPr="00E40A34" w:rsidRDefault="00E04470" w:rsidP="00875700">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b)</w:t>
      </w:r>
      <w:r w:rsidR="00875700" w:rsidRPr="00E40A34">
        <w:rPr>
          <w:rFonts w:ascii="Garamond" w:eastAsiaTheme="minorHAnsi" w:hAnsi="Garamond"/>
          <w:color w:val="000000"/>
          <w:sz w:val="24"/>
          <w:szCs w:val="24"/>
          <w:lang w:val="sq-AL"/>
          <w14:ligatures w14:val="standardContextual"/>
        </w:rPr>
        <w:t xml:space="preserve"> </w:t>
      </w:r>
      <w:r w:rsidRPr="00E40A34">
        <w:rPr>
          <w:rFonts w:ascii="Garamond" w:eastAsiaTheme="minorHAnsi" w:hAnsi="Garamond"/>
          <w:color w:val="000000"/>
          <w:sz w:val="24"/>
          <w:szCs w:val="24"/>
          <w:lang w:val="sq-AL"/>
          <w14:ligatures w14:val="standardContextual"/>
        </w:rPr>
        <w:t xml:space="preserve">se nga përfundimi i periudhës së sipërpërmendur tremujore deri në shlyerje interesi i thjeshtë do të paguhet për shumat e mësipërme në normën e barabartë me normën margjinale të huadhënies së Bankës Qendrore </w:t>
      </w:r>
      <w:r w:rsidR="000E6E7E" w:rsidRPr="00E40A34">
        <w:rPr>
          <w:rFonts w:ascii="Garamond" w:eastAsiaTheme="minorHAnsi" w:hAnsi="Garamond"/>
          <w:color w:val="000000"/>
          <w:sz w:val="24"/>
          <w:szCs w:val="24"/>
          <w:lang w:val="sq-AL"/>
          <w14:ligatures w14:val="standardContextual"/>
        </w:rPr>
        <w:t>Evropiane</w:t>
      </w:r>
      <w:r w:rsidRPr="00E40A34">
        <w:rPr>
          <w:rFonts w:ascii="Garamond" w:eastAsiaTheme="minorHAnsi" w:hAnsi="Garamond"/>
          <w:color w:val="000000"/>
          <w:sz w:val="24"/>
          <w:szCs w:val="24"/>
          <w:lang w:val="sq-AL"/>
          <w14:ligatures w14:val="standardContextual"/>
        </w:rPr>
        <w:t xml:space="preserve"> gjatë periudhës së mosshlyerjes plus tre pikë përqindje</w:t>
      </w:r>
      <w:r w:rsidR="000E6E7E">
        <w:rPr>
          <w:rFonts w:ascii="Garamond" w:eastAsiaTheme="minorHAnsi" w:hAnsi="Garamond"/>
          <w:color w:val="000000"/>
          <w:sz w:val="24"/>
          <w:szCs w:val="24"/>
          <w:lang w:val="sq-AL"/>
          <w14:ligatures w14:val="standardContextual"/>
        </w:rPr>
        <w:t>je</w:t>
      </w:r>
      <w:r w:rsidRPr="00E40A34">
        <w:rPr>
          <w:rFonts w:ascii="Garamond" w:eastAsiaTheme="minorHAnsi" w:hAnsi="Garamond"/>
          <w:color w:val="000000"/>
          <w:sz w:val="24"/>
          <w:szCs w:val="24"/>
          <w:lang w:val="sq-AL"/>
          <w14:ligatures w14:val="standardContextual"/>
        </w:rPr>
        <w:t>;</w:t>
      </w:r>
      <w:r w:rsidR="00E40A34" w:rsidRPr="00E40A34">
        <w:rPr>
          <w:rFonts w:ascii="Garamond" w:eastAsiaTheme="minorHAnsi" w:hAnsi="Garamond"/>
          <w:color w:val="000000"/>
          <w:sz w:val="24"/>
          <w:szCs w:val="24"/>
          <w:lang w:val="sq-AL"/>
          <w14:ligatures w14:val="standardContextual"/>
        </w:rPr>
        <w:t xml:space="preserve"> </w:t>
      </w:r>
    </w:p>
    <w:p w14:paraId="0CCB3EED" w14:textId="2667DA74" w:rsidR="00E04470" w:rsidRPr="00E40A34" w:rsidRDefault="00E04470" w:rsidP="00875700">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i/>
          <w:iCs/>
          <w:color w:val="000000"/>
          <w:sz w:val="24"/>
          <w:szCs w:val="24"/>
          <w:lang w:val="sq-AL"/>
          <w14:ligatures w14:val="standardContextual"/>
        </w:rPr>
        <w:t>5.</w:t>
      </w:r>
      <w:r w:rsidR="00875700" w:rsidRPr="00E40A34">
        <w:rPr>
          <w:rFonts w:ascii="Garamond" w:eastAsiaTheme="minorHAnsi" w:hAnsi="Garamond"/>
          <w:i/>
          <w:iCs/>
          <w:color w:val="000000"/>
          <w:sz w:val="24"/>
          <w:szCs w:val="24"/>
          <w:lang w:val="sq-AL"/>
          <w14:ligatures w14:val="standardContextual"/>
        </w:rPr>
        <w:t xml:space="preserve"> </w:t>
      </w:r>
      <w:r w:rsidRPr="00E40A34">
        <w:rPr>
          <w:rFonts w:ascii="Garamond" w:eastAsiaTheme="minorHAnsi" w:hAnsi="Garamond"/>
          <w:i/>
          <w:iCs/>
          <w:color w:val="000000"/>
          <w:sz w:val="24"/>
          <w:szCs w:val="24"/>
          <w:lang w:val="sq-AL"/>
          <w14:ligatures w14:val="standardContextual"/>
        </w:rPr>
        <w:t xml:space="preserve">Rrëzon </w:t>
      </w:r>
      <w:r w:rsidRPr="00E40A34">
        <w:rPr>
          <w:rFonts w:ascii="Garamond" w:eastAsiaTheme="minorHAnsi" w:hAnsi="Garamond"/>
          <w:color w:val="000000"/>
          <w:sz w:val="24"/>
          <w:szCs w:val="24"/>
          <w:lang w:val="sq-AL"/>
          <w14:ligatures w14:val="standardContextual"/>
        </w:rPr>
        <w:t>pjesën e mbetur të kërkesës së kërkueses për shpërblim të drejtë.</w:t>
      </w:r>
      <w:r w:rsidR="00E40A34" w:rsidRPr="00E40A34">
        <w:rPr>
          <w:rFonts w:ascii="Garamond" w:eastAsiaTheme="minorHAnsi" w:hAnsi="Garamond"/>
          <w:color w:val="000000"/>
          <w:sz w:val="24"/>
          <w:szCs w:val="24"/>
          <w:lang w:val="sq-AL"/>
          <w14:ligatures w14:val="standardContextual"/>
        </w:rPr>
        <w:t xml:space="preserve"> </w:t>
      </w:r>
    </w:p>
    <w:p w14:paraId="3D2E6F27" w14:textId="07DED977" w:rsidR="00E04470" w:rsidRPr="00E40A34" w:rsidRDefault="00875700" w:rsidP="00875700">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 xml:space="preserve"> </w:t>
      </w:r>
      <w:r w:rsidR="00E04470" w:rsidRPr="00E40A34">
        <w:rPr>
          <w:rFonts w:ascii="Garamond" w:eastAsiaTheme="minorHAnsi" w:hAnsi="Garamond"/>
          <w:color w:val="000000"/>
          <w:sz w:val="24"/>
          <w:szCs w:val="24"/>
          <w:lang w:val="sq-AL"/>
          <w14:ligatures w14:val="standardContextual"/>
        </w:rPr>
        <w:t xml:space="preserve">Hartuar në anglisht dhe njoftuar me shkrim më 13 </w:t>
      </w:r>
      <w:r w:rsidR="000E6E7E" w:rsidRPr="00E40A34">
        <w:rPr>
          <w:rFonts w:ascii="Garamond" w:eastAsiaTheme="minorHAnsi" w:hAnsi="Garamond"/>
          <w:color w:val="000000"/>
          <w:sz w:val="24"/>
          <w:szCs w:val="24"/>
          <w:lang w:val="sq-AL"/>
          <w14:ligatures w14:val="standardContextual"/>
        </w:rPr>
        <w:t xml:space="preserve">janar </w:t>
      </w:r>
      <w:r w:rsidR="00E04470" w:rsidRPr="00E40A34">
        <w:rPr>
          <w:rFonts w:ascii="Garamond" w:eastAsiaTheme="minorHAnsi" w:hAnsi="Garamond"/>
          <w:color w:val="000000"/>
          <w:sz w:val="24"/>
          <w:szCs w:val="24"/>
          <w:lang w:val="sq-AL"/>
          <w14:ligatures w14:val="standardContextual"/>
        </w:rPr>
        <w:t xml:space="preserve">2026, në mbështetje të </w:t>
      </w:r>
      <w:r w:rsidR="000E6E7E" w:rsidRPr="00E40A34">
        <w:rPr>
          <w:rFonts w:ascii="Garamond" w:eastAsiaTheme="minorHAnsi" w:hAnsi="Garamond"/>
          <w:color w:val="000000"/>
          <w:sz w:val="24"/>
          <w:szCs w:val="24"/>
          <w:lang w:val="sq-AL"/>
          <w14:ligatures w14:val="standardContextual"/>
        </w:rPr>
        <w:t xml:space="preserve">rregullit </w:t>
      </w:r>
      <w:r w:rsidR="00E04470" w:rsidRPr="00E40A34">
        <w:rPr>
          <w:rFonts w:ascii="Garamond" w:eastAsiaTheme="minorHAnsi" w:hAnsi="Garamond"/>
          <w:color w:val="000000"/>
          <w:sz w:val="24"/>
          <w:szCs w:val="24"/>
          <w:lang w:val="sq-AL"/>
          <w14:ligatures w14:val="standardContextual"/>
        </w:rPr>
        <w:t>77 §§ 2 dhe 3 të Rregullores së Gjykatës.</w:t>
      </w:r>
    </w:p>
    <w:p w14:paraId="595E52E4" w14:textId="77777777" w:rsidR="00E04470" w:rsidRPr="00E40A34" w:rsidRDefault="00E04470" w:rsidP="00875700">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p>
    <w:p w14:paraId="5CC1A3F4" w14:textId="77777777" w:rsidR="00875700" w:rsidRPr="00E40A34" w:rsidRDefault="00875700" w:rsidP="000E6E7E">
      <w:pPr>
        <w:spacing w:after="0" w:line="240" w:lineRule="auto"/>
        <w:ind w:firstLine="284"/>
        <w:jc w:val="right"/>
        <w:rPr>
          <w:rFonts w:ascii="Garamond" w:eastAsiaTheme="minorHAnsi" w:hAnsi="Garamond"/>
          <w:b/>
          <w:color w:val="000000"/>
          <w:sz w:val="24"/>
          <w:szCs w:val="24"/>
          <w:lang w:val="sq-AL"/>
          <w14:ligatures w14:val="standardContextual"/>
        </w:rPr>
      </w:pPr>
      <w:r w:rsidRPr="00E40A34">
        <w:rPr>
          <w:rFonts w:ascii="Garamond" w:eastAsiaTheme="minorHAnsi" w:hAnsi="Garamond"/>
          <w:b/>
          <w:color w:val="000000"/>
          <w:sz w:val="24"/>
          <w:szCs w:val="24"/>
          <w:lang w:val="sq-AL"/>
          <w14:ligatures w14:val="standardContextual"/>
        </w:rPr>
        <w:t xml:space="preserve">Úna Ní Raifeartaigh </w:t>
      </w:r>
    </w:p>
    <w:p w14:paraId="0BBBB69D" w14:textId="1923D45A" w:rsidR="00875700" w:rsidRPr="00E40A34" w:rsidRDefault="000E6E7E" w:rsidP="000E6E7E">
      <w:pPr>
        <w:spacing w:after="0" w:line="240" w:lineRule="auto"/>
        <w:ind w:firstLine="284"/>
        <w:jc w:val="right"/>
        <w:rPr>
          <w:rFonts w:ascii="Garamond" w:hAnsi="Garamond"/>
          <w:sz w:val="24"/>
          <w:szCs w:val="24"/>
          <w:lang w:val="sq-AL"/>
        </w:rPr>
      </w:pPr>
      <w:r w:rsidRPr="00E40A34">
        <w:rPr>
          <w:rFonts w:ascii="Garamond" w:eastAsiaTheme="minorHAnsi" w:hAnsi="Garamond"/>
          <w:color w:val="000000"/>
          <w:sz w:val="24"/>
          <w:szCs w:val="24"/>
          <w:lang w:val="sq-AL"/>
          <w14:ligatures w14:val="standardContextual"/>
        </w:rPr>
        <w:t>KRYETARE</w:t>
      </w:r>
    </w:p>
    <w:p w14:paraId="079C7626" w14:textId="188406E8" w:rsidR="00E04470" w:rsidRPr="00E40A34" w:rsidRDefault="00E04470" w:rsidP="000E6E7E">
      <w:pPr>
        <w:tabs>
          <w:tab w:val="left" w:pos="560"/>
          <w:tab w:val="left" w:pos="1120"/>
        </w:tabs>
        <w:autoSpaceDE w:val="0"/>
        <w:autoSpaceDN w:val="0"/>
        <w:adjustRightInd w:val="0"/>
        <w:spacing w:after="0" w:line="240" w:lineRule="auto"/>
        <w:ind w:firstLine="284"/>
        <w:jc w:val="right"/>
        <w:rPr>
          <w:rFonts w:ascii="Garamond" w:eastAsiaTheme="minorHAnsi" w:hAnsi="Garamond"/>
          <w:color w:val="000000"/>
          <w:sz w:val="24"/>
          <w:szCs w:val="24"/>
          <w:lang w:val="sq-AL"/>
          <w14:ligatures w14:val="standardContextual"/>
        </w:rPr>
      </w:pPr>
    </w:p>
    <w:p w14:paraId="32001B3C" w14:textId="6DB3CA9D" w:rsidR="00E04470" w:rsidRPr="00E40A34" w:rsidRDefault="00E04470" w:rsidP="000E6E7E">
      <w:pPr>
        <w:tabs>
          <w:tab w:val="left" w:pos="560"/>
          <w:tab w:val="left" w:pos="1120"/>
        </w:tabs>
        <w:autoSpaceDE w:val="0"/>
        <w:autoSpaceDN w:val="0"/>
        <w:adjustRightInd w:val="0"/>
        <w:spacing w:after="0" w:line="240" w:lineRule="auto"/>
        <w:ind w:firstLine="284"/>
        <w:jc w:val="right"/>
        <w:rPr>
          <w:rFonts w:ascii="Garamond" w:eastAsiaTheme="minorHAnsi" w:hAnsi="Garamond"/>
          <w:b/>
          <w:color w:val="000000"/>
          <w:sz w:val="24"/>
          <w:szCs w:val="24"/>
          <w:lang w:val="sq-AL"/>
          <w14:ligatures w14:val="standardContextual"/>
        </w:rPr>
      </w:pPr>
      <w:r w:rsidRPr="00E40A34">
        <w:rPr>
          <w:rFonts w:ascii="Garamond" w:eastAsiaTheme="minorHAnsi" w:hAnsi="Garamond"/>
          <w:b/>
          <w:color w:val="000000"/>
          <w:sz w:val="24"/>
          <w:szCs w:val="24"/>
          <w:lang w:val="sq-AL"/>
          <w14:ligatures w14:val="standardContextual"/>
        </w:rPr>
        <w:t>Olga Chernishova</w:t>
      </w:r>
      <w:r w:rsidR="00875700" w:rsidRPr="00E40A34">
        <w:rPr>
          <w:rFonts w:ascii="Garamond" w:eastAsiaTheme="minorHAnsi" w:hAnsi="Garamond"/>
          <w:b/>
          <w:color w:val="000000"/>
          <w:sz w:val="24"/>
          <w:szCs w:val="24"/>
          <w:lang w:val="sq-AL"/>
          <w14:ligatures w14:val="standardContextual"/>
        </w:rPr>
        <w:t xml:space="preserve"> </w:t>
      </w:r>
    </w:p>
    <w:p w14:paraId="76E437D0" w14:textId="21E4EA2D" w:rsidR="00E04470" w:rsidRPr="00E40A34" w:rsidRDefault="000E6E7E" w:rsidP="000E6E7E">
      <w:pPr>
        <w:tabs>
          <w:tab w:val="left" w:pos="560"/>
          <w:tab w:val="left" w:pos="1120"/>
        </w:tabs>
        <w:autoSpaceDE w:val="0"/>
        <w:autoSpaceDN w:val="0"/>
        <w:adjustRightInd w:val="0"/>
        <w:spacing w:after="0" w:line="240" w:lineRule="auto"/>
        <w:ind w:firstLine="284"/>
        <w:jc w:val="right"/>
        <w:rPr>
          <w:rFonts w:ascii="Garamond" w:eastAsiaTheme="minorHAnsi" w:hAnsi="Garamond"/>
          <w:b/>
          <w:bCs/>
          <w:color w:val="000000"/>
          <w:sz w:val="24"/>
          <w:szCs w:val="24"/>
          <w:lang w:val="sq-AL"/>
          <w14:ligatures w14:val="standardContextual"/>
        </w:rPr>
      </w:pPr>
      <w:r w:rsidRPr="00E40A34">
        <w:rPr>
          <w:rFonts w:ascii="Garamond" w:eastAsiaTheme="minorHAnsi" w:hAnsi="Garamond"/>
          <w:color w:val="000000"/>
          <w:sz w:val="24"/>
          <w:szCs w:val="24"/>
          <w:lang w:val="sq-AL"/>
          <w14:ligatures w14:val="standardContextual"/>
        </w:rPr>
        <w:t xml:space="preserve">ZËVENDËSSEKRETARE </w:t>
      </w:r>
    </w:p>
    <w:p w14:paraId="492CBC75" w14:textId="77777777" w:rsidR="00875700" w:rsidRPr="00E40A34" w:rsidRDefault="00875700">
      <w:pPr>
        <w:spacing w:after="0" w:line="240" w:lineRule="auto"/>
        <w:ind w:firstLine="284"/>
        <w:rPr>
          <w:rFonts w:ascii="Garamond" w:hAnsi="Garamond"/>
          <w:sz w:val="24"/>
          <w:szCs w:val="24"/>
          <w:lang w:val="sq-AL"/>
        </w:rPr>
      </w:pPr>
    </w:p>
    <w:sectPr w:rsidR="00875700" w:rsidRPr="00E40A34" w:rsidSect="00ED3E4F">
      <w:headerReference w:type="default" r:id="rId11"/>
      <w:footerReference w:type="default" r:id="rId12"/>
      <w:pgSz w:w="11907" w:h="16840" w:code="9"/>
      <w:pgMar w:top="574"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73A243" w14:textId="77777777" w:rsidR="00E40A34" w:rsidRDefault="00E40A34">
      <w:pPr>
        <w:spacing w:after="0" w:line="240" w:lineRule="auto"/>
      </w:pPr>
      <w:r>
        <w:separator/>
      </w:r>
    </w:p>
  </w:endnote>
  <w:endnote w:type="continuationSeparator" w:id="0">
    <w:p w14:paraId="088FD42F" w14:textId="77777777" w:rsidR="00E40A34" w:rsidRDefault="00E40A34">
      <w:pPr>
        <w:spacing w:after="0" w:line="240" w:lineRule="auto"/>
      </w:pPr>
      <w:r>
        <w:continuationSeparator/>
      </w:r>
    </w:p>
  </w:endnote>
  <w:endnote w:type="continuationNotice" w:id="1">
    <w:p w14:paraId="72893D30" w14:textId="77777777" w:rsidR="00E40A34" w:rsidRDefault="00E40A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C9323" w14:textId="77777777" w:rsidR="00E40A34" w:rsidRDefault="00E40A34" w:rsidP="00EA07AA">
    <w:pPr>
      <w:pStyle w:val="Footer"/>
    </w:pPr>
  </w:p>
  <w:p w14:paraId="3AC58A32" w14:textId="77777777" w:rsidR="00E40A34" w:rsidRPr="00CC26CB" w:rsidRDefault="00E40A34" w:rsidP="00EA07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D5C529" w14:textId="77777777" w:rsidR="00E40A34" w:rsidRDefault="00E40A34">
      <w:pPr>
        <w:spacing w:after="0" w:line="240" w:lineRule="auto"/>
      </w:pPr>
      <w:r>
        <w:separator/>
      </w:r>
    </w:p>
  </w:footnote>
  <w:footnote w:type="continuationSeparator" w:id="0">
    <w:p w14:paraId="409F0CE7" w14:textId="77777777" w:rsidR="00E40A34" w:rsidRDefault="00E40A34">
      <w:pPr>
        <w:spacing w:after="0" w:line="240" w:lineRule="auto"/>
      </w:pPr>
      <w:r>
        <w:continuationSeparator/>
      </w:r>
    </w:p>
  </w:footnote>
  <w:footnote w:type="continuationNotice" w:id="1">
    <w:p w14:paraId="24E83E7A" w14:textId="77777777" w:rsidR="00E40A34" w:rsidRDefault="00E40A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CB908D" w14:textId="77777777" w:rsidR="00E40A34" w:rsidRDefault="00E40A34">
    <w:pPr>
      <w:pStyle w:val="Header"/>
    </w:pPr>
  </w:p>
  <w:p w14:paraId="447541FF" w14:textId="77777777" w:rsidR="00E40A34" w:rsidRDefault="00E40A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0" w15:restartNumberingAfterBreak="0">
    <w:nsid w:val="101C3BB4"/>
    <w:multiLevelType w:val="hybridMultilevel"/>
    <w:tmpl w:val="11B482F2"/>
    <w:lvl w:ilvl="0" w:tplc="FB5EE752">
      <w:start w:val="1"/>
      <w:numFmt w:val="decimal"/>
      <w:lvlText w:val="%1."/>
      <w:lvlJc w:val="left"/>
      <w:pPr>
        <w:ind w:left="1080" w:hanging="360"/>
      </w:pPr>
      <w:rPr>
        <w:rFonts w:hint="default"/>
        <w:i w:val="0"/>
        <w:iCs w:val="0"/>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BF12E19"/>
    <w:multiLevelType w:val="hybridMultilevel"/>
    <w:tmpl w:val="B242384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EEE52BA"/>
    <w:multiLevelType w:val="hybridMultilevel"/>
    <w:tmpl w:val="326260C0"/>
    <w:lvl w:ilvl="0" w:tplc="CA04B668">
      <w:start w:val="1"/>
      <w:numFmt w:val="lowerLetter"/>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5" w15:restartNumberingAfterBreak="0">
    <w:nsid w:val="25061F93"/>
    <w:multiLevelType w:val="hybridMultilevel"/>
    <w:tmpl w:val="7D00D30C"/>
    <w:lvl w:ilvl="0" w:tplc="1C648584">
      <w:start w:val="1"/>
      <w:numFmt w:val="upperRoman"/>
      <w:lvlText w:val="%1."/>
      <w:lvlJc w:val="left"/>
      <w:pPr>
        <w:ind w:left="1080" w:hanging="720"/>
      </w:pPr>
      <w:rPr>
        <w:rFonts w:ascii="Times New Roman" w:eastAsia="MS Mincho" w:hAnsi="Times New Roman" w:cs="Times New Roman"/>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3A464865"/>
    <w:multiLevelType w:val="hybridMultilevel"/>
    <w:tmpl w:val="29BC6E8A"/>
    <w:lvl w:ilvl="0" w:tplc="478C2D88">
      <w:start w:val="1"/>
      <w:numFmt w:val="upperRoman"/>
      <w:lvlText w:val="%1."/>
      <w:lvlJc w:val="left"/>
      <w:pPr>
        <w:ind w:left="1290" w:hanging="720"/>
      </w:pPr>
      <w:rPr>
        <w:rFonts w:hint="default"/>
      </w:rPr>
    </w:lvl>
    <w:lvl w:ilvl="1" w:tplc="20000019" w:tentative="1">
      <w:start w:val="1"/>
      <w:numFmt w:val="lowerLetter"/>
      <w:lvlText w:val="%2."/>
      <w:lvlJc w:val="left"/>
      <w:pPr>
        <w:ind w:left="1650" w:hanging="360"/>
      </w:pPr>
    </w:lvl>
    <w:lvl w:ilvl="2" w:tplc="2000001B" w:tentative="1">
      <w:start w:val="1"/>
      <w:numFmt w:val="lowerRoman"/>
      <w:lvlText w:val="%3."/>
      <w:lvlJc w:val="right"/>
      <w:pPr>
        <w:ind w:left="2370" w:hanging="180"/>
      </w:pPr>
    </w:lvl>
    <w:lvl w:ilvl="3" w:tplc="2000000F" w:tentative="1">
      <w:start w:val="1"/>
      <w:numFmt w:val="decimal"/>
      <w:lvlText w:val="%4."/>
      <w:lvlJc w:val="left"/>
      <w:pPr>
        <w:ind w:left="3090" w:hanging="360"/>
      </w:pPr>
    </w:lvl>
    <w:lvl w:ilvl="4" w:tplc="20000019" w:tentative="1">
      <w:start w:val="1"/>
      <w:numFmt w:val="lowerLetter"/>
      <w:lvlText w:val="%5."/>
      <w:lvlJc w:val="left"/>
      <w:pPr>
        <w:ind w:left="3810" w:hanging="360"/>
      </w:pPr>
    </w:lvl>
    <w:lvl w:ilvl="5" w:tplc="2000001B" w:tentative="1">
      <w:start w:val="1"/>
      <w:numFmt w:val="lowerRoman"/>
      <w:lvlText w:val="%6."/>
      <w:lvlJc w:val="right"/>
      <w:pPr>
        <w:ind w:left="4530" w:hanging="180"/>
      </w:pPr>
    </w:lvl>
    <w:lvl w:ilvl="6" w:tplc="2000000F" w:tentative="1">
      <w:start w:val="1"/>
      <w:numFmt w:val="decimal"/>
      <w:lvlText w:val="%7."/>
      <w:lvlJc w:val="left"/>
      <w:pPr>
        <w:ind w:left="5250" w:hanging="360"/>
      </w:pPr>
    </w:lvl>
    <w:lvl w:ilvl="7" w:tplc="20000019" w:tentative="1">
      <w:start w:val="1"/>
      <w:numFmt w:val="lowerLetter"/>
      <w:lvlText w:val="%8."/>
      <w:lvlJc w:val="left"/>
      <w:pPr>
        <w:ind w:left="5970" w:hanging="360"/>
      </w:pPr>
    </w:lvl>
    <w:lvl w:ilvl="8" w:tplc="2000001B" w:tentative="1">
      <w:start w:val="1"/>
      <w:numFmt w:val="lowerRoman"/>
      <w:lvlText w:val="%9."/>
      <w:lvlJc w:val="right"/>
      <w:pPr>
        <w:ind w:left="6690" w:hanging="180"/>
      </w:pPr>
    </w:lvl>
  </w:abstractNum>
  <w:abstractNum w:abstractNumId="17"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A0604E9"/>
    <w:multiLevelType w:val="hybridMultilevel"/>
    <w:tmpl w:val="BFE40F74"/>
    <w:lvl w:ilvl="0" w:tplc="1AD6C9F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9" w15:restartNumberingAfterBreak="0">
    <w:nsid w:val="53AF1F9D"/>
    <w:multiLevelType w:val="hybridMultilevel"/>
    <w:tmpl w:val="53D2F05A"/>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1"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0"/>
  </w:num>
  <w:num w:numId="4">
    <w:abstractNumId w:val="17"/>
  </w:num>
  <w:num w:numId="5">
    <w:abstractNumId w:val="13"/>
  </w:num>
  <w:num w:numId="6">
    <w:abstractNumId w:val="11"/>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1"/>
  </w:num>
  <w:num w:numId="16">
    <w:abstractNumId w:val="10"/>
  </w:num>
  <w:num w:numId="17">
    <w:abstractNumId w:val="15"/>
  </w:num>
  <w:num w:numId="18">
    <w:abstractNumId w:val="16"/>
  </w:num>
  <w:num w:numId="19">
    <w:abstractNumId w:val="19"/>
  </w:num>
  <w:num w:numId="20">
    <w:abstractNumId w:val="18"/>
  </w:num>
  <w:num w:numId="21">
    <w:abstractNumId w:val="12"/>
  </w:num>
  <w:num w:numId="22">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5F5"/>
    <w:rsid w:val="00005DA6"/>
    <w:rsid w:val="000173A5"/>
    <w:rsid w:val="00017A69"/>
    <w:rsid w:val="00030EFF"/>
    <w:rsid w:val="00040178"/>
    <w:rsid w:val="00044032"/>
    <w:rsid w:val="0004576D"/>
    <w:rsid w:val="00045AF7"/>
    <w:rsid w:val="00053E94"/>
    <w:rsid w:val="00062035"/>
    <w:rsid w:val="00062700"/>
    <w:rsid w:val="00063503"/>
    <w:rsid w:val="00065924"/>
    <w:rsid w:val="00070C72"/>
    <w:rsid w:val="000744D0"/>
    <w:rsid w:val="00082F9E"/>
    <w:rsid w:val="00085CD4"/>
    <w:rsid w:val="00086752"/>
    <w:rsid w:val="00093E39"/>
    <w:rsid w:val="00095CB6"/>
    <w:rsid w:val="000A126B"/>
    <w:rsid w:val="000A70E5"/>
    <w:rsid w:val="000B5F80"/>
    <w:rsid w:val="000D249E"/>
    <w:rsid w:val="000D6D0B"/>
    <w:rsid w:val="000E3433"/>
    <w:rsid w:val="000E61F7"/>
    <w:rsid w:val="000E69CA"/>
    <w:rsid w:val="000E6E7E"/>
    <w:rsid w:val="000F1B16"/>
    <w:rsid w:val="000F31F9"/>
    <w:rsid w:val="000F35B3"/>
    <w:rsid w:val="001123B3"/>
    <w:rsid w:val="00120460"/>
    <w:rsid w:val="00123350"/>
    <w:rsid w:val="001259EA"/>
    <w:rsid w:val="00125E36"/>
    <w:rsid w:val="0012609A"/>
    <w:rsid w:val="001354A7"/>
    <w:rsid w:val="00137D90"/>
    <w:rsid w:val="00142C8B"/>
    <w:rsid w:val="001434D9"/>
    <w:rsid w:val="00143852"/>
    <w:rsid w:val="00161C0C"/>
    <w:rsid w:val="001625BD"/>
    <w:rsid w:val="001769EA"/>
    <w:rsid w:val="00177BEC"/>
    <w:rsid w:val="0018692B"/>
    <w:rsid w:val="00186D27"/>
    <w:rsid w:val="00194243"/>
    <w:rsid w:val="00196F8B"/>
    <w:rsid w:val="001A5D7C"/>
    <w:rsid w:val="001A62A2"/>
    <w:rsid w:val="001B11E4"/>
    <w:rsid w:val="001B2491"/>
    <w:rsid w:val="001C5EA7"/>
    <w:rsid w:val="001D5612"/>
    <w:rsid w:val="001D6272"/>
    <w:rsid w:val="001E3206"/>
    <w:rsid w:val="001E59B2"/>
    <w:rsid w:val="001E7135"/>
    <w:rsid w:val="001F3DC0"/>
    <w:rsid w:val="001F435A"/>
    <w:rsid w:val="001F4440"/>
    <w:rsid w:val="001F7F8A"/>
    <w:rsid w:val="0020777B"/>
    <w:rsid w:val="00210C1A"/>
    <w:rsid w:val="002170D8"/>
    <w:rsid w:val="00217B11"/>
    <w:rsid w:val="00221C20"/>
    <w:rsid w:val="002269DE"/>
    <w:rsid w:val="002278B9"/>
    <w:rsid w:val="00230185"/>
    <w:rsid w:val="00234552"/>
    <w:rsid w:val="002375AB"/>
    <w:rsid w:val="0023780F"/>
    <w:rsid w:val="00237831"/>
    <w:rsid w:val="00240C75"/>
    <w:rsid w:val="002412E5"/>
    <w:rsid w:val="00255497"/>
    <w:rsid w:val="00256588"/>
    <w:rsid w:val="00271292"/>
    <w:rsid w:val="002761F8"/>
    <w:rsid w:val="002868D5"/>
    <w:rsid w:val="00290E95"/>
    <w:rsid w:val="00297266"/>
    <w:rsid w:val="002A3300"/>
    <w:rsid w:val="002B0B13"/>
    <w:rsid w:val="002B6598"/>
    <w:rsid w:val="002C3803"/>
    <w:rsid w:val="002F26A4"/>
    <w:rsid w:val="00301408"/>
    <w:rsid w:val="00305F0A"/>
    <w:rsid w:val="00311163"/>
    <w:rsid w:val="003116DC"/>
    <w:rsid w:val="00311C86"/>
    <w:rsid w:val="00312BD8"/>
    <w:rsid w:val="003214D3"/>
    <w:rsid w:val="003239F6"/>
    <w:rsid w:val="00325F1D"/>
    <w:rsid w:val="00334E35"/>
    <w:rsid w:val="00335986"/>
    <w:rsid w:val="0033734D"/>
    <w:rsid w:val="00340D2C"/>
    <w:rsid w:val="003415BC"/>
    <w:rsid w:val="00341D16"/>
    <w:rsid w:val="00345612"/>
    <w:rsid w:val="003602C9"/>
    <w:rsid w:val="00360808"/>
    <w:rsid w:val="00361CF6"/>
    <w:rsid w:val="00365A07"/>
    <w:rsid w:val="00367844"/>
    <w:rsid w:val="00377AAC"/>
    <w:rsid w:val="003803F8"/>
    <w:rsid w:val="003829FE"/>
    <w:rsid w:val="003862B8"/>
    <w:rsid w:val="00391EA1"/>
    <w:rsid w:val="00394982"/>
    <w:rsid w:val="003966F6"/>
    <w:rsid w:val="00397175"/>
    <w:rsid w:val="00397C1C"/>
    <w:rsid w:val="003A3ECB"/>
    <w:rsid w:val="003A6E96"/>
    <w:rsid w:val="003B170A"/>
    <w:rsid w:val="003C008E"/>
    <w:rsid w:val="003E1164"/>
    <w:rsid w:val="003E20A4"/>
    <w:rsid w:val="003E667D"/>
    <w:rsid w:val="003E699F"/>
    <w:rsid w:val="003F671B"/>
    <w:rsid w:val="00401A05"/>
    <w:rsid w:val="00402520"/>
    <w:rsid w:val="00406458"/>
    <w:rsid w:val="0040652B"/>
    <w:rsid w:val="004105B9"/>
    <w:rsid w:val="0041213E"/>
    <w:rsid w:val="00414680"/>
    <w:rsid w:val="00416A9D"/>
    <w:rsid w:val="00417589"/>
    <w:rsid w:val="00424989"/>
    <w:rsid w:val="00433CA1"/>
    <w:rsid w:val="0043512A"/>
    <w:rsid w:val="00436D17"/>
    <w:rsid w:val="004456C8"/>
    <w:rsid w:val="00452D22"/>
    <w:rsid w:val="00454DB7"/>
    <w:rsid w:val="00455290"/>
    <w:rsid w:val="00457158"/>
    <w:rsid w:val="004608CF"/>
    <w:rsid w:val="00463049"/>
    <w:rsid w:val="004643B2"/>
    <w:rsid w:val="004677FE"/>
    <w:rsid w:val="0047639A"/>
    <w:rsid w:val="00477B2D"/>
    <w:rsid w:val="00483A5A"/>
    <w:rsid w:val="00487907"/>
    <w:rsid w:val="00495B76"/>
    <w:rsid w:val="004A466A"/>
    <w:rsid w:val="004A6248"/>
    <w:rsid w:val="004A735A"/>
    <w:rsid w:val="004B4924"/>
    <w:rsid w:val="004B59D2"/>
    <w:rsid w:val="004C10CD"/>
    <w:rsid w:val="004C3B08"/>
    <w:rsid w:val="004C5656"/>
    <w:rsid w:val="004C5A46"/>
    <w:rsid w:val="004D28E5"/>
    <w:rsid w:val="004D2DBC"/>
    <w:rsid w:val="004D4DDC"/>
    <w:rsid w:val="004D5427"/>
    <w:rsid w:val="004E04F7"/>
    <w:rsid w:val="004E1284"/>
    <w:rsid w:val="004E3005"/>
    <w:rsid w:val="004E355F"/>
    <w:rsid w:val="004E480A"/>
    <w:rsid w:val="004F3266"/>
    <w:rsid w:val="004F330F"/>
    <w:rsid w:val="004F3E93"/>
    <w:rsid w:val="004F64FF"/>
    <w:rsid w:val="00503B32"/>
    <w:rsid w:val="005074B0"/>
    <w:rsid w:val="0051230F"/>
    <w:rsid w:val="00512AF2"/>
    <w:rsid w:val="005213BF"/>
    <w:rsid w:val="00521801"/>
    <w:rsid w:val="005240CB"/>
    <w:rsid w:val="0052718E"/>
    <w:rsid w:val="0053098C"/>
    <w:rsid w:val="005331EE"/>
    <w:rsid w:val="00534777"/>
    <w:rsid w:val="00535912"/>
    <w:rsid w:val="00536BAC"/>
    <w:rsid w:val="005452B6"/>
    <w:rsid w:val="00550868"/>
    <w:rsid w:val="00551FDE"/>
    <w:rsid w:val="005641BD"/>
    <w:rsid w:val="005659DD"/>
    <w:rsid w:val="005679B7"/>
    <w:rsid w:val="00576A36"/>
    <w:rsid w:val="0058207A"/>
    <w:rsid w:val="00582D55"/>
    <w:rsid w:val="00590DA0"/>
    <w:rsid w:val="0059441A"/>
    <w:rsid w:val="00595011"/>
    <w:rsid w:val="005A03E7"/>
    <w:rsid w:val="005A72E1"/>
    <w:rsid w:val="005A7CD3"/>
    <w:rsid w:val="005B3AD7"/>
    <w:rsid w:val="005C18CF"/>
    <w:rsid w:val="005C6AB0"/>
    <w:rsid w:val="005D04C3"/>
    <w:rsid w:val="005D3F12"/>
    <w:rsid w:val="005D6A0A"/>
    <w:rsid w:val="005E1830"/>
    <w:rsid w:val="005F1327"/>
    <w:rsid w:val="005F15ED"/>
    <w:rsid w:val="005F4040"/>
    <w:rsid w:val="00610753"/>
    <w:rsid w:val="00611BDA"/>
    <w:rsid w:val="00612847"/>
    <w:rsid w:val="0061797B"/>
    <w:rsid w:val="00621E0C"/>
    <w:rsid w:val="00624B71"/>
    <w:rsid w:val="00641B81"/>
    <w:rsid w:val="00644AD9"/>
    <w:rsid w:val="0064665C"/>
    <w:rsid w:val="00650557"/>
    <w:rsid w:val="006505DC"/>
    <w:rsid w:val="0066763A"/>
    <w:rsid w:val="0067006B"/>
    <w:rsid w:val="006772D7"/>
    <w:rsid w:val="00681C2B"/>
    <w:rsid w:val="00684627"/>
    <w:rsid w:val="0069730D"/>
    <w:rsid w:val="006B2609"/>
    <w:rsid w:val="006B337D"/>
    <w:rsid w:val="006C040B"/>
    <w:rsid w:val="006C1B5E"/>
    <w:rsid w:val="006C2981"/>
    <w:rsid w:val="006C2E41"/>
    <w:rsid w:val="006D3460"/>
    <w:rsid w:val="006D3FD9"/>
    <w:rsid w:val="006D747B"/>
    <w:rsid w:val="006E1BFB"/>
    <w:rsid w:val="006E26D9"/>
    <w:rsid w:val="006F1C3B"/>
    <w:rsid w:val="006F26C3"/>
    <w:rsid w:val="006F27B5"/>
    <w:rsid w:val="006F3359"/>
    <w:rsid w:val="006F486E"/>
    <w:rsid w:val="006F5837"/>
    <w:rsid w:val="00703CC2"/>
    <w:rsid w:val="0070515F"/>
    <w:rsid w:val="007115B7"/>
    <w:rsid w:val="00713A8C"/>
    <w:rsid w:val="00726861"/>
    <w:rsid w:val="00726C99"/>
    <w:rsid w:val="00727ABE"/>
    <w:rsid w:val="007315F9"/>
    <w:rsid w:val="007339F5"/>
    <w:rsid w:val="007348B4"/>
    <w:rsid w:val="00735DF1"/>
    <w:rsid w:val="007378F1"/>
    <w:rsid w:val="0074025B"/>
    <w:rsid w:val="00742F6B"/>
    <w:rsid w:val="00745EDA"/>
    <w:rsid w:val="00755978"/>
    <w:rsid w:val="00755E67"/>
    <w:rsid w:val="007613B2"/>
    <w:rsid w:val="00761718"/>
    <w:rsid w:val="007702E7"/>
    <w:rsid w:val="0077490A"/>
    <w:rsid w:val="00774F3C"/>
    <w:rsid w:val="00781CC1"/>
    <w:rsid w:val="00790095"/>
    <w:rsid w:val="00792245"/>
    <w:rsid w:val="007A0565"/>
    <w:rsid w:val="007A3CD8"/>
    <w:rsid w:val="007A5504"/>
    <w:rsid w:val="007B5431"/>
    <w:rsid w:val="007C1F70"/>
    <w:rsid w:val="007C50BC"/>
    <w:rsid w:val="007C7F60"/>
    <w:rsid w:val="007D02F8"/>
    <w:rsid w:val="007E0DF9"/>
    <w:rsid w:val="007E540F"/>
    <w:rsid w:val="007F2919"/>
    <w:rsid w:val="007F457E"/>
    <w:rsid w:val="007F46C7"/>
    <w:rsid w:val="007F6DF5"/>
    <w:rsid w:val="00800F2B"/>
    <w:rsid w:val="00801DF6"/>
    <w:rsid w:val="00804565"/>
    <w:rsid w:val="00804B89"/>
    <w:rsid w:val="00825BCA"/>
    <w:rsid w:val="00826ECF"/>
    <w:rsid w:val="00831A2C"/>
    <w:rsid w:val="008321EE"/>
    <w:rsid w:val="008403AA"/>
    <w:rsid w:val="00860D0C"/>
    <w:rsid w:val="0086152F"/>
    <w:rsid w:val="00862440"/>
    <w:rsid w:val="00875047"/>
    <w:rsid w:val="00875700"/>
    <w:rsid w:val="008762C6"/>
    <w:rsid w:val="00877F32"/>
    <w:rsid w:val="0088044A"/>
    <w:rsid w:val="0088081E"/>
    <w:rsid w:val="00881178"/>
    <w:rsid w:val="00882774"/>
    <w:rsid w:val="00883550"/>
    <w:rsid w:val="00885C76"/>
    <w:rsid w:val="00892403"/>
    <w:rsid w:val="008A7A55"/>
    <w:rsid w:val="008B3777"/>
    <w:rsid w:val="008C17C3"/>
    <w:rsid w:val="008D0084"/>
    <w:rsid w:val="008E580A"/>
    <w:rsid w:val="008E6861"/>
    <w:rsid w:val="008F1475"/>
    <w:rsid w:val="008F5B98"/>
    <w:rsid w:val="00900FA3"/>
    <w:rsid w:val="00913134"/>
    <w:rsid w:val="009156CB"/>
    <w:rsid w:val="0091682A"/>
    <w:rsid w:val="00924FB5"/>
    <w:rsid w:val="009254EF"/>
    <w:rsid w:val="009266A7"/>
    <w:rsid w:val="009359D1"/>
    <w:rsid w:val="00935E70"/>
    <w:rsid w:val="00942ED8"/>
    <w:rsid w:val="00946B80"/>
    <w:rsid w:val="0096148C"/>
    <w:rsid w:val="0096761F"/>
    <w:rsid w:val="0097668F"/>
    <w:rsid w:val="00981CCA"/>
    <w:rsid w:val="00981E3E"/>
    <w:rsid w:val="00990466"/>
    <w:rsid w:val="009A2A31"/>
    <w:rsid w:val="009A5528"/>
    <w:rsid w:val="009A5CCB"/>
    <w:rsid w:val="009A7B8F"/>
    <w:rsid w:val="009B337C"/>
    <w:rsid w:val="009C67F8"/>
    <w:rsid w:val="009C6942"/>
    <w:rsid w:val="009D3D09"/>
    <w:rsid w:val="009D7C62"/>
    <w:rsid w:val="009F1225"/>
    <w:rsid w:val="00A007B4"/>
    <w:rsid w:val="00A17F03"/>
    <w:rsid w:val="00A242EC"/>
    <w:rsid w:val="00A34924"/>
    <w:rsid w:val="00A55751"/>
    <w:rsid w:val="00A70FF2"/>
    <w:rsid w:val="00A74272"/>
    <w:rsid w:val="00A751FB"/>
    <w:rsid w:val="00A811CF"/>
    <w:rsid w:val="00A83B70"/>
    <w:rsid w:val="00A940C4"/>
    <w:rsid w:val="00AA5782"/>
    <w:rsid w:val="00AB2811"/>
    <w:rsid w:val="00AC0048"/>
    <w:rsid w:val="00AC3180"/>
    <w:rsid w:val="00AC794C"/>
    <w:rsid w:val="00AD046B"/>
    <w:rsid w:val="00AF3E79"/>
    <w:rsid w:val="00AF6F1C"/>
    <w:rsid w:val="00B407B4"/>
    <w:rsid w:val="00B40CFC"/>
    <w:rsid w:val="00B62907"/>
    <w:rsid w:val="00B66262"/>
    <w:rsid w:val="00B725DE"/>
    <w:rsid w:val="00B8020A"/>
    <w:rsid w:val="00B82C15"/>
    <w:rsid w:val="00B91911"/>
    <w:rsid w:val="00BA0CB2"/>
    <w:rsid w:val="00BA3EBA"/>
    <w:rsid w:val="00BA5E20"/>
    <w:rsid w:val="00BC0FA6"/>
    <w:rsid w:val="00BC118F"/>
    <w:rsid w:val="00BC22A2"/>
    <w:rsid w:val="00BC58C6"/>
    <w:rsid w:val="00BD4994"/>
    <w:rsid w:val="00BD4C43"/>
    <w:rsid w:val="00BE2A86"/>
    <w:rsid w:val="00BE7F53"/>
    <w:rsid w:val="00C0301E"/>
    <w:rsid w:val="00C04431"/>
    <w:rsid w:val="00C05E53"/>
    <w:rsid w:val="00C114FC"/>
    <w:rsid w:val="00C11695"/>
    <w:rsid w:val="00C12A0F"/>
    <w:rsid w:val="00C13DE4"/>
    <w:rsid w:val="00C24D6B"/>
    <w:rsid w:val="00C26C73"/>
    <w:rsid w:val="00C32CCF"/>
    <w:rsid w:val="00C33F0A"/>
    <w:rsid w:val="00C47B96"/>
    <w:rsid w:val="00C51999"/>
    <w:rsid w:val="00C55359"/>
    <w:rsid w:val="00C62321"/>
    <w:rsid w:val="00C62C8E"/>
    <w:rsid w:val="00C62CB0"/>
    <w:rsid w:val="00C6300C"/>
    <w:rsid w:val="00C65AB4"/>
    <w:rsid w:val="00C70110"/>
    <w:rsid w:val="00C7090C"/>
    <w:rsid w:val="00C73489"/>
    <w:rsid w:val="00C75DEB"/>
    <w:rsid w:val="00C84267"/>
    <w:rsid w:val="00C917E8"/>
    <w:rsid w:val="00C92F00"/>
    <w:rsid w:val="00C943A0"/>
    <w:rsid w:val="00CA0A0A"/>
    <w:rsid w:val="00CB0C70"/>
    <w:rsid w:val="00CB1365"/>
    <w:rsid w:val="00CB78DF"/>
    <w:rsid w:val="00CC600C"/>
    <w:rsid w:val="00CD2E0A"/>
    <w:rsid w:val="00CD697D"/>
    <w:rsid w:val="00CD758C"/>
    <w:rsid w:val="00CE0D89"/>
    <w:rsid w:val="00CE286D"/>
    <w:rsid w:val="00CE748E"/>
    <w:rsid w:val="00CF0F1D"/>
    <w:rsid w:val="00D04800"/>
    <w:rsid w:val="00D127C0"/>
    <w:rsid w:val="00D222E6"/>
    <w:rsid w:val="00D26C8E"/>
    <w:rsid w:val="00D75FAE"/>
    <w:rsid w:val="00D77960"/>
    <w:rsid w:val="00D806F2"/>
    <w:rsid w:val="00D84D49"/>
    <w:rsid w:val="00D86B80"/>
    <w:rsid w:val="00D95AA4"/>
    <w:rsid w:val="00DA1C85"/>
    <w:rsid w:val="00DA3107"/>
    <w:rsid w:val="00DA57BC"/>
    <w:rsid w:val="00DB2489"/>
    <w:rsid w:val="00DB4120"/>
    <w:rsid w:val="00DB7F0B"/>
    <w:rsid w:val="00DC1354"/>
    <w:rsid w:val="00DC7DD4"/>
    <w:rsid w:val="00DD5598"/>
    <w:rsid w:val="00DE2793"/>
    <w:rsid w:val="00DE315A"/>
    <w:rsid w:val="00DE54C5"/>
    <w:rsid w:val="00DF2411"/>
    <w:rsid w:val="00DF2E6A"/>
    <w:rsid w:val="00DF445D"/>
    <w:rsid w:val="00E02FB8"/>
    <w:rsid w:val="00E04470"/>
    <w:rsid w:val="00E228A0"/>
    <w:rsid w:val="00E2516B"/>
    <w:rsid w:val="00E30517"/>
    <w:rsid w:val="00E34B38"/>
    <w:rsid w:val="00E36DBA"/>
    <w:rsid w:val="00E4089A"/>
    <w:rsid w:val="00E40A34"/>
    <w:rsid w:val="00E42345"/>
    <w:rsid w:val="00E46C98"/>
    <w:rsid w:val="00E55251"/>
    <w:rsid w:val="00E55FCB"/>
    <w:rsid w:val="00E65057"/>
    <w:rsid w:val="00E65AAB"/>
    <w:rsid w:val="00E65C95"/>
    <w:rsid w:val="00E65CE1"/>
    <w:rsid w:val="00E67C3B"/>
    <w:rsid w:val="00E766F3"/>
    <w:rsid w:val="00E86BAC"/>
    <w:rsid w:val="00E87877"/>
    <w:rsid w:val="00E91F33"/>
    <w:rsid w:val="00E95ECE"/>
    <w:rsid w:val="00E96322"/>
    <w:rsid w:val="00E97F0B"/>
    <w:rsid w:val="00EA07AA"/>
    <w:rsid w:val="00EA2A63"/>
    <w:rsid w:val="00EA3F24"/>
    <w:rsid w:val="00EB31B2"/>
    <w:rsid w:val="00EB37E4"/>
    <w:rsid w:val="00EB51B2"/>
    <w:rsid w:val="00EB5AB5"/>
    <w:rsid w:val="00EB6C4C"/>
    <w:rsid w:val="00EC371A"/>
    <w:rsid w:val="00EC5CA6"/>
    <w:rsid w:val="00EC65A8"/>
    <w:rsid w:val="00ED3E4F"/>
    <w:rsid w:val="00ED4F7B"/>
    <w:rsid w:val="00ED768B"/>
    <w:rsid w:val="00EE4C29"/>
    <w:rsid w:val="00EF103B"/>
    <w:rsid w:val="00EF7AFC"/>
    <w:rsid w:val="00F0717C"/>
    <w:rsid w:val="00F15ED2"/>
    <w:rsid w:val="00F23843"/>
    <w:rsid w:val="00F27EB3"/>
    <w:rsid w:val="00F344B0"/>
    <w:rsid w:val="00F40120"/>
    <w:rsid w:val="00F40E04"/>
    <w:rsid w:val="00F42303"/>
    <w:rsid w:val="00F435F5"/>
    <w:rsid w:val="00F501C8"/>
    <w:rsid w:val="00F556C6"/>
    <w:rsid w:val="00F5634A"/>
    <w:rsid w:val="00F675FA"/>
    <w:rsid w:val="00F733C3"/>
    <w:rsid w:val="00F90304"/>
    <w:rsid w:val="00F96DD1"/>
    <w:rsid w:val="00F97A39"/>
    <w:rsid w:val="00FA63A8"/>
    <w:rsid w:val="00FC20F3"/>
    <w:rsid w:val="00FD5BE1"/>
    <w:rsid w:val="00FE219A"/>
    <w:rsid w:val="00FE24F0"/>
    <w:rsid w:val="00FE437F"/>
    <w:rsid w:val="00FF1A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F2197"/>
  <w15:docId w15:val="{D712BCB8-E790-4A44-93F5-3E6139997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1EA1"/>
    <w:pPr>
      <w:spacing w:after="200" w:line="276" w:lineRule="auto"/>
    </w:pPr>
    <w:rPr>
      <w:rFonts w:ascii="Calibri" w:eastAsia="Times New Roman" w:hAnsi="Calibri" w:cs="Times New Roman"/>
      <w:kern w:val="0"/>
      <w14:ligatures w14:val="none"/>
    </w:rPr>
  </w:style>
  <w:style w:type="paragraph" w:styleId="Heading1">
    <w:name w:val="heading 1"/>
    <w:basedOn w:val="Normal"/>
    <w:next w:val="Normal"/>
    <w:link w:val="Heading1Char"/>
    <w:uiPriority w:val="9"/>
    <w:qFormat/>
    <w:rsid w:val="00391EA1"/>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391EA1"/>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391EA1"/>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391EA1"/>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391EA1"/>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391EA1"/>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391EA1"/>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391EA1"/>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391EA1"/>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EA1"/>
    <w:rPr>
      <w:rFonts w:ascii="Calibri Light" w:eastAsia="Times New Roman" w:hAnsi="Calibri Light" w:cs="Times New Roman"/>
      <w:b/>
      <w:bCs/>
      <w:kern w:val="32"/>
      <w:sz w:val="32"/>
      <w:szCs w:val="32"/>
      <w14:ligatures w14:val="none"/>
    </w:rPr>
  </w:style>
  <w:style w:type="character" w:customStyle="1" w:styleId="Heading2Char">
    <w:name w:val="Heading 2 Char"/>
    <w:basedOn w:val="DefaultParagraphFont"/>
    <w:link w:val="Heading2"/>
    <w:uiPriority w:val="99"/>
    <w:semiHidden/>
    <w:rsid w:val="00391EA1"/>
    <w:rPr>
      <w:rFonts w:ascii="Calibri Light" w:eastAsia="Times New Roman" w:hAnsi="Calibri Light" w:cs="Times New Roman"/>
      <w:b/>
      <w:bCs/>
      <w:i/>
      <w:iCs/>
      <w:kern w:val="0"/>
      <w:sz w:val="28"/>
      <w:szCs w:val="28"/>
      <w14:ligatures w14:val="none"/>
    </w:rPr>
  </w:style>
  <w:style w:type="character" w:customStyle="1" w:styleId="Heading3Char">
    <w:name w:val="Heading 3 Char"/>
    <w:basedOn w:val="DefaultParagraphFont"/>
    <w:link w:val="Heading3"/>
    <w:uiPriority w:val="99"/>
    <w:semiHidden/>
    <w:rsid w:val="00391EA1"/>
    <w:rPr>
      <w:rFonts w:ascii="Calibri Light" w:eastAsia="Times New Roman" w:hAnsi="Calibri Light" w:cs="Times New Roman"/>
      <w:b/>
      <w:bCs/>
      <w:kern w:val="0"/>
      <w:sz w:val="26"/>
      <w:szCs w:val="26"/>
      <w14:ligatures w14:val="none"/>
    </w:rPr>
  </w:style>
  <w:style w:type="character" w:customStyle="1" w:styleId="Heading4Char">
    <w:name w:val="Heading 4 Char"/>
    <w:basedOn w:val="DefaultParagraphFont"/>
    <w:link w:val="Heading4"/>
    <w:uiPriority w:val="99"/>
    <w:semiHidden/>
    <w:rsid w:val="00391EA1"/>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9"/>
    <w:semiHidden/>
    <w:rsid w:val="00391EA1"/>
    <w:rPr>
      <w:rFonts w:ascii="Calibri" w:eastAsia="Times New Roman" w:hAnsi="Calibri" w:cs="Times New Roman"/>
      <w:b/>
      <w:bCs/>
      <w:i/>
      <w:iCs/>
      <w:kern w:val="0"/>
      <w:sz w:val="26"/>
      <w:szCs w:val="26"/>
      <w14:ligatures w14:val="none"/>
    </w:rPr>
  </w:style>
  <w:style w:type="character" w:customStyle="1" w:styleId="Heading6Char">
    <w:name w:val="Heading 6 Char"/>
    <w:basedOn w:val="DefaultParagraphFont"/>
    <w:link w:val="Heading6"/>
    <w:uiPriority w:val="99"/>
    <w:semiHidden/>
    <w:rsid w:val="00391EA1"/>
    <w:rPr>
      <w:rFonts w:ascii="Calibri" w:eastAsia="Times New Roman" w:hAnsi="Calibri" w:cs="Times New Roman"/>
      <w:b/>
      <w:bCs/>
      <w:kern w:val="0"/>
      <w14:ligatures w14:val="none"/>
    </w:rPr>
  </w:style>
  <w:style w:type="character" w:customStyle="1" w:styleId="Heading7Char">
    <w:name w:val="Heading 7 Char"/>
    <w:basedOn w:val="DefaultParagraphFont"/>
    <w:link w:val="Heading7"/>
    <w:uiPriority w:val="99"/>
    <w:semiHidden/>
    <w:rsid w:val="00391EA1"/>
    <w:rPr>
      <w:rFonts w:ascii="Calibri" w:eastAsia="Times New Roman" w:hAnsi="Calibri" w:cs="Times New Roman"/>
      <w:kern w:val="0"/>
      <w:sz w:val="24"/>
      <w:szCs w:val="24"/>
      <w14:ligatures w14:val="none"/>
    </w:rPr>
  </w:style>
  <w:style w:type="character" w:customStyle="1" w:styleId="Heading8Char">
    <w:name w:val="Heading 8 Char"/>
    <w:basedOn w:val="DefaultParagraphFont"/>
    <w:link w:val="Heading8"/>
    <w:uiPriority w:val="99"/>
    <w:semiHidden/>
    <w:rsid w:val="00391EA1"/>
    <w:rPr>
      <w:rFonts w:ascii="Calibri" w:eastAsia="Times New Roman" w:hAnsi="Calibri" w:cs="Times New Roman"/>
      <w:i/>
      <w:iCs/>
      <w:kern w:val="0"/>
      <w:sz w:val="24"/>
      <w:szCs w:val="24"/>
      <w14:ligatures w14:val="none"/>
    </w:rPr>
  </w:style>
  <w:style w:type="character" w:customStyle="1" w:styleId="Heading9Char">
    <w:name w:val="Heading 9 Char"/>
    <w:basedOn w:val="DefaultParagraphFont"/>
    <w:link w:val="Heading9"/>
    <w:uiPriority w:val="99"/>
    <w:semiHidden/>
    <w:rsid w:val="00391EA1"/>
    <w:rPr>
      <w:rFonts w:ascii="Calibri Light" w:eastAsia="Times New Roman" w:hAnsi="Calibri Light" w:cs="Times New Roman"/>
      <w:kern w:val="0"/>
      <w14:ligatures w14:val="none"/>
    </w:rPr>
  </w:style>
  <w:style w:type="paragraph" w:styleId="Header">
    <w:name w:val="header"/>
    <w:basedOn w:val="Normal"/>
    <w:link w:val="Head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HeaderChar">
    <w:name w:val="Header Char"/>
    <w:basedOn w:val="DefaultParagraphFont"/>
    <w:link w:val="Header"/>
    <w:uiPriority w:val="57"/>
    <w:rsid w:val="00391EA1"/>
    <w:rPr>
      <w:rFonts w:ascii="Calibri" w:eastAsia="Times New Roman" w:hAnsi="Calibri" w:cs="Times New Roman"/>
      <w:kern w:val="0"/>
      <w:sz w:val="20"/>
      <w:szCs w:val="20"/>
      <w:lang w:val="en-GB" w:eastAsia="en-GB"/>
      <w14:ligatures w14:val="none"/>
    </w:rPr>
  </w:style>
  <w:style w:type="paragraph" w:styleId="Footer">
    <w:name w:val="footer"/>
    <w:basedOn w:val="Normal"/>
    <w:link w:val="Foot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FooterChar">
    <w:name w:val="Footer Char"/>
    <w:basedOn w:val="DefaultParagraphFont"/>
    <w:link w:val="Footer"/>
    <w:uiPriority w:val="57"/>
    <w:rsid w:val="00391EA1"/>
    <w:rPr>
      <w:rFonts w:ascii="Calibri" w:eastAsia="Times New Roman" w:hAnsi="Calibri" w:cs="Times New Roman"/>
      <w:kern w:val="0"/>
      <w:sz w:val="20"/>
      <w:szCs w:val="20"/>
      <w:lang w:val="en-GB" w:eastAsia="en-GB"/>
      <w14:ligatures w14:val="none"/>
    </w:rPr>
  </w:style>
  <w:style w:type="character" w:styleId="Hyperlink">
    <w:name w:val="Hyperlink"/>
    <w:uiPriority w:val="99"/>
    <w:unhideWhenUsed/>
    <w:rsid w:val="00391EA1"/>
    <w:rPr>
      <w:color w:val="0000FF"/>
      <w:u w:val="single"/>
    </w:rPr>
  </w:style>
  <w:style w:type="paragraph" w:styleId="ListParagraph">
    <w:name w:val="List Paragraph"/>
    <w:basedOn w:val="Normal"/>
    <w:uiPriority w:val="34"/>
    <w:qFormat/>
    <w:rsid w:val="00391EA1"/>
    <w:pPr>
      <w:ind w:left="720"/>
      <w:contextualSpacing/>
    </w:pPr>
  </w:style>
  <w:style w:type="paragraph" w:styleId="BalloonText">
    <w:name w:val="Balloon Text"/>
    <w:basedOn w:val="Normal"/>
    <w:link w:val="BalloonTextChar"/>
    <w:uiPriority w:val="99"/>
    <w:semiHidden/>
    <w:unhideWhenUsed/>
    <w:rsid w:val="00391EA1"/>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391EA1"/>
    <w:rPr>
      <w:rFonts w:ascii="Tahoma" w:eastAsia="Times New Roman" w:hAnsi="Tahoma" w:cs="Times New Roman"/>
      <w:kern w:val="0"/>
      <w:sz w:val="16"/>
      <w:szCs w:val="16"/>
      <w:lang w:val="x-none" w:eastAsia="x-none"/>
      <w14:ligatures w14:val="none"/>
    </w:rPr>
  </w:style>
  <w:style w:type="paragraph" w:styleId="NoSpacing">
    <w:name w:val="No Spacing"/>
    <w:link w:val="NoSpacingChar"/>
    <w:uiPriority w:val="1"/>
    <w:qFormat/>
    <w:rsid w:val="00391EA1"/>
    <w:pPr>
      <w:spacing w:after="0" w:line="240" w:lineRule="auto"/>
    </w:pPr>
    <w:rPr>
      <w:rFonts w:ascii="Calibri" w:eastAsia="Times New Roman" w:hAnsi="Calibri" w:cs="Times New Roman"/>
      <w:kern w:val="0"/>
      <w14:ligatures w14:val="none"/>
    </w:rPr>
  </w:style>
  <w:style w:type="paragraph" w:customStyle="1" w:styleId="Default">
    <w:name w:val="Default"/>
    <w:rsid w:val="00391EA1"/>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FootnoteText">
    <w:name w:val="footnote text"/>
    <w:basedOn w:val="Normal"/>
    <w:link w:val="FootnoteTextChar"/>
    <w:uiPriority w:val="99"/>
    <w:semiHidden/>
    <w:unhideWhenUsed/>
    <w:rsid w:val="00391EA1"/>
    <w:rPr>
      <w:sz w:val="20"/>
      <w:szCs w:val="20"/>
    </w:rPr>
  </w:style>
  <w:style w:type="character" w:customStyle="1" w:styleId="FootnoteTextChar">
    <w:name w:val="Footnote Text Char"/>
    <w:basedOn w:val="DefaultParagraphFont"/>
    <w:link w:val="FootnoteText"/>
    <w:uiPriority w:val="99"/>
    <w:semiHidden/>
    <w:rsid w:val="00391EA1"/>
    <w:rPr>
      <w:rFonts w:ascii="Calibri" w:eastAsia="Times New Roman" w:hAnsi="Calibri" w:cs="Times New Roman"/>
      <w:kern w:val="0"/>
      <w:sz w:val="20"/>
      <w:szCs w:val="20"/>
      <w14:ligatures w14:val="none"/>
    </w:rPr>
  </w:style>
  <w:style w:type="character" w:styleId="FootnoteReference">
    <w:name w:val="footnote reference"/>
    <w:uiPriority w:val="99"/>
    <w:semiHidden/>
    <w:unhideWhenUsed/>
    <w:rsid w:val="00391EA1"/>
    <w:rPr>
      <w:vertAlign w:val="superscript"/>
    </w:rPr>
  </w:style>
  <w:style w:type="table" w:styleId="TableGrid">
    <w:name w:val="Table Grid"/>
    <w:basedOn w:val="TableNormal"/>
    <w:uiPriority w:val="59"/>
    <w:rsid w:val="00391EA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391EA1"/>
    <w:rPr>
      <w:i/>
      <w:iCs/>
      <w:smallCaps/>
      <w:spacing w:val="5"/>
    </w:rPr>
  </w:style>
  <w:style w:type="paragraph" w:customStyle="1" w:styleId="ECHRHeader">
    <w:name w:val="ECHR_Header"/>
    <w:aliases w:val="Ju_Header"/>
    <w:basedOn w:val="Header"/>
    <w:uiPriority w:val="4"/>
    <w:qFormat/>
    <w:rsid w:val="00391EA1"/>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391EA1"/>
  </w:style>
  <w:style w:type="character" w:styleId="Strong">
    <w:name w:val="Strong"/>
    <w:uiPriority w:val="99"/>
    <w:qFormat/>
    <w:rsid w:val="00391EA1"/>
    <w:rPr>
      <w:b/>
      <w:bCs/>
    </w:rPr>
  </w:style>
  <w:style w:type="character" w:customStyle="1" w:styleId="NoSpacingChar">
    <w:name w:val="No Spacing Char"/>
    <w:link w:val="NoSpacing"/>
    <w:uiPriority w:val="1"/>
    <w:rsid w:val="00391EA1"/>
    <w:rPr>
      <w:rFonts w:ascii="Calibri" w:eastAsia="Times New Roman" w:hAnsi="Calibri" w:cs="Times New Roman"/>
      <w:kern w:val="0"/>
      <w14:ligatures w14:val="none"/>
    </w:rPr>
  </w:style>
  <w:style w:type="paragraph" w:customStyle="1" w:styleId="ECHRParaQuote">
    <w:name w:val="ECHR_Para_Quote"/>
    <w:aliases w:val="Ju_Quot"/>
    <w:basedOn w:val="Normal"/>
    <w:uiPriority w:val="14"/>
    <w:qFormat/>
    <w:rsid w:val="00391EA1"/>
    <w:pPr>
      <w:spacing w:before="120" w:after="120" w:line="240" w:lineRule="auto"/>
      <w:ind w:left="425" w:firstLine="142"/>
      <w:jc w:val="both"/>
    </w:pPr>
    <w:rPr>
      <w:rFonts w:ascii="Times New Roman" w:eastAsia="MS Mincho" w:hAnsi="Times New Roman"/>
      <w:sz w:val="20"/>
      <w:lang w:val="en-GB"/>
    </w:rPr>
  </w:style>
  <w:style w:type="paragraph" w:customStyle="1" w:styleId="DecList">
    <w:name w:val="Dec_List"/>
    <w:basedOn w:val="Normal"/>
    <w:uiPriority w:val="9"/>
    <w:semiHidden/>
    <w:qFormat/>
    <w:rsid w:val="00391EA1"/>
    <w:pPr>
      <w:spacing w:before="240" w:after="0" w:line="240" w:lineRule="auto"/>
      <w:ind w:left="284"/>
      <w:jc w:val="both"/>
    </w:pPr>
    <w:rPr>
      <w:rFonts w:ascii="Times New Roman" w:eastAsia="MS Mincho" w:hAnsi="Times New Roman"/>
      <w:sz w:val="24"/>
      <w:lang w:val="en-GB"/>
    </w:rPr>
  </w:style>
  <w:style w:type="paragraph" w:customStyle="1" w:styleId="DummyStyle">
    <w:name w:val="Dummy_Style"/>
    <w:basedOn w:val="Normal"/>
    <w:semiHidden/>
    <w:qFormat/>
    <w:rsid w:val="00391EA1"/>
    <w:pPr>
      <w:spacing w:after="0" w:line="240" w:lineRule="auto"/>
      <w:jc w:val="both"/>
    </w:pPr>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391EA1"/>
    <w:pPr>
      <w:numPr>
        <w:numId w:val="15"/>
      </w:numPr>
      <w:spacing w:after="0" w:line="240" w:lineRule="auto"/>
    </w:pPr>
    <w:rPr>
      <w:rFonts w:ascii="Times New Roman" w:eastAsia="MS Mincho" w:hAnsi="Times New Roman"/>
      <w:b/>
      <w:sz w:val="24"/>
      <w:lang w:val="en-GB"/>
    </w:rPr>
  </w:style>
  <w:style w:type="paragraph" w:customStyle="1" w:styleId="JuCourt">
    <w:name w:val="Ju_Court"/>
    <w:basedOn w:val="Normal"/>
    <w:next w:val="Normal"/>
    <w:uiPriority w:val="16"/>
    <w:qFormat/>
    <w:rsid w:val="00391EA1"/>
    <w:pPr>
      <w:tabs>
        <w:tab w:val="left" w:pos="907"/>
        <w:tab w:val="left" w:pos="1701"/>
        <w:tab w:val="right" w:pos="7371"/>
      </w:tabs>
      <w:spacing w:before="240" w:after="0" w:line="240" w:lineRule="auto"/>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391EA1"/>
    <w:pPr>
      <w:keepNext/>
      <w:keepLines/>
      <w:spacing w:before="240" w:after="120" w:line="240" w:lineRule="auto"/>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391EA1"/>
    <w:pPr>
      <w:keepNext/>
      <w:keepLines/>
      <w:spacing w:after="240" w:line="240" w:lineRule="auto"/>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391EA1"/>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391EA1"/>
    <w:pPr>
      <w:keepNext/>
      <w:keepLines/>
      <w:spacing w:before="720" w:after="240" w:line="240" w:lineRule="auto"/>
      <w:jc w:val="both"/>
      <w:outlineLvl w:val="0"/>
    </w:pPr>
    <w:rPr>
      <w:rFonts w:ascii="Times New Roman" w:eastAsia="MS Mincho" w:hAnsi="Times New Roman"/>
      <w:sz w:val="28"/>
      <w:lang w:val="en-GB"/>
    </w:rPr>
  </w:style>
  <w:style w:type="paragraph" w:customStyle="1" w:styleId="JuInitialled">
    <w:name w:val="Ju_Initialled"/>
    <w:basedOn w:val="Normal"/>
    <w:uiPriority w:val="31"/>
    <w:qFormat/>
    <w:rsid w:val="00391EA1"/>
    <w:pPr>
      <w:tabs>
        <w:tab w:val="center" w:pos="6407"/>
      </w:tabs>
      <w:spacing w:before="720" w:after="0" w:line="240" w:lineRule="auto"/>
      <w:jc w:val="right"/>
    </w:pPr>
    <w:rPr>
      <w:rFonts w:ascii="Times New Roman" w:eastAsia="MS Mincho" w:hAnsi="Times New Roman"/>
      <w:sz w:val="24"/>
      <w:lang w:val="en-GB"/>
    </w:rPr>
  </w:style>
  <w:style w:type="paragraph" w:customStyle="1" w:styleId="JuSigned">
    <w:name w:val="Ju_Signed"/>
    <w:basedOn w:val="Normal"/>
    <w:next w:val="JuParaLast"/>
    <w:uiPriority w:val="32"/>
    <w:qFormat/>
    <w:rsid w:val="00391EA1"/>
    <w:pPr>
      <w:tabs>
        <w:tab w:val="center" w:pos="851"/>
        <w:tab w:val="center" w:pos="6407"/>
      </w:tabs>
      <w:spacing w:before="720" w:after="0" w:line="240" w:lineRule="auto"/>
    </w:pPr>
    <w:rPr>
      <w:rFonts w:ascii="Times New Roman" w:eastAsia="MS Mincho" w:hAnsi="Times New Roman"/>
      <w:sz w:val="24"/>
      <w:lang w:val="en-GB"/>
    </w:rPr>
  </w:style>
  <w:style w:type="paragraph" w:styleId="Title">
    <w:name w:val="Title"/>
    <w:basedOn w:val="Normal"/>
    <w:next w:val="Normal"/>
    <w:link w:val="TitleChar"/>
    <w:uiPriority w:val="99"/>
    <w:qFormat/>
    <w:rsid w:val="00391EA1"/>
    <w:pPr>
      <w:pBdr>
        <w:bottom w:val="single" w:sz="4" w:space="1" w:color="auto"/>
      </w:pBdr>
      <w:spacing w:after="0" w:line="240" w:lineRule="auto"/>
      <w:contextualSpacing/>
      <w:jc w:val="both"/>
    </w:pPr>
    <w:rPr>
      <w:rFonts w:ascii="Times New Roman" w:eastAsia="MS Gothic" w:hAnsi="Times New Roman"/>
      <w:spacing w:val="5"/>
      <w:sz w:val="52"/>
      <w:szCs w:val="52"/>
      <w:lang w:val="x-none" w:eastAsia="x-none" w:bidi="en-US"/>
    </w:rPr>
  </w:style>
  <w:style w:type="character" w:customStyle="1" w:styleId="TitleChar">
    <w:name w:val="Title Char"/>
    <w:basedOn w:val="DefaultParagraphFont"/>
    <w:link w:val="Title"/>
    <w:uiPriority w:val="99"/>
    <w:rsid w:val="00391EA1"/>
    <w:rPr>
      <w:rFonts w:ascii="Times New Roman" w:eastAsia="MS Gothic" w:hAnsi="Times New Roman" w:cs="Times New Roman"/>
      <w:spacing w:val="5"/>
      <w:kern w:val="0"/>
      <w:sz w:val="52"/>
      <w:szCs w:val="52"/>
      <w:lang w:val="x-none" w:eastAsia="x-none" w:bidi="en-US"/>
      <w14:ligatures w14:val="none"/>
    </w:rPr>
  </w:style>
  <w:style w:type="character" w:customStyle="1" w:styleId="JuITMark">
    <w:name w:val="Ju_ITMark"/>
    <w:uiPriority w:val="38"/>
    <w:qFormat/>
    <w:rsid w:val="00391EA1"/>
    <w:rPr>
      <w:vanish w:val="0"/>
      <w:color w:val="auto"/>
      <w:sz w:val="14"/>
      <w:bdr w:val="none" w:sz="0" w:space="0" w:color="auto"/>
      <w:shd w:val="clear" w:color="auto" w:fill="BEE5FF"/>
    </w:rPr>
  </w:style>
  <w:style w:type="paragraph" w:customStyle="1" w:styleId="JuLista">
    <w:name w:val="Ju_List_a"/>
    <w:basedOn w:val="JuList"/>
    <w:uiPriority w:val="28"/>
    <w:qFormat/>
    <w:rsid w:val="00391EA1"/>
    <w:pPr>
      <w:ind w:left="346" w:firstLine="0"/>
    </w:pPr>
  </w:style>
  <w:style w:type="paragraph" w:customStyle="1" w:styleId="JuListi">
    <w:name w:val="Ju_List_i"/>
    <w:basedOn w:val="Normal"/>
    <w:next w:val="JuLista"/>
    <w:uiPriority w:val="28"/>
    <w:qFormat/>
    <w:rsid w:val="00391EA1"/>
    <w:pPr>
      <w:spacing w:after="0" w:line="240" w:lineRule="auto"/>
      <w:ind w:left="794"/>
      <w:jc w:val="both"/>
    </w:pPr>
    <w:rPr>
      <w:rFonts w:ascii="Times New Roman" w:eastAsia="MS Mincho" w:hAnsi="Times New Roman"/>
      <w:sz w:val="24"/>
      <w:lang w:val="en-GB"/>
    </w:rPr>
  </w:style>
  <w:style w:type="character" w:customStyle="1" w:styleId="JUNAMES">
    <w:name w:val="JU_NAMES"/>
    <w:uiPriority w:val="17"/>
    <w:qFormat/>
    <w:rsid w:val="00391EA1"/>
    <w:rPr>
      <w:caps w:val="0"/>
      <w:smallCaps/>
    </w:rPr>
  </w:style>
  <w:style w:type="paragraph" w:customStyle="1" w:styleId="JuParaSub">
    <w:name w:val="Ju_Para_Sub"/>
    <w:basedOn w:val="ECHRPara"/>
    <w:uiPriority w:val="13"/>
    <w:qFormat/>
    <w:rsid w:val="00391EA1"/>
    <w:pPr>
      <w:ind w:left="284"/>
    </w:pPr>
  </w:style>
  <w:style w:type="paragraph" w:customStyle="1" w:styleId="ECHRHeading1">
    <w:name w:val="ECHR_Heading_1"/>
    <w:aliases w:val="Ju_H_I_Roman"/>
    <w:basedOn w:val="Heading1"/>
    <w:next w:val="ECHRPara"/>
    <w:uiPriority w:val="19"/>
    <w:qFormat/>
    <w:rsid w:val="00391EA1"/>
  </w:style>
  <w:style w:type="paragraph" w:customStyle="1" w:styleId="ECHRHeading2">
    <w:name w:val="ECHR_Heading_2"/>
    <w:aliases w:val="Ju_H_A"/>
    <w:basedOn w:val="Heading2"/>
    <w:next w:val="ECHRPara"/>
    <w:uiPriority w:val="20"/>
    <w:qFormat/>
    <w:rsid w:val="00391EA1"/>
  </w:style>
  <w:style w:type="paragraph" w:customStyle="1" w:styleId="ECHRHeading3">
    <w:name w:val="ECHR_Heading_3"/>
    <w:aliases w:val="Ju_H_1."/>
    <w:basedOn w:val="Heading3"/>
    <w:next w:val="ECHRPara"/>
    <w:uiPriority w:val="21"/>
    <w:qFormat/>
    <w:rsid w:val="00391EA1"/>
  </w:style>
  <w:style w:type="paragraph" w:customStyle="1" w:styleId="ECHRHeading4">
    <w:name w:val="ECHR_Heading_4"/>
    <w:aliases w:val="Ju_H_a"/>
    <w:basedOn w:val="Heading4"/>
    <w:next w:val="ECHRPara"/>
    <w:uiPriority w:val="22"/>
    <w:qFormat/>
    <w:rsid w:val="00391EA1"/>
  </w:style>
  <w:style w:type="paragraph" w:customStyle="1" w:styleId="ECHRHeading5">
    <w:name w:val="ECHR_Heading_5"/>
    <w:aliases w:val="Ju_H_i"/>
    <w:basedOn w:val="Heading5"/>
    <w:next w:val="ECHRPara"/>
    <w:uiPriority w:val="23"/>
    <w:qFormat/>
    <w:rsid w:val="00391EA1"/>
  </w:style>
  <w:style w:type="paragraph" w:customStyle="1" w:styleId="ECHRHeading6">
    <w:name w:val="ECHR_Heading_6"/>
    <w:aliases w:val="Ju_H_alpha"/>
    <w:basedOn w:val="Heading6"/>
    <w:next w:val="ECHRPara"/>
    <w:uiPriority w:val="24"/>
    <w:qFormat/>
    <w:rsid w:val="00391EA1"/>
  </w:style>
  <w:style w:type="paragraph" w:customStyle="1" w:styleId="ECHRHeading7">
    <w:name w:val="ECHR_Heading_7"/>
    <w:aliases w:val="Ju_H_–"/>
    <w:basedOn w:val="Heading7"/>
    <w:next w:val="ECHRPara"/>
    <w:uiPriority w:val="25"/>
    <w:qFormat/>
    <w:rsid w:val="00391EA1"/>
  </w:style>
  <w:style w:type="paragraph" w:customStyle="1" w:styleId="JuParaLast">
    <w:name w:val="Ju_Para_Last"/>
    <w:basedOn w:val="Normal"/>
    <w:next w:val="ECHRPara"/>
    <w:uiPriority w:val="30"/>
    <w:qFormat/>
    <w:rsid w:val="00391EA1"/>
    <w:pPr>
      <w:keepNext/>
      <w:keepLines/>
      <w:spacing w:before="240" w:after="0" w:line="240" w:lineRule="auto"/>
      <w:ind w:firstLine="284"/>
      <w:jc w:val="both"/>
    </w:pPr>
    <w:rPr>
      <w:rFonts w:ascii="Times New Roman" w:eastAsia="MS Mincho" w:hAnsi="Times New Roman"/>
      <w:sz w:val="24"/>
      <w:lang w:val="en-GB"/>
    </w:rPr>
  </w:style>
  <w:style w:type="paragraph" w:customStyle="1" w:styleId="ECHRDecisionBody">
    <w:name w:val="ECHR_Decision_Body"/>
    <w:aliases w:val="Ju_Judges"/>
    <w:basedOn w:val="Normal"/>
    <w:uiPriority w:val="11"/>
    <w:qFormat/>
    <w:rsid w:val="00391EA1"/>
    <w:pPr>
      <w:tabs>
        <w:tab w:val="left" w:pos="567"/>
        <w:tab w:val="left" w:pos="1134"/>
      </w:tabs>
      <w:spacing w:after="0" w:line="240" w:lineRule="auto"/>
    </w:pPr>
    <w:rPr>
      <w:rFonts w:ascii="Times New Roman" w:eastAsia="MS Mincho" w:hAnsi="Times New Roman"/>
      <w:sz w:val="24"/>
      <w:lang w:val="en-GB"/>
    </w:rPr>
  </w:style>
  <w:style w:type="paragraph" w:customStyle="1" w:styleId="JuList">
    <w:name w:val="Ju_List"/>
    <w:basedOn w:val="Normal"/>
    <w:uiPriority w:val="28"/>
    <w:qFormat/>
    <w:rsid w:val="00391EA1"/>
    <w:pPr>
      <w:spacing w:after="0" w:line="240" w:lineRule="auto"/>
      <w:ind w:left="340" w:hanging="340"/>
      <w:jc w:val="both"/>
    </w:pPr>
    <w:rPr>
      <w:rFonts w:ascii="Times New Roman" w:eastAsia="MS Mincho" w:hAnsi="Times New Roman"/>
      <w:sz w:val="24"/>
      <w:lang w:val="en-GB"/>
    </w:rPr>
  </w:style>
  <w:style w:type="paragraph" w:customStyle="1" w:styleId="JuQuotSub">
    <w:name w:val="Ju_Quot_Sub"/>
    <w:basedOn w:val="ECHRParaQuote"/>
    <w:uiPriority w:val="15"/>
    <w:qFormat/>
    <w:rsid w:val="00391EA1"/>
    <w:pPr>
      <w:ind w:left="567"/>
    </w:pPr>
  </w:style>
  <w:style w:type="paragraph" w:customStyle="1" w:styleId="JuTitle">
    <w:name w:val="Ju_Title"/>
    <w:basedOn w:val="Normal"/>
    <w:next w:val="ECHRPara"/>
    <w:uiPriority w:val="3"/>
    <w:semiHidden/>
    <w:qFormat/>
    <w:rsid w:val="00391EA1"/>
    <w:pPr>
      <w:spacing w:before="720" w:after="240" w:line="240" w:lineRule="auto"/>
      <w:jc w:val="center"/>
      <w:outlineLvl w:val="0"/>
    </w:pPr>
    <w:rPr>
      <w:rFonts w:ascii="Times New Roman" w:eastAsia="MS Mincho" w:hAnsi="Times New Roman"/>
      <w:b/>
      <w:caps/>
      <w:sz w:val="24"/>
      <w:lang w:val="en-GB"/>
    </w:rPr>
  </w:style>
  <w:style w:type="character" w:styleId="SubtleEmphasis">
    <w:name w:val="Subtle Emphasis"/>
    <w:uiPriority w:val="99"/>
    <w:qFormat/>
    <w:rsid w:val="00391EA1"/>
    <w:rPr>
      <w:i/>
      <w:iCs/>
    </w:rPr>
  </w:style>
  <w:style w:type="paragraph" w:customStyle="1" w:styleId="OpiH1">
    <w:name w:val="Opi_H_1"/>
    <w:basedOn w:val="ECHRHeading2"/>
    <w:uiPriority w:val="42"/>
    <w:qFormat/>
    <w:rsid w:val="00391EA1"/>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391EA1"/>
    <w:pPr>
      <w:spacing w:after="0" w:line="240" w:lineRule="auto"/>
    </w:pPr>
    <w:rPr>
      <w:rFonts w:ascii="Times New Roman" w:eastAsia="Times New Roman" w:hAnsi="Times New Roman" w:cs="Times New Roman"/>
      <w:kern w:val="0"/>
      <w:sz w:val="20"/>
      <w:szCs w:val="20"/>
      <w:lang w:val="en-GB"/>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391EA1"/>
    <w:pPr>
      <w:spacing w:after="0" w:line="240" w:lineRule="auto"/>
    </w:pPr>
    <w:rPr>
      <w:rFonts w:ascii="Verdana" w:eastAsia="Times New Roman" w:hAnsi="Verdana" w:cs="Times New Roman"/>
      <w:kern w:val="0"/>
      <w:sz w:val="20"/>
      <w:szCs w:val="20"/>
      <w:lang w:val="en-GB"/>
      <w14:ligatures w14:val="none"/>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391EA1"/>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391EA1"/>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391EA1"/>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391EA1"/>
    <w:rPr>
      <w:b/>
      <w:bCs/>
      <w:i/>
      <w:iCs/>
      <w:spacing w:val="10"/>
      <w:bdr w:val="none" w:sz="0" w:space="0" w:color="auto"/>
      <w:shd w:val="clear" w:color="auto" w:fill="auto"/>
    </w:rPr>
  </w:style>
  <w:style w:type="character" w:styleId="IntenseEmphasis">
    <w:name w:val="Intense Emphasis"/>
    <w:uiPriority w:val="99"/>
    <w:qFormat/>
    <w:rsid w:val="00391EA1"/>
    <w:rPr>
      <w:b/>
      <w:bCs/>
    </w:rPr>
  </w:style>
  <w:style w:type="paragraph" w:styleId="IntenseQuote">
    <w:name w:val="Intense Quote"/>
    <w:basedOn w:val="Normal"/>
    <w:next w:val="Normal"/>
    <w:link w:val="IntenseQuoteChar"/>
    <w:uiPriority w:val="99"/>
    <w:qFormat/>
    <w:rsid w:val="00391EA1"/>
    <w:pPr>
      <w:pBdr>
        <w:bottom w:val="single" w:sz="4" w:space="1" w:color="auto"/>
      </w:pBdr>
      <w:spacing w:before="200" w:after="280" w:line="240" w:lineRule="auto"/>
      <w:ind w:left="1008" w:right="1152"/>
      <w:jc w:val="both"/>
    </w:pPr>
    <w:rPr>
      <w:rFonts w:ascii="Times New Roman" w:eastAsia="MS Mincho" w:hAnsi="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391EA1"/>
    <w:rPr>
      <w:rFonts w:ascii="Times New Roman" w:eastAsia="MS Mincho" w:hAnsi="Times New Roman" w:cs="Times New Roman"/>
      <w:b/>
      <w:bCs/>
      <w:i/>
      <w:iCs/>
      <w:kern w:val="0"/>
      <w:sz w:val="20"/>
      <w:szCs w:val="20"/>
      <w:lang w:val="x-none" w:eastAsia="x-none" w:bidi="en-US"/>
      <w14:ligatures w14:val="none"/>
    </w:rPr>
  </w:style>
  <w:style w:type="character" w:styleId="IntenseReference">
    <w:name w:val="Intense Reference"/>
    <w:uiPriority w:val="99"/>
    <w:qFormat/>
    <w:rsid w:val="00391EA1"/>
    <w:rPr>
      <w:smallCaps/>
      <w:spacing w:val="5"/>
      <w:u w:val="single"/>
    </w:rPr>
  </w:style>
  <w:style w:type="table" w:customStyle="1" w:styleId="LtrTableAddress">
    <w:name w:val="Ltr_Table_Addres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5103" w:type="dxa"/>
    </w:tblPr>
  </w:style>
  <w:style w:type="paragraph" w:styleId="Quote">
    <w:name w:val="Quote"/>
    <w:basedOn w:val="Normal"/>
    <w:next w:val="Normal"/>
    <w:link w:val="QuoteChar"/>
    <w:uiPriority w:val="99"/>
    <w:qFormat/>
    <w:rsid w:val="00391EA1"/>
    <w:pPr>
      <w:spacing w:before="200" w:after="0" w:line="240" w:lineRule="auto"/>
      <w:ind w:left="360" w:right="360"/>
      <w:jc w:val="both"/>
    </w:pPr>
    <w:rPr>
      <w:rFonts w:ascii="Times New Roman" w:eastAsia="MS Mincho" w:hAnsi="Times New Roman"/>
      <w:i/>
      <w:iCs/>
      <w:sz w:val="20"/>
      <w:szCs w:val="20"/>
      <w:lang w:val="x-none" w:eastAsia="x-none" w:bidi="en-US"/>
    </w:rPr>
  </w:style>
  <w:style w:type="character" w:customStyle="1" w:styleId="QuoteChar">
    <w:name w:val="Quote Char"/>
    <w:basedOn w:val="DefaultParagraphFont"/>
    <w:link w:val="Quote"/>
    <w:uiPriority w:val="99"/>
    <w:rsid w:val="00391EA1"/>
    <w:rPr>
      <w:rFonts w:ascii="Times New Roman" w:eastAsia="MS Mincho" w:hAnsi="Times New Roman" w:cs="Times New Roman"/>
      <w:i/>
      <w:iCs/>
      <w:kern w:val="0"/>
      <w:sz w:val="20"/>
      <w:szCs w:val="20"/>
      <w:lang w:val="x-none" w:eastAsia="x-none" w:bidi="en-US"/>
      <w14:ligatures w14:val="none"/>
    </w:rPr>
  </w:style>
  <w:style w:type="character" w:styleId="SubtleReference">
    <w:name w:val="Subtle Reference"/>
    <w:uiPriority w:val="99"/>
    <w:qFormat/>
    <w:rsid w:val="00391EA1"/>
    <w:rPr>
      <w:smallCaps/>
    </w:rPr>
  </w:style>
  <w:style w:type="paragraph" w:styleId="TOC1">
    <w:name w:val="toc 1"/>
    <w:basedOn w:val="Normal"/>
    <w:next w:val="Normal"/>
    <w:autoRedefine/>
    <w:uiPriority w:val="99"/>
    <w:semiHidden/>
    <w:rsid w:val="00391EA1"/>
    <w:pPr>
      <w:keepNext/>
      <w:tabs>
        <w:tab w:val="right" w:leader="dot" w:pos="7371"/>
      </w:tabs>
      <w:spacing w:before="160" w:after="60" w:line="240" w:lineRule="exact"/>
      <w:ind w:left="340" w:right="567" w:hanging="340"/>
      <w:jc w:val="both"/>
    </w:pPr>
    <w:rPr>
      <w:rFonts w:ascii="Times New Roman" w:eastAsia="MS Mincho" w:hAnsi="Times New Roman"/>
      <w:b/>
      <w:lang w:val="en-GB"/>
    </w:rPr>
  </w:style>
  <w:style w:type="paragraph" w:styleId="TOC2">
    <w:name w:val="toc 2"/>
    <w:basedOn w:val="Normal"/>
    <w:next w:val="Normal"/>
    <w:autoRedefine/>
    <w:uiPriority w:val="99"/>
    <w:semiHidden/>
    <w:rsid w:val="00391EA1"/>
    <w:pPr>
      <w:keepNext/>
      <w:tabs>
        <w:tab w:val="right" w:leader="dot" w:pos="7371"/>
      </w:tabs>
      <w:spacing w:after="60" w:line="240" w:lineRule="exact"/>
      <w:ind w:left="680" w:right="567" w:hanging="340"/>
      <w:jc w:val="both"/>
    </w:pPr>
    <w:rPr>
      <w:rFonts w:ascii="Times New Roman" w:eastAsia="MS Mincho" w:hAnsi="Times New Roman"/>
      <w:lang w:val="en-GB"/>
    </w:rPr>
  </w:style>
  <w:style w:type="paragraph" w:styleId="TOC3">
    <w:name w:val="toc 3"/>
    <w:basedOn w:val="Normal"/>
    <w:next w:val="Normal"/>
    <w:autoRedefine/>
    <w:uiPriority w:val="99"/>
    <w:semiHidden/>
    <w:rsid w:val="00391EA1"/>
    <w:pPr>
      <w:keepNext/>
      <w:tabs>
        <w:tab w:val="right" w:leader="dot" w:pos="7371"/>
      </w:tabs>
      <w:spacing w:after="60" w:line="240" w:lineRule="exact"/>
      <w:ind w:left="1020" w:right="567" w:hanging="340"/>
      <w:jc w:val="both"/>
    </w:pPr>
    <w:rPr>
      <w:rFonts w:ascii="Times New Roman" w:eastAsia="MS Mincho" w:hAnsi="Times New Roman"/>
      <w:sz w:val="20"/>
      <w:lang w:val="en-GB"/>
    </w:rPr>
  </w:style>
  <w:style w:type="paragraph" w:styleId="TOC4">
    <w:name w:val="toc 4"/>
    <w:basedOn w:val="Normal"/>
    <w:next w:val="Normal"/>
    <w:autoRedefine/>
    <w:uiPriority w:val="99"/>
    <w:semiHidden/>
    <w:rsid w:val="00391EA1"/>
    <w:pPr>
      <w:tabs>
        <w:tab w:val="right" w:leader="dot" w:pos="7371"/>
      </w:tabs>
      <w:spacing w:after="60" w:line="240" w:lineRule="exact"/>
      <w:ind w:left="1361" w:right="567" w:hanging="340"/>
      <w:jc w:val="both"/>
    </w:pPr>
    <w:rPr>
      <w:rFonts w:ascii="Times New Roman" w:eastAsia="MS Mincho" w:hAnsi="Times New Roman"/>
      <w:sz w:val="20"/>
      <w:lang w:val="en-GB"/>
    </w:rPr>
  </w:style>
  <w:style w:type="paragraph" w:styleId="TOC5">
    <w:name w:val="toc 5"/>
    <w:basedOn w:val="Normal"/>
    <w:next w:val="Normal"/>
    <w:autoRedefine/>
    <w:uiPriority w:val="99"/>
    <w:semiHidden/>
    <w:rsid w:val="00391EA1"/>
    <w:pPr>
      <w:tabs>
        <w:tab w:val="right" w:leader="dot" w:pos="7371"/>
      </w:tabs>
      <w:spacing w:after="60" w:line="240" w:lineRule="exact"/>
      <w:ind w:left="1701" w:right="567" w:hanging="340"/>
      <w:jc w:val="both"/>
    </w:pPr>
    <w:rPr>
      <w:rFonts w:ascii="Times New Roman" w:eastAsia="MS Mincho" w:hAnsi="Times New Roman"/>
      <w:sz w:val="20"/>
      <w:lang w:val="en-GB"/>
    </w:rPr>
  </w:style>
  <w:style w:type="paragraph" w:styleId="TOCHeading">
    <w:name w:val="TOC Heading"/>
    <w:basedOn w:val="Normal"/>
    <w:next w:val="Normal"/>
    <w:uiPriority w:val="99"/>
    <w:semiHidden/>
    <w:qFormat/>
    <w:rsid w:val="00391EA1"/>
    <w:pPr>
      <w:keepNext/>
      <w:spacing w:before="240" w:after="60"/>
    </w:pPr>
    <w:rPr>
      <w:rFonts w:ascii="Calibri Light" w:hAnsi="Calibri Light"/>
      <w:kern w:val="32"/>
      <w:sz w:val="32"/>
      <w:szCs w:val="32"/>
    </w:rPr>
  </w:style>
  <w:style w:type="table" w:customStyle="1" w:styleId="UGTable">
    <w:name w:val="UG_Table"/>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391EA1"/>
    <w:pPr>
      <w:spacing w:after="0" w:line="240" w:lineRule="auto"/>
    </w:pPr>
    <w:rPr>
      <w:rFonts w:ascii="Times New Roman" w:eastAsia="Times New Roman" w:hAnsi="Times New Roman" w:cs="Times New Roman"/>
      <w:color w:val="000000"/>
      <w:kern w:val="0"/>
      <w:sz w:val="18"/>
      <w:szCs w:val="20"/>
      <w14:ligatures w14:val="none"/>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EA1"/>
    <w:pPr>
      <w:spacing w:after="0" w:line="240" w:lineRule="auto"/>
    </w:pPr>
    <w:rPr>
      <w:rFonts w:ascii="Times New Roman" w:eastAsia="Times New Roman" w:hAnsi="Times New Roman" w:cs="Times New Roman"/>
      <w:color w:val="000000"/>
      <w:kern w:val="0"/>
      <w:sz w:val="20"/>
      <w:szCs w:val="20"/>
      <w14:ligatures w14:val="none"/>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391EA1"/>
    <w:pPr>
      <w:keepNext/>
      <w:keepLines/>
      <w:spacing w:before="240" w:after="0" w:line="240" w:lineRule="auto"/>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391EA1"/>
    <w:pPr>
      <w:spacing w:after="600" w:line="240" w:lineRule="auto"/>
      <w:jc w:val="both"/>
    </w:pPr>
    <w:rPr>
      <w:rFonts w:ascii="Times New Roman" w:eastAsia="MS Gothic" w:hAnsi="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391EA1"/>
    <w:rPr>
      <w:rFonts w:ascii="Times New Roman" w:eastAsia="MS Gothic" w:hAnsi="Times New Roman" w:cs="Times New Roman"/>
      <w:i/>
      <w:iCs/>
      <w:spacing w:val="13"/>
      <w:kern w:val="0"/>
      <w:sz w:val="24"/>
      <w:szCs w:val="24"/>
      <w:lang w:val="x-none" w:eastAsia="x-none" w:bidi="en-US"/>
      <w14:ligatures w14:val="none"/>
    </w:rPr>
  </w:style>
  <w:style w:type="numbering" w:styleId="111111">
    <w:name w:val="Outline List 2"/>
    <w:basedOn w:val="NoList"/>
    <w:uiPriority w:val="99"/>
    <w:semiHidden/>
    <w:unhideWhenUsed/>
    <w:rsid w:val="00391EA1"/>
    <w:pPr>
      <w:numPr>
        <w:numId w:val="4"/>
      </w:numPr>
    </w:pPr>
  </w:style>
  <w:style w:type="paragraph" w:customStyle="1" w:styleId="ECHRPara">
    <w:name w:val="ECHR_Para"/>
    <w:aliases w:val="Ju_Para"/>
    <w:basedOn w:val="Normal"/>
    <w:link w:val="ECHRParaChar"/>
    <w:uiPriority w:val="12"/>
    <w:qFormat/>
    <w:rsid w:val="00391EA1"/>
    <w:pPr>
      <w:spacing w:after="0" w:line="240" w:lineRule="auto"/>
      <w:ind w:firstLine="284"/>
      <w:jc w:val="both"/>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391EA1"/>
    <w:pPr>
      <w:numPr>
        <w:numId w:val="5"/>
      </w:numPr>
    </w:pPr>
  </w:style>
  <w:style w:type="table" w:customStyle="1" w:styleId="ECHRTableSimpleBox">
    <w:name w:val="ECHR_Table_Simple_Box"/>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391EA1"/>
    <w:pPr>
      <w:numPr>
        <w:numId w:val="6"/>
      </w:numPr>
    </w:pPr>
  </w:style>
  <w:style w:type="table" w:customStyle="1" w:styleId="ECHRTableForInternalUse">
    <w:name w:val="ECHR_Table_For_Internal_Use"/>
    <w:basedOn w:val="TableNormal"/>
    <w:uiPriority w:val="99"/>
    <w:rsid w:val="00391EA1"/>
    <w:pPr>
      <w:spacing w:after="0" w:line="240" w:lineRule="auto"/>
    </w:pPr>
    <w:rPr>
      <w:rFonts w:ascii="Times New Roman" w:eastAsia="Times New Roman" w:hAnsi="Times New Roman" w:cs="Times New Roman"/>
      <w:color w:val="636363"/>
      <w:kern w:val="0"/>
      <w:sz w:val="18"/>
      <w:szCs w:val="20"/>
      <w14:ligatures w14:val="none"/>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391EA1"/>
    <w:pPr>
      <w:spacing w:after="0" w:line="240" w:lineRule="auto"/>
      <w:jc w:val="both"/>
    </w:pPr>
    <w:rPr>
      <w:rFonts w:ascii="Times New Roman" w:eastAsia="MS Mincho" w:hAnsi="Times New Roman"/>
      <w:sz w:val="24"/>
      <w:lang w:val="en-GB"/>
    </w:rPr>
  </w:style>
  <w:style w:type="paragraph" w:styleId="BlockText">
    <w:name w:val="Block Text"/>
    <w:basedOn w:val="Normal"/>
    <w:uiPriority w:val="99"/>
    <w:semiHidden/>
    <w:rsid w:val="00391EA1"/>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391EA1"/>
    <w:pPr>
      <w:spacing w:after="120" w:line="240" w:lineRule="auto"/>
      <w:jc w:val="both"/>
    </w:pPr>
    <w:rPr>
      <w:rFonts w:ascii="Times New Roman" w:eastAsia="MS Mincho" w:hAnsi="Times New Roman"/>
      <w:sz w:val="24"/>
      <w:szCs w:val="20"/>
      <w:lang w:val="x-none" w:eastAsia="x-none"/>
    </w:rPr>
  </w:style>
  <w:style w:type="character" w:customStyle="1" w:styleId="BodyTextChar">
    <w:name w:val="Body Text Char"/>
    <w:basedOn w:val="DefaultParagraphFont"/>
    <w:link w:val="BodyText"/>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TableOddBanded">
    <w:name w:val="ECHR_Table_Odd_Band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391EA1"/>
    <w:pPr>
      <w:spacing w:after="120" w:line="480" w:lineRule="auto"/>
      <w:jc w:val="both"/>
    </w:pPr>
    <w:rPr>
      <w:rFonts w:ascii="Times New Roman" w:eastAsia="MS Mincho" w:hAnsi="Times New Roman"/>
      <w:sz w:val="24"/>
      <w:szCs w:val="20"/>
      <w:lang w:val="x-none" w:eastAsia="x-none"/>
    </w:rPr>
  </w:style>
  <w:style w:type="character" w:customStyle="1" w:styleId="BodyText2Char">
    <w:name w:val="Body Text 2 Char"/>
    <w:basedOn w:val="DefaultParagraphFont"/>
    <w:link w:val="BodyText2"/>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HeaderTableReduced">
    <w:name w:val="ECHR_Header_Table_Reduc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391EA1"/>
    <w:pPr>
      <w:spacing w:after="0" w:line="240" w:lineRule="auto"/>
      <w:ind w:firstLine="284"/>
      <w:jc w:val="both"/>
    </w:pPr>
    <w:rPr>
      <w:rFonts w:ascii="Times New Roman" w:eastAsia="MS Mincho" w:hAnsi="Times New Roman"/>
      <w:b/>
      <w:sz w:val="24"/>
      <w:lang w:val="en-GB"/>
    </w:rPr>
  </w:style>
  <w:style w:type="character" w:styleId="PageNumber">
    <w:name w:val="page number"/>
    <w:uiPriority w:val="99"/>
    <w:semiHidden/>
    <w:rsid w:val="00391EA1"/>
    <w:rPr>
      <w:sz w:val="18"/>
    </w:rPr>
  </w:style>
  <w:style w:type="paragraph" w:styleId="ListBullet">
    <w:name w:val="List Bullet"/>
    <w:basedOn w:val="Normal"/>
    <w:uiPriority w:val="99"/>
    <w:semiHidden/>
    <w:rsid w:val="00391EA1"/>
    <w:pPr>
      <w:numPr>
        <w:numId w:val="3"/>
      </w:numPr>
      <w:spacing w:after="0" w:line="240" w:lineRule="auto"/>
      <w:jc w:val="both"/>
    </w:pPr>
    <w:rPr>
      <w:rFonts w:ascii="Times New Roman" w:eastAsia="MS Mincho" w:hAnsi="Times New Roman"/>
      <w:sz w:val="24"/>
      <w:lang w:val="en-GB"/>
    </w:rPr>
  </w:style>
  <w:style w:type="paragraph" w:styleId="ListBullet3">
    <w:name w:val="List Bullet 3"/>
    <w:basedOn w:val="Normal"/>
    <w:uiPriority w:val="99"/>
    <w:semiHidden/>
    <w:rsid w:val="00391EA1"/>
    <w:pPr>
      <w:numPr>
        <w:numId w:val="2"/>
      </w:numPr>
      <w:spacing w:after="0" w:line="240" w:lineRule="auto"/>
      <w:contextualSpacing/>
      <w:jc w:val="both"/>
    </w:pPr>
    <w:rPr>
      <w:rFonts w:ascii="Times New Roman" w:eastAsia="MS Mincho" w:hAnsi="Times New Roman"/>
      <w:sz w:val="24"/>
      <w:lang w:val="en-GB"/>
    </w:rPr>
  </w:style>
  <w:style w:type="paragraph" w:styleId="BodyText3">
    <w:name w:val="Body Text 3"/>
    <w:basedOn w:val="Normal"/>
    <w:link w:val="BodyText3Char"/>
    <w:uiPriority w:val="99"/>
    <w:semiHidden/>
    <w:rsid w:val="00391EA1"/>
    <w:pPr>
      <w:spacing w:after="120" w:line="240" w:lineRule="auto"/>
      <w:jc w:val="both"/>
    </w:pPr>
    <w:rPr>
      <w:rFonts w:ascii="Times New Roman" w:eastAsia="MS Mincho" w:hAnsi="Times New Roman"/>
      <w:sz w:val="16"/>
      <w:szCs w:val="16"/>
      <w:lang w:val="x-none" w:eastAsia="x-none"/>
    </w:rPr>
  </w:style>
  <w:style w:type="character" w:customStyle="1" w:styleId="BodyText3Char">
    <w:name w:val="Body Text 3 Char"/>
    <w:basedOn w:val="DefaultParagraphFont"/>
    <w:link w:val="BodyTex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BodyTextFirstIndent">
    <w:name w:val="Body Text First Indent"/>
    <w:basedOn w:val="BodyText"/>
    <w:link w:val="BodyTextFirstIndentChar"/>
    <w:uiPriority w:val="99"/>
    <w:semiHidden/>
    <w:rsid w:val="00391EA1"/>
    <w:pPr>
      <w:spacing w:after="0"/>
      <w:ind w:firstLine="360"/>
    </w:pPr>
  </w:style>
  <w:style w:type="character" w:customStyle="1" w:styleId="BodyTextFirstIndentChar">
    <w:name w:val="Body Text First Indent Char"/>
    <w:basedOn w:val="BodyTextChar"/>
    <w:link w:val="BodyTextFirs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
    <w:name w:val="Body Text Indent"/>
    <w:basedOn w:val="Normal"/>
    <w:link w:val="BodyTextIndentChar"/>
    <w:uiPriority w:val="99"/>
    <w:semiHidden/>
    <w:rsid w:val="00391EA1"/>
    <w:pPr>
      <w:spacing w:after="120" w:line="240" w:lineRule="auto"/>
      <w:ind w:left="283"/>
      <w:jc w:val="both"/>
    </w:pPr>
    <w:rPr>
      <w:rFonts w:ascii="Times New Roman" w:eastAsia="MS Mincho" w:hAnsi="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FirstIndent2">
    <w:name w:val="Body Text First Indent 2"/>
    <w:basedOn w:val="BodyTextIndent"/>
    <w:link w:val="BodyTextFirstIndent2Char"/>
    <w:uiPriority w:val="99"/>
    <w:semiHidden/>
    <w:rsid w:val="00391EA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2">
    <w:name w:val="Body Text Indent 2"/>
    <w:basedOn w:val="Normal"/>
    <w:link w:val="BodyTextIndent2Char"/>
    <w:uiPriority w:val="99"/>
    <w:semiHidden/>
    <w:rsid w:val="00391EA1"/>
    <w:pPr>
      <w:spacing w:after="120" w:line="480" w:lineRule="auto"/>
      <w:ind w:left="283"/>
      <w:jc w:val="both"/>
    </w:pPr>
    <w:rPr>
      <w:rFonts w:ascii="Times New Roman" w:eastAsia="MS Mincho" w:hAnsi="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3">
    <w:name w:val="Body Text Indent 3"/>
    <w:basedOn w:val="Normal"/>
    <w:link w:val="BodyTextIndent3Char"/>
    <w:uiPriority w:val="99"/>
    <w:semiHidden/>
    <w:rsid w:val="00391EA1"/>
    <w:pPr>
      <w:spacing w:after="120" w:line="240" w:lineRule="auto"/>
      <w:ind w:left="283"/>
      <w:jc w:val="both"/>
    </w:pPr>
    <w:rPr>
      <w:rFonts w:ascii="Times New Roman" w:eastAsia="MS Mincho" w:hAnsi="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Caption">
    <w:name w:val="caption"/>
    <w:basedOn w:val="Normal"/>
    <w:next w:val="Normal"/>
    <w:uiPriority w:val="99"/>
    <w:semiHidden/>
    <w:qFormat/>
    <w:rsid w:val="00391EA1"/>
    <w:pPr>
      <w:spacing w:line="240" w:lineRule="auto"/>
      <w:jc w:val="both"/>
    </w:pPr>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ClosingChar">
    <w:name w:val="Closing Char"/>
    <w:basedOn w:val="DefaultParagraphFont"/>
    <w:link w:val="Closing"/>
    <w:uiPriority w:val="99"/>
    <w:semiHidden/>
    <w:rsid w:val="00391EA1"/>
    <w:rPr>
      <w:rFonts w:ascii="Times New Roman" w:eastAsia="MS Mincho" w:hAnsi="Times New Roman" w:cs="Times New Roman"/>
      <w:kern w:val="0"/>
      <w:sz w:val="24"/>
      <w:szCs w:val="20"/>
      <w:lang w:val="x-none" w:eastAsia="x-none"/>
      <w14:ligatures w14:val="none"/>
    </w:rPr>
  </w:style>
  <w:style w:type="table" w:styleId="ColorfulGrid">
    <w:name w:val="Colorful Grid"/>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391EA1"/>
    <w:rPr>
      <w:sz w:val="16"/>
      <w:szCs w:val="16"/>
    </w:rPr>
  </w:style>
  <w:style w:type="paragraph" w:styleId="CommentText">
    <w:name w:val="annotation text"/>
    <w:basedOn w:val="Normal"/>
    <w:link w:val="CommentTextChar"/>
    <w:uiPriority w:val="99"/>
    <w:semiHidden/>
    <w:rsid w:val="00391EA1"/>
    <w:pPr>
      <w:spacing w:after="0" w:line="240" w:lineRule="auto"/>
      <w:jc w:val="both"/>
    </w:pPr>
    <w:rPr>
      <w:rFonts w:ascii="Times New Roman" w:eastAsia="MS Mincho" w:hAnsi="Times New Roman"/>
      <w:sz w:val="20"/>
      <w:szCs w:val="20"/>
      <w:lang w:val="x-none" w:eastAsia="x-none"/>
    </w:rPr>
  </w:style>
  <w:style w:type="character" w:customStyle="1" w:styleId="CommentTextChar">
    <w:name w:val="Comment Text Char"/>
    <w:basedOn w:val="DefaultParagraphFont"/>
    <w:link w:val="CommentText"/>
    <w:uiPriority w:val="99"/>
    <w:semiHidden/>
    <w:rsid w:val="00391EA1"/>
    <w:rPr>
      <w:rFonts w:ascii="Times New Roman" w:eastAsia="MS Mincho"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semiHidden/>
    <w:rsid w:val="00391EA1"/>
    <w:rPr>
      <w:b/>
      <w:bCs/>
    </w:rPr>
  </w:style>
  <w:style w:type="character" w:customStyle="1" w:styleId="CommentSubjectChar">
    <w:name w:val="Comment Subject Char"/>
    <w:basedOn w:val="CommentTextChar"/>
    <w:link w:val="CommentSubject"/>
    <w:uiPriority w:val="99"/>
    <w:semiHidden/>
    <w:rsid w:val="00391EA1"/>
    <w:rPr>
      <w:rFonts w:ascii="Times New Roman" w:eastAsia="MS Mincho" w:hAnsi="Times New Roman" w:cs="Times New Roman"/>
      <w:b/>
      <w:bCs/>
      <w:kern w:val="0"/>
      <w:sz w:val="20"/>
      <w:szCs w:val="20"/>
      <w:lang w:val="x-none" w:eastAsia="x-none"/>
      <w14:ligatures w14:val="none"/>
    </w:rPr>
  </w:style>
  <w:style w:type="table" w:styleId="DarkList">
    <w:name w:val="Dark List"/>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DateChar">
    <w:name w:val="Date Char"/>
    <w:basedOn w:val="DefaultParagraphFont"/>
    <w:link w:val="Date"/>
    <w:uiPriority w:val="99"/>
    <w:semiHidden/>
    <w:rsid w:val="00391EA1"/>
    <w:rPr>
      <w:rFonts w:ascii="Times New Roman" w:eastAsia="MS Mincho" w:hAnsi="Times New Roman" w:cs="Times New Roman"/>
      <w:kern w:val="0"/>
      <w:sz w:val="24"/>
      <w:szCs w:val="20"/>
      <w:lang w:val="x-none" w:eastAsia="x-none"/>
      <w14:ligatures w14:val="none"/>
    </w:rPr>
  </w:style>
  <w:style w:type="paragraph" w:styleId="DocumentMap">
    <w:name w:val="Document Map"/>
    <w:basedOn w:val="Normal"/>
    <w:link w:val="DocumentMapChar"/>
    <w:uiPriority w:val="99"/>
    <w:semiHidden/>
    <w:rsid w:val="00391EA1"/>
    <w:pPr>
      <w:spacing w:after="0" w:line="240" w:lineRule="auto"/>
      <w:jc w:val="both"/>
    </w:pPr>
    <w:rPr>
      <w:rFonts w:ascii="Tahoma" w:eastAsia="MS Mincho" w:hAnsi="Tahoma"/>
      <w:sz w:val="16"/>
      <w:szCs w:val="16"/>
      <w:lang w:val="x-none" w:eastAsia="x-none"/>
    </w:rPr>
  </w:style>
  <w:style w:type="character" w:customStyle="1" w:styleId="DocumentMapChar">
    <w:name w:val="Document Map Char"/>
    <w:basedOn w:val="DefaultParagraphFont"/>
    <w:link w:val="DocumentMap"/>
    <w:uiPriority w:val="99"/>
    <w:semiHidden/>
    <w:rsid w:val="00391EA1"/>
    <w:rPr>
      <w:rFonts w:ascii="Tahoma" w:eastAsia="MS Mincho" w:hAnsi="Tahoma" w:cs="Times New Roman"/>
      <w:kern w:val="0"/>
      <w:sz w:val="16"/>
      <w:szCs w:val="16"/>
      <w:lang w:val="x-none" w:eastAsia="x-none"/>
      <w14:ligatures w14:val="none"/>
    </w:rPr>
  </w:style>
  <w:style w:type="paragraph" w:styleId="E-mailSignature">
    <w:name w:val="E-mail Signature"/>
    <w:basedOn w:val="Normal"/>
    <w:link w:val="E-mailSignatur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E-mailSignatureChar">
    <w:name w:val="E-mail Signature Char"/>
    <w:basedOn w:val="DefaultParagraphFont"/>
    <w:link w:val="E-mailSignature"/>
    <w:uiPriority w:val="99"/>
    <w:semiHidden/>
    <w:rsid w:val="00391EA1"/>
    <w:rPr>
      <w:rFonts w:ascii="Times New Roman" w:eastAsia="MS Mincho" w:hAnsi="Times New Roman" w:cs="Times New Roman"/>
      <w:kern w:val="0"/>
      <w:sz w:val="24"/>
      <w:szCs w:val="20"/>
      <w:lang w:val="x-none" w:eastAsia="x-none"/>
      <w14:ligatures w14:val="none"/>
    </w:rPr>
  </w:style>
  <w:style w:type="character" w:styleId="EndnoteReference">
    <w:name w:val="endnote reference"/>
    <w:uiPriority w:val="99"/>
    <w:semiHidden/>
    <w:rsid w:val="00391EA1"/>
    <w:rPr>
      <w:vertAlign w:val="superscript"/>
    </w:rPr>
  </w:style>
  <w:style w:type="paragraph" w:styleId="EndnoteText">
    <w:name w:val="endnote text"/>
    <w:basedOn w:val="Normal"/>
    <w:link w:val="EndnoteTextChar"/>
    <w:uiPriority w:val="99"/>
    <w:semiHidden/>
    <w:rsid w:val="00391EA1"/>
    <w:pPr>
      <w:spacing w:after="0" w:line="240" w:lineRule="auto"/>
      <w:jc w:val="both"/>
    </w:pPr>
    <w:rPr>
      <w:rFonts w:ascii="Times New Roman" w:eastAsia="MS Mincho" w:hAnsi="Times New Roman"/>
      <w:sz w:val="20"/>
      <w:szCs w:val="20"/>
      <w:lang w:val="en-GB" w:eastAsia="x-none"/>
    </w:rPr>
  </w:style>
  <w:style w:type="character" w:customStyle="1" w:styleId="EndnoteTextChar">
    <w:name w:val="Endnote Text Char"/>
    <w:basedOn w:val="DefaultParagraphFont"/>
    <w:link w:val="EndnoteText"/>
    <w:uiPriority w:val="99"/>
    <w:semiHidden/>
    <w:rsid w:val="00391EA1"/>
    <w:rPr>
      <w:rFonts w:ascii="Times New Roman" w:eastAsia="MS Mincho" w:hAnsi="Times New Roman" w:cs="Times New Roman"/>
      <w:kern w:val="0"/>
      <w:sz w:val="20"/>
      <w:szCs w:val="20"/>
      <w:lang w:val="en-GB" w:eastAsia="x-none"/>
      <w14:ligatures w14:val="none"/>
    </w:rPr>
  </w:style>
  <w:style w:type="paragraph" w:styleId="EnvelopeAddress">
    <w:name w:val="envelope address"/>
    <w:basedOn w:val="Normal"/>
    <w:uiPriority w:val="99"/>
    <w:semiHidden/>
    <w:rsid w:val="00391EA1"/>
    <w:pPr>
      <w:framePr w:w="7938" w:h="1985" w:hRule="exact" w:hSpace="141" w:wrap="auto" w:hAnchor="page" w:xAlign="center" w:yAlign="bottom"/>
      <w:spacing w:after="0" w:line="240" w:lineRule="auto"/>
      <w:ind w:left="2835"/>
      <w:jc w:val="both"/>
    </w:pPr>
    <w:rPr>
      <w:rFonts w:ascii="Times New Roman" w:eastAsia="MS Gothic" w:hAnsi="Times New Roman"/>
      <w:sz w:val="24"/>
      <w:szCs w:val="24"/>
      <w:lang w:val="en-GB"/>
    </w:rPr>
  </w:style>
  <w:style w:type="paragraph" w:styleId="EnvelopeReturn">
    <w:name w:val="envelope return"/>
    <w:basedOn w:val="Normal"/>
    <w:uiPriority w:val="99"/>
    <w:semiHidden/>
    <w:rsid w:val="00391EA1"/>
    <w:pPr>
      <w:spacing w:after="0" w:line="240" w:lineRule="auto"/>
      <w:jc w:val="both"/>
    </w:pPr>
    <w:rPr>
      <w:rFonts w:ascii="Times New Roman" w:eastAsia="MS Gothic" w:hAnsi="Times New Roman"/>
      <w:sz w:val="20"/>
      <w:szCs w:val="20"/>
      <w:lang w:val="en-GB"/>
    </w:rPr>
  </w:style>
  <w:style w:type="character" w:styleId="FollowedHyperlink">
    <w:name w:val="FollowedHyperlink"/>
    <w:uiPriority w:val="99"/>
    <w:semiHidden/>
    <w:rsid w:val="00391EA1"/>
    <w:rPr>
      <w:color w:val="7030A0"/>
      <w:u w:val="single"/>
    </w:rPr>
  </w:style>
  <w:style w:type="character" w:styleId="HTMLAcronym">
    <w:name w:val="HTML Acronym"/>
    <w:basedOn w:val="DefaultParagraphFont"/>
    <w:uiPriority w:val="99"/>
    <w:semiHidden/>
    <w:rsid w:val="00391EA1"/>
  </w:style>
  <w:style w:type="paragraph" w:styleId="HTMLAddress">
    <w:name w:val="HTML Address"/>
    <w:basedOn w:val="Normal"/>
    <w:link w:val="HTMLAddressChar"/>
    <w:uiPriority w:val="99"/>
    <w:semiHidden/>
    <w:rsid w:val="00391EA1"/>
    <w:pPr>
      <w:spacing w:after="0" w:line="240" w:lineRule="auto"/>
      <w:jc w:val="both"/>
    </w:pPr>
    <w:rPr>
      <w:rFonts w:ascii="Times New Roman" w:eastAsia="MS Mincho" w:hAnsi="Times New Roman"/>
      <w:i/>
      <w:iCs/>
      <w:sz w:val="24"/>
      <w:szCs w:val="20"/>
      <w:lang w:val="x-none" w:eastAsia="x-none"/>
    </w:rPr>
  </w:style>
  <w:style w:type="character" w:customStyle="1" w:styleId="HTMLAddressChar">
    <w:name w:val="HTML Address Char"/>
    <w:basedOn w:val="DefaultParagraphFont"/>
    <w:link w:val="HTMLAddress"/>
    <w:uiPriority w:val="99"/>
    <w:semiHidden/>
    <w:rsid w:val="00391EA1"/>
    <w:rPr>
      <w:rFonts w:ascii="Times New Roman" w:eastAsia="MS Mincho" w:hAnsi="Times New Roman" w:cs="Times New Roman"/>
      <w:i/>
      <w:iCs/>
      <w:kern w:val="0"/>
      <w:sz w:val="24"/>
      <w:szCs w:val="20"/>
      <w:lang w:val="x-none" w:eastAsia="x-none"/>
      <w14:ligatures w14:val="none"/>
    </w:rPr>
  </w:style>
  <w:style w:type="character" w:styleId="HTMLCite">
    <w:name w:val="HTML Cite"/>
    <w:uiPriority w:val="99"/>
    <w:semiHidden/>
    <w:rsid w:val="00391EA1"/>
    <w:rPr>
      <w:i/>
      <w:iCs/>
    </w:rPr>
  </w:style>
  <w:style w:type="character" w:styleId="HTMLCode">
    <w:name w:val="HTML Code"/>
    <w:uiPriority w:val="99"/>
    <w:semiHidden/>
    <w:rsid w:val="00391EA1"/>
    <w:rPr>
      <w:rFonts w:ascii="Consolas" w:hAnsi="Consolas" w:cs="Consolas"/>
      <w:sz w:val="20"/>
      <w:szCs w:val="20"/>
    </w:rPr>
  </w:style>
  <w:style w:type="character" w:styleId="HTMLDefinition">
    <w:name w:val="HTML Definition"/>
    <w:uiPriority w:val="99"/>
    <w:semiHidden/>
    <w:rsid w:val="00391EA1"/>
    <w:rPr>
      <w:i/>
      <w:iCs/>
    </w:rPr>
  </w:style>
  <w:style w:type="character" w:styleId="HTMLKeyboard">
    <w:name w:val="HTML Keyboard"/>
    <w:uiPriority w:val="99"/>
    <w:semiHidden/>
    <w:rsid w:val="00391EA1"/>
    <w:rPr>
      <w:rFonts w:ascii="Consolas" w:hAnsi="Consolas" w:cs="Consolas"/>
      <w:sz w:val="20"/>
      <w:szCs w:val="20"/>
    </w:rPr>
  </w:style>
  <w:style w:type="paragraph" w:styleId="HTMLPreformatted">
    <w:name w:val="HTML Preformatted"/>
    <w:basedOn w:val="Normal"/>
    <w:link w:val="HTMLPreformattedChar"/>
    <w:uiPriority w:val="99"/>
    <w:semiHidden/>
    <w:rsid w:val="00391EA1"/>
    <w:pPr>
      <w:spacing w:after="0" w:line="240" w:lineRule="auto"/>
      <w:jc w:val="both"/>
    </w:pPr>
    <w:rPr>
      <w:rFonts w:ascii="Consolas" w:eastAsia="MS Mincho" w:hAnsi="Consolas"/>
      <w:sz w:val="20"/>
      <w:szCs w:val="20"/>
      <w:lang w:val="x-none" w:eastAsia="x-none"/>
    </w:rPr>
  </w:style>
  <w:style w:type="character" w:customStyle="1" w:styleId="HTMLPreformattedChar">
    <w:name w:val="HTML Preformatted Char"/>
    <w:basedOn w:val="DefaultParagraphFont"/>
    <w:link w:val="HTMLPreformatted"/>
    <w:uiPriority w:val="99"/>
    <w:semiHidden/>
    <w:rsid w:val="00391EA1"/>
    <w:rPr>
      <w:rFonts w:ascii="Consolas" w:eastAsia="MS Mincho" w:hAnsi="Consolas" w:cs="Times New Roman"/>
      <w:kern w:val="0"/>
      <w:sz w:val="20"/>
      <w:szCs w:val="20"/>
      <w:lang w:val="x-none" w:eastAsia="x-none"/>
      <w14:ligatures w14:val="none"/>
    </w:rPr>
  </w:style>
  <w:style w:type="character" w:styleId="HTMLSample">
    <w:name w:val="HTML Sample"/>
    <w:uiPriority w:val="99"/>
    <w:semiHidden/>
    <w:rsid w:val="00391EA1"/>
    <w:rPr>
      <w:rFonts w:ascii="Consolas" w:hAnsi="Consolas" w:cs="Consolas"/>
      <w:sz w:val="24"/>
      <w:szCs w:val="24"/>
    </w:rPr>
  </w:style>
  <w:style w:type="character" w:styleId="HTMLTypewriter">
    <w:name w:val="HTML Typewriter"/>
    <w:uiPriority w:val="99"/>
    <w:semiHidden/>
    <w:rsid w:val="00391EA1"/>
    <w:rPr>
      <w:rFonts w:ascii="Consolas" w:hAnsi="Consolas" w:cs="Consolas"/>
      <w:sz w:val="20"/>
      <w:szCs w:val="20"/>
    </w:rPr>
  </w:style>
  <w:style w:type="character" w:styleId="HTMLVariable">
    <w:name w:val="HTML Variable"/>
    <w:uiPriority w:val="99"/>
    <w:semiHidden/>
    <w:rsid w:val="00391EA1"/>
    <w:rPr>
      <w:i/>
      <w:iCs/>
    </w:rPr>
  </w:style>
  <w:style w:type="paragraph" w:styleId="Index1">
    <w:name w:val="index 1"/>
    <w:basedOn w:val="Normal"/>
    <w:next w:val="Normal"/>
    <w:autoRedefine/>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Index2">
    <w:name w:val="index 2"/>
    <w:basedOn w:val="Normal"/>
    <w:next w:val="Normal"/>
    <w:autoRedefine/>
    <w:uiPriority w:val="99"/>
    <w:semiHidden/>
    <w:rsid w:val="00391EA1"/>
    <w:pPr>
      <w:spacing w:after="0" w:line="240" w:lineRule="auto"/>
      <w:ind w:left="480" w:hanging="240"/>
      <w:jc w:val="both"/>
    </w:pPr>
    <w:rPr>
      <w:rFonts w:ascii="Times New Roman" w:eastAsia="MS Mincho" w:hAnsi="Times New Roman"/>
      <w:sz w:val="24"/>
      <w:lang w:val="en-GB"/>
    </w:rPr>
  </w:style>
  <w:style w:type="paragraph" w:styleId="Index3">
    <w:name w:val="index 3"/>
    <w:basedOn w:val="Normal"/>
    <w:next w:val="Normal"/>
    <w:autoRedefine/>
    <w:uiPriority w:val="99"/>
    <w:semiHidden/>
    <w:rsid w:val="00391EA1"/>
    <w:pPr>
      <w:spacing w:after="0" w:line="240" w:lineRule="auto"/>
      <w:ind w:left="720" w:hanging="240"/>
      <w:jc w:val="both"/>
    </w:pPr>
    <w:rPr>
      <w:rFonts w:ascii="Times New Roman" w:eastAsia="MS Mincho" w:hAnsi="Times New Roman"/>
      <w:sz w:val="24"/>
      <w:lang w:val="en-GB"/>
    </w:rPr>
  </w:style>
  <w:style w:type="paragraph" w:styleId="Index4">
    <w:name w:val="index 4"/>
    <w:basedOn w:val="Normal"/>
    <w:next w:val="Normal"/>
    <w:autoRedefine/>
    <w:uiPriority w:val="99"/>
    <w:semiHidden/>
    <w:rsid w:val="00391EA1"/>
    <w:pPr>
      <w:spacing w:after="0" w:line="240" w:lineRule="auto"/>
      <w:ind w:left="960" w:hanging="240"/>
      <w:jc w:val="both"/>
    </w:pPr>
    <w:rPr>
      <w:rFonts w:ascii="Times New Roman" w:eastAsia="MS Mincho" w:hAnsi="Times New Roman"/>
      <w:sz w:val="24"/>
      <w:lang w:val="en-GB"/>
    </w:rPr>
  </w:style>
  <w:style w:type="paragraph" w:styleId="Index5">
    <w:name w:val="index 5"/>
    <w:basedOn w:val="Normal"/>
    <w:next w:val="Normal"/>
    <w:autoRedefine/>
    <w:uiPriority w:val="99"/>
    <w:semiHidden/>
    <w:rsid w:val="00391EA1"/>
    <w:pPr>
      <w:spacing w:after="0" w:line="240" w:lineRule="auto"/>
      <w:ind w:left="1200" w:hanging="240"/>
      <w:jc w:val="both"/>
    </w:pPr>
    <w:rPr>
      <w:rFonts w:ascii="Times New Roman" w:eastAsia="MS Mincho" w:hAnsi="Times New Roman"/>
      <w:sz w:val="24"/>
      <w:lang w:val="en-GB"/>
    </w:rPr>
  </w:style>
  <w:style w:type="paragraph" w:styleId="Index6">
    <w:name w:val="index 6"/>
    <w:basedOn w:val="Normal"/>
    <w:next w:val="Normal"/>
    <w:autoRedefine/>
    <w:uiPriority w:val="99"/>
    <w:semiHidden/>
    <w:rsid w:val="00391EA1"/>
    <w:pPr>
      <w:spacing w:after="0" w:line="240" w:lineRule="auto"/>
      <w:ind w:left="1440" w:hanging="240"/>
      <w:jc w:val="both"/>
    </w:pPr>
    <w:rPr>
      <w:rFonts w:ascii="Times New Roman" w:eastAsia="MS Mincho" w:hAnsi="Times New Roman"/>
      <w:sz w:val="24"/>
      <w:lang w:val="en-GB"/>
    </w:rPr>
  </w:style>
  <w:style w:type="paragraph" w:styleId="Index7">
    <w:name w:val="index 7"/>
    <w:basedOn w:val="Normal"/>
    <w:next w:val="Normal"/>
    <w:autoRedefine/>
    <w:uiPriority w:val="99"/>
    <w:semiHidden/>
    <w:rsid w:val="00391EA1"/>
    <w:pPr>
      <w:spacing w:after="0" w:line="240" w:lineRule="auto"/>
      <w:ind w:left="1680" w:hanging="240"/>
      <w:jc w:val="both"/>
    </w:pPr>
    <w:rPr>
      <w:rFonts w:ascii="Times New Roman" w:eastAsia="MS Mincho" w:hAnsi="Times New Roman"/>
      <w:sz w:val="24"/>
      <w:lang w:val="en-GB"/>
    </w:rPr>
  </w:style>
  <w:style w:type="paragraph" w:styleId="Index8">
    <w:name w:val="index 8"/>
    <w:basedOn w:val="Normal"/>
    <w:next w:val="Normal"/>
    <w:autoRedefine/>
    <w:uiPriority w:val="99"/>
    <w:semiHidden/>
    <w:rsid w:val="00391EA1"/>
    <w:pPr>
      <w:spacing w:after="0" w:line="240" w:lineRule="auto"/>
      <w:ind w:left="1920" w:hanging="240"/>
      <w:jc w:val="both"/>
    </w:pPr>
    <w:rPr>
      <w:rFonts w:ascii="Times New Roman" w:eastAsia="MS Mincho" w:hAnsi="Times New Roman"/>
      <w:sz w:val="24"/>
      <w:lang w:val="en-GB"/>
    </w:rPr>
  </w:style>
  <w:style w:type="paragraph" w:styleId="Index9">
    <w:name w:val="index 9"/>
    <w:basedOn w:val="Normal"/>
    <w:next w:val="Normal"/>
    <w:autoRedefine/>
    <w:uiPriority w:val="99"/>
    <w:semiHidden/>
    <w:rsid w:val="00391EA1"/>
    <w:pPr>
      <w:spacing w:after="0" w:line="240" w:lineRule="auto"/>
      <w:ind w:left="2160" w:hanging="240"/>
      <w:jc w:val="both"/>
    </w:pPr>
    <w:rPr>
      <w:rFonts w:ascii="Times New Roman" w:eastAsia="MS Mincho" w:hAnsi="Times New Roman"/>
      <w:sz w:val="24"/>
      <w:lang w:val="en-GB"/>
    </w:rPr>
  </w:style>
  <w:style w:type="paragraph" w:styleId="IndexHeading">
    <w:name w:val="index heading"/>
    <w:basedOn w:val="Normal"/>
    <w:next w:val="Index1"/>
    <w:uiPriority w:val="99"/>
    <w:semiHidden/>
    <w:rsid w:val="00391EA1"/>
    <w:pPr>
      <w:spacing w:after="0" w:line="240" w:lineRule="auto"/>
      <w:jc w:val="both"/>
    </w:pPr>
    <w:rPr>
      <w:rFonts w:ascii="Times New Roman" w:eastAsia="MS Gothic" w:hAnsi="Times New Roman"/>
      <w:b/>
      <w:bCs/>
      <w:sz w:val="24"/>
      <w:lang w:val="en-GB"/>
    </w:rPr>
  </w:style>
  <w:style w:type="table" w:styleId="LightGrid">
    <w:name w:val="Light Grid"/>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91EA1"/>
    <w:pPr>
      <w:spacing w:after="0" w:line="240" w:lineRule="auto"/>
    </w:pPr>
    <w:rPr>
      <w:rFonts w:ascii="Times New Roman" w:eastAsia="Times New Roman" w:hAnsi="Times New Roman" w:cs="Times New Roman"/>
      <w:color w:val="00548C"/>
      <w:kern w:val="0"/>
      <w:sz w:val="20"/>
      <w:szCs w:val="20"/>
      <w14:ligatures w14:val="none"/>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391EA1"/>
    <w:pPr>
      <w:spacing w:after="0" w:line="240" w:lineRule="auto"/>
    </w:pPr>
    <w:rPr>
      <w:rFonts w:ascii="Times New Roman" w:eastAsia="Times New Roman" w:hAnsi="Times New Roman" w:cs="Times New Roman"/>
      <w:color w:val="8F0000"/>
      <w:kern w:val="0"/>
      <w:sz w:val="20"/>
      <w:szCs w:val="20"/>
      <w14:ligatures w14:val="none"/>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391EA1"/>
    <w:pPr>
      <w:spacing w:after="0" w:line="240" w:lineRule="auto"/>
    </w:pPr>
    <w:rPr>
      <w:rFonts w:ascii="Times New Roman" w:eastAsia="Times New Roman" w:hAnsi="Times New Roman" w:cs="Times New Roman"/>
      <w:color w:val="707070"/>
      <w:kern w:val="0"/>
      <w:sz w:val="20"/>
      <w:szCs w:val="20"/>
      <w14:ligatures w14:val="none"/>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391EA1"/>
    <w:pPr>
      <w:spacing w:after="0" w:line="240" w:lineRule="auto"/>
    </w:pPr>
    <w:rPr>
      <w:rFonts w:ascii="Times New Roman" w:eastAsia="Times New Roman" w:hAnsi="Times New Roman" w:cs="Times New Roman"/>
      <w:color w:val="393939"/>
      <w:kern w:val="0"/>
      <w:sz w:val="20"/>
      <w:szCs w:val="20"/>
      <w14:ligatures w14:val="none"/>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391EA1"/>
  </w:style>
  <w:style w:type="paragraph" w:styleId="List">
    <w:name w:val="List"/>
    <w:basedOn w:val="Normal"/>
    <w:uiPriority w:val="99"/>
    <w:semiHidden/>
    <w:rsid w:val="00391EA1"/>
    <w:pPr>
      <w:spacing w:after="0" w:line="240" w:lineRule="auto"/>
      <w:ind w:left="283" w:hanging="283"/>
      <w:contextualSpacing/>
      <w:jc w:val="both"/>
    </w:pPr>
    <w:rPr>
      <w:rFonts w:ascii="Times New Roman" w:eastAsia="MS Mincho" w:hAnsi="Times New Roman"/>
      <w:sz w:val="24"/>
      <w:lang w:val="en-GB"/>
    </w:rPr>
  </w:style>
  <w:style w:type="paragraph" w:styleId="List2">
    <w:name w:val="List 2"/>
    <w:basedOn w:val="Normal"/>
    <w:uiPriority w:val="99"/>
    <w:semiHidden/>
    <w:rsid w:val="00391EA1"/>
    <w:pPr>
      <w:spacing w:after="0" w:line="240" w:lineRule="auto"/>
      <w:ind w:left="566" w:hanging="283"/>
      <w:contextualSpacing/>
      <w:jc w:val="both"/>
    </w:pPr>
    <w:rPr>
      <w:rFonts w:ascii="Times New Roman" w:eastAsia="MS Mincho" w:hAnsi="Times New Roman"/>
      <w:sz w:val="24"/>
      <w:lang w:val="en-GB"/>
    </w:rPr>
  </w:style>
  <w:style w:type="paragraph" w:styleId="List3">
    <w:name w:val="List 3"/>
    <w:basedOn w:val="Normal"/>
    <w:uiPriority w:val="99"/>
    <w:semiHidden/>
    <w:rsid w:val="00391EA1"/>
    <w:pPr>
      <w:spacing w:after="0" w:line="240" w:lineRule="auto"/>
      <w:ind w:left="849" w:hanging="283"/>
      <w:contextualSpacing/>
      <w:jc w:val="both"/>
    </w:pPr>
    <w:rPr>
      <w:rFonts w:ascii="Times New Roman" w:eastAsia="MS Mincho" w:hAnsi="Times New Roman"/>
      <w:sz w:val="24"/>
      <w:lang w:val="en-GB"/>
    </w:rPr>
  </w:style>
  <w:style w:type="paragraph" w:styleId="List4">
    <w:name w:val="List 4"/>
    <w:basedOn w:val="Normal"/>
    <w:uiPriority w:val="99"/>
    <w:semiHidden/>
    <w:rsid w:val="00391EA1"/>
    <w:pPr>
      <w:spacing w:after="0" w:line="240" w:lineRule="auto"/>
      <w:ind w:left="1132" w:hanging="283"/>
      <w:contextualSpacing/>
      <w:jc w:val="both"/>
    </w:pPr>
    <w:rPr>
      <w:rFonts w:ascii="Times New Roman" w:eastAsia="MS Mincho" w:hAnsi="Times New Roman"/>
      <w:sz w:val="24"/>
      <w:lang w:val="en-GB"/>
    </w:rPr>
  </w:style>
  <w:style w:type="paragraph" w:styleId="List5">
    <w:name w:val="List 5"/>
    <w:basedOn w:val="Normal"/>
    <w:uiPriority w:val="99"/>
    <w:semiHidden/>
    <w:rsid w:val="00391EA1"/>
    <w:pPr>
      <w:spacing w:after="0" w:line="240" w:lineRule="auto"/>
      <w:ind w:left="1415" w:hanging="283"/>
      <w:contextualSpacing/>
      <w:jc w:val="both"/>
    </w:pPr>
    <w:rPr>
      <w:rFonts w:ascii="Times New Roman" w:eastAsia="MS Mincho" w:hAnsi="Times New Roman"/>
      <w:sz w:val="24"/>
      <w:lang w:val="en-GB"/>
    </w:rPr>
  </w:style>
  <w:style w:type="paragraph" w:styleId="ListBullet2">
    <w:name w:val="List Bullet 2"/>
    <w:basedOn w:val="Normal"/>
    <w:uiPriority w:val="99"/>
    <w:semiHidden/>
    <w:rsid w:val="00391EA1"/>
    <w:pPr>
      <w:numPr>
        <w:numId w:val="7"/>
      </w:numPr>
      <w:spacing w:after="0" w:line="240" w:lineRule="auto"/>
      <w:contextualSpacing/>
      <w:jc w:val="both"/>
    </w:pPr>
    <w:rPr>
      <w:rFonts w:ascii="Times New Roman" w:eastAsia="MS Mincho" w:hAnsi="Times New Roman"/>
      <w:sz w:val="24"/>
      <w:lang w:val="en-GB"/>
    </w:rPr>
  </w:style>
  <w:style w:type="paragraph" w:styleId="ListBullet4">
    <w:name w:val="List Bullet 4"/>
    <w:basedOn w:val="Normal"/>
    <w:uiPriority w:val="99"/>
    <w:semiHidden/>
    <w:rsid w:val="00391EA1"/>
    <w:pPr>
      <w:numPr>
        <w:numId w:val="8"/>
      </w:numPr>
      <w:spacing w:after="0" w:line="240" w:lineRule="auto"/>
      <w:contextualSpacing/>
      <w:jc w:val="both"/>
    </w:pPr>
    <w:rPr>
      <w:rFonts w:ascii="Times New Roman" w:eastAsia="MS Mincho" w:hAnsi="Times New Roman"/>
      <w:sz w:val="24"/>
      <w:lang w:val="en-GB"/>
    </w:rPr>
  </w:style>
  <w:style w:type="paragraph" w:styleId="ListBullet5">
    <w:name w:val="List Bullet 5"/>
    <w:basedOn w:val="Normal"/>
    <w:uiPriority w:val="99"/>
    <w:semiHidden/>
    <w:rsid w:val="00391EA1"/>
    <w:pPr>
      <w:numPr>
        <w:numId w:val="9"/>
      </w:numPr>
      <w:spacing w:after="0" w:line="240" w:lineRule="auto"/>
      <w:contextualSpacing/>
      <w:jc w:val="both"/>
    </w:pPr>
    <w:rPr>
      <w:rFonts w:ascii="Times New Roman" w:eastAsia="MS Mincho" w:hAnsi="Times New Roman"/>
      <w:sz w:val="24"/>
      <w:lang w:val="en-GB"/>
    </w:rPr>
  </w:style>
  <w:style w:type="paragraph" w:styleId="ListContinue">
    <w:name w:val="List Continue"/>
    <w:basedOn w:val="Normal"/>
    <w:uiPriority w:val="99"/>
    <w:semiHidden/>
    <w:rsid w:val="00391EA1"/>
    <w:pPr>
      <w:spacing w:after="120" w:line="240" w:lineRule="auto"/>
      <w:ind w:left="283"/>
      <w:contextualSpacing/>
      <w:jc w:val="both"/>
    </w:pPr>
    <w:rPr>
      <w:rFonts w:ascii="Times New Roman" w:eastAsia="MS Mincho" w:hAnsi="Times New Roman"/>
      <w:sz w:val="24"/>
      <w:lang w:val="en-GB"/>
    </w:rPr>
  </w:style>
  <w:style w:type="paragraph" w:styleId="ListContinue2">
    <w:name w:val="List Continue 2"/>
    <w:basedOn w:val="Normal"/>
    <w:uiPriority w:val="99"/>
    <w:semiHidden/>
    <w:rsid w:val="00391EA1"/>
    <w:pPr>
      <w:spacing w:after="120" w:line="240" w:lineRule="auto"/>
      <w:ind w:left="566"/>
      <w:contextualSpacing/>
      <w:jc w:val="both"/>
    </w:pPr>
    <w:rPr>
      <w:rFonts w:ascii="Times New Roman" w:eastAsia="MS Mincho" w:hAnsi="Times New Roman"/>
      <w:sz w:val="24"/>
      <w:lang w:val="en-GB"/>
    </w:rPr>
  </w:style>
  <w:style w:type="paragraph" w:styleId="ListContinue3">
    <w:name w:val="List Continue 3"/>
    <w:basedOn w:val="Normal"/>
    <w:uiPriority w:val="99"/>
    <w:semiHidden/>
    <w:rsid w:val="00391EA1"/>
    <w:pPr>
      <w:spacing w:after="120" w:line="240" w:lineRule="auto"/>
      <w:ind w:left="849"/>
      <w:contextualSpacing/>
      <w:jc w:val="both"/>
    </w:pPr>
    <w:rPr>
      <w:rFonts w:ascii="Times New Roman" w:eastAsia="MS Mincho" w:hAnsi="Times New Roman"/>
      <w:sz w:val="24"/>
      <w:lang w:val="en-GB"/>
    </w:rPr>
  </w:style>
  <w:style w:type="paragraph" w:styleId="ListContinue4">
    <w:name w:val="List Continue 4"/>
    <w:basedOn w:val="Normal"/>
    <w:uiPriority w:val="99"/>
    <w:semiHidden/>
    <w:rsid w:val="00391EA1"/>
    <w:pPr>
      <w:spacing w:after="120" w:line="240" w:lineRule="auto"/>
      <w:ind w:left="1132"/>
      <w:contextualSpacing/>
      <w:jc w:val="both"/>
    </w:pPr>
    <w:rPr>
      <w:rFonts w:ascii="Times New Roman" w:eastAsia="MS Mincho" w:hAnsi="Times New Roman"/>
      <w:sz w:val="24"/>
      <w:lang w:val="en-GB"/>
    </w:rPr>
  </w:style>
  <w:style w:type="paragraph" w:styleId="ListContinue5">
    <w:name w:val="List Continue 5"/>
    <w:basedOn w:val="Normal"/>
    <w:uiPriority w:val="99"/>
    <w:semiHidden/>
    <w:rsid w:val="00391EA1"/>
    <w:pPr>
      <w:spacing w:after="120" w:line="240" w:lineRule="auto"/>
      <w:ind w:left="1415"/>
      <w:contextualSpacing/>
      <w:jc w:val="both"/>
    </w:pPr>
    <w:rPr>
      <w:rFonts w:ascii="Times New Roman" w:eastAsia="MS Mincho" w:hAnsi="Times New Roman"/>
      <w:sz w:val="24"/>
      <w:lang w:val="en-GB"/>
    </w:rPr>
  </w:style>
  <w:style w:type="paragraph" w:styleId="ListNumber">
    <w:name w:val="List Number"/>
    <w:basedOn w:val="Normal"/>
    <w:uiPriority w:val="99"/>
    <w:semiHidden/>
    <w:rsid w:val="00391EA1"/>
    <w:pPr>
      <w:numPr>
        <w:numId w:val="10"/>
      </w:numPr>
      <w:spacing w:after="0" w:line="240" w:lineRule="auto"/>
      <w:contextualSpacing/>
      <w:jc w:val="both"/>
    </w:pPr>
    <w:rPr>
      <w:rFonts w:ascii="Times New Roman" w:eastAsia="MS Mincho" w:hAnsi="Times New Roman"/>
      <w:sz w:val="24"/>
      <w:lang w:val="en-GB"/>
    </w:rPr>
  </w:style>
  <w:style w:type="paragraph" w:styleId="ListNumber2">
    <w:name w:val="List Number 2"/>
    <w:basedOn w:val="Normal"/>
    <w:uiPriority w:val="99"/>
    <w:semiHidden/>
    <w:rsid w:val="00391EA1"/>
    <w:pPr>
      <w:numPr>
        <w:numId w:val="11"/>
      </w:numPr>
      <w:spacing w:after="0" w:line="240" w:lineRule="auto"/>
      <w:contextualSpacing/>
      <w:jc w:val="both"/>
    </w:pPr>
    <w:rPr>
      <w:rFonts w:ascii="Times New Roman" w:eastAsia="MS Mincho" w:hAnsi="Times New Roman"/>
      <w:sz w:val="24"/>
      <w:lang w:val="en-GB"/>
    </w:rPr>
  </w:style>
  <w:style w:type="paragraph" w:styleId="ListNumber3">
    <w:name w:val="List Number 3"/>
    <w:basedOn w:val="Normal"/>
    <w:uiPriority w:val="99"/>
    <w:semiHidden/>
    <w:rsid w:val="00391EA1"/>
    <w:pPr>
      <w:numPr>
        <w:numId w:val="12"/>
      </w:numPr>
      <w:spacing w:after="0" w:line="240" w:lineRule="auto"/>
      <w:contextualSpacing/>
      <w:jc w:val="both"/>
    </w:pPr>
    <w:rPr>
      <w:rFonts w:ascii="Times New Roman" w:eastAsia="MS Mincho" w:hAnsi="Times New Roman"/>
      <w:sz w:val="24"/>
      <w:lang w:val="en-GB"/>
    </w:rPr>
  </w:style>
  <w:style w:type="paragraph" w:styleId="ListNumber4">
    <w:name w:val="List Number 4"/>
    <w:basedOn w:val="Normal"/>
    <w:uiPriority w:val="99"/>
    <w:semiHidden/>
    <w:rsid w:val="00391EA1"/>
    <w:pPr>
      <w:numPr>
        <w:numId w:val="13"/>
      </w:numPr>
      <w:spacing w:after="0" w:line="240" w:lineRule="auto"/>
      <w:contextualSpacing/>
      <w:jc w:val="both"/>
    </w:pPr>
    <w:rPr>
      <w:rFonts w:ascii="Times New Roman" w:eastAsia="MS Mincho" w:hAnsi="Times New Roman"/>
      <w:sz w:val="24"/>
      <w:lang w:val="en-GB"/>
    </w:rPr>
  </w:style>
  <w:style w:type="paragraph" w:styleId="ListNumber5">
    <w:name w:val="List Number 5"/>
    <w:basedOn w:val="Normal"/>
    <w:uiPriority w:val="99"/>
    <w:semiHidden/>
    <w:rsid w:val="00391EA1"/>
    <w:pPr>
      <w:numPr>
        <w:numId w:val="14"/>
      </w:numPr>
      <w:spacing w:after="0" w:line="240" w:lineRule="auto"/>
      <w:contextualSpacing/>
      <w:jc w:val="both"/>
    </w:pPr>
    <w:rPr>
      <w:rFonts w:ascii="Times New Roman" w:eastAsia="MS Mincho" w:hAnsi="Times New Roman"/>
      <w:sz w:val="24"/>
      <w:lang w:val="en-GB"/>
    </w:rPr>
  </w:style>
  <w:style w:type="paragraph" w:styleId="MacroText">
    <w:name w:val="macro"/>
    <w:link w:val="MacroTextChar"/>
    <w:uiPriority w:val="99"/>
    <w:semiHidden/>
    <w:rsid w:val="00391EA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391EA1"/>
    <w:rPr>
      <w:rFonts w:ascii="Consolas" w:eastAsia="MS Mincho" w:hAnsi="Consolas" w:cs="Consolas"/>
      <w:kern w:val="0"/>
      <w:sz w:val="20"/>
      <w:szCs w:val="20"/>
      <w14:ligatures w14:val="none"/>
    </w:rPr>
  </w:style>
  <w:style w:type="table" w:styleId="MediumGrid1">
    <w:name w:val="Medium Grid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EA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sz w:val="24"/>
      <w:szCs w:val="24"/>
      <w:lang w:val="x-none" w:eastAsia="x-none"/>
    </w:rPr>
  </w:style>
  <w:style w:type="character" w:customStyle="1" w:styleId="MessageHeaderChar">
    <w:name w:val="Message Header Char"/>
    <w:basedOn w:val="DefaultParagraphFont"/>
    <w:link w:val="MessageHeader"/>
    <w:uiPriority w:val="99"/>
    <w:semiHidden/>
    <w:rsid w:val="00391EA1"/>
    <w:rPr>
      <w:rFonts w:ascii="Times New Roman" w:eastAsia="MS Gothic" w:hAnsi="Times New Roman" w:cs="Times New Roman"/>
      <w:kern w:val="0"/>
      <w:sz w:val="24"/>
      <w:szCs w:val="24"/>
      <w:shd w:val="pct20" w:color="auto" w:fill="auto"/>
      <w:lang w:val="x-none" w:eastAsia="x-none"/>
      <w14:ligatures w14:val="none"/>
    </w:rPr>
  </w:style>
  <w:style w:type="paragraph" w:styleId="NormalWeb">
    <w:name w:val="Normal (Web)"/>
    <w:basedOn w:val="Normal"/>
    <w:uiPriority w:val="99"/>
    <w:semiHidden/>
    <w:rsid w:val="00391EA1"/>
    <w:pPr>
      <w:spacing w:after="0" w:line="240" w:lineRule="auto"/>
      <w:jc w:val="both"/>
    </w:pPr>
    <w:rPr>
      <w:rFonts w:ascii="Times New Roman" w:eastAsia="MS Mincho" w:hAnsi="Times New Roman"/>
      <w:sz w:val="24"/>
      <w:szCs w:val="24"/>
      <w:lang w:val="en-GB"/>
    </w:rPr>
  </w:style>
  <w:style w:type="paragraph" w:styleId="NormalIndent">
    <w:name w:val="Normal Indent"/>
    <w:basedOn w:val="Normal"/>
    <w:uiPriority w:val="99"/>
    <w:semiHidden/>
    <w:rsid w:val="00391EA1"/>
    <w:pPr>
      <w:spacing w:after="0" w:line="240" w:lineRule="auto"/>
      <w:ind w:left="720"/>
      <w:jc w:val="both"/>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NoteHeadingChar">
    <w:name w:val="Note Heading Char"/>
    <w:basedOn w:val="DefaultParagraphFont"/>
    <w:link w:val="NoteHeading"/>
    <w:uiPriority w:val="99"/>
    <w:semiHidden/>
    <w:rsid w:val="00391EA1"/>
    <w:rPr>
      <w:rFonts w:ascii="Times New Roman" w:eastAsia="MS Mincho" w:hAnsi="Times New Roman" w:cs="Times New Roman"/>
      <w:kern w:val="0"/>
      <w:sz w:val="24"/>
      <w:szCs w:val="20"/>
      <w:lang w:val="x-none" w:eastAsia="x-none"/>
      <w14:ligatures w14:val="none"/>
    </w:rPr>
  </w:style>
  <w:style w:type="character" w:styleId="PlaceholderText">
    <w:name w:val="Placeholder Text"/>
    <w:uiPriority w:val="99"/>
    <w:semiHidden/>
    <w:rsid w:val="00391EA1"/>
    <w:rPr>
      <w:color w:val="auto"/>
      <w:bdr w:val="none" w:sz="0" w:space="0" w:color="auto"/>
      <w:shd w:val="clear" w:color="auto" w:fill="DFDFDF"/>
    </w:rPr>
  </w:style>
  <w:style w:type="paragraph" w:styleId="PlainText">
    <w:name w:val="Plain Text"/>
    <w:basedOn w:val="Normal"/>
    <w:link w:val="PlainTextChar"/>
    <w:uiPriority w:val="99"/>
    <w:semiHidden/>
    <w:rsid w:val="00391EA1"/>
    <w:pPr>
      <w:spacing w:after="0" w:line="240" w:lineRule="auto"/>
      <w:jc w:val="both"/>
    </w:pPr>
    <w:rPr>
      <w:rFonts w:ascii="Consolas" w:eastAsia="MS Mincho" w:hAnsi="Consolas"/>
      <w:sz w:val="21"/>
      <w:szCs w:val="21"/>
      <w:lang w:val="x-none" w:eastAsia="x-none"/>
    </w:rPr>
  </w:style>
  <w:style w:type="character" w:customStyle="1" w:styleId="PlainTextChar">
    <w:name w:val="Plain Text Char"/>
    <w:basedOn w:val="DefaultParagraphFont"/>
    <w:link w:val="PlainText"/>
    <w:uiPriority w:val="99"/>
    <w:semiHidden/>
    <w:rsid w:val="00391EA1"/>
    <w:rPr>
      <w:rFonts w:ascii="Consolas" w:eastAsia="MS Mincho" w:hAnsi="Consolas" w:cs="Times New Roman"/>
      <w:kern w:val="0"/>
      <w:sz w:val="21"/>
      <w:szCs w:val="21"/>
      <w:lang w:val="x-none" w:eastAsia="x-none"/>
      <w14:ligatures w14:val="none"/>
    </w:rPr>
  </w:style>
  <w:style w:type="paragraph" w:styleId="Salutation">
    <w:name w:val="Salutation"/>
    <w:basedOn w:val="Normal"/>
    <w:next w:val="Normal"/>
    <w:link w:val="Salutation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SalutationChar">
    <w:name w:val="Salutation Char"/>
    <w:basedOn w:val="DefaultParagraphFont"/>
    <w:link w:val="Salutation"/>
    <w:uiPriority w:val="99"/>
    <w:semiHidden/>
    <w:rsid w:val="00391EA1"/>
    <w:rPr>
      <w:rFonts w:ascii="Times New Roman" w:eastAsia="MS Mincho" w:hAnsi="Times New Roman" w:cs="Times New Roman"/>
      <w:kern w:val="0"/>
      <w:sz w:val="24"/>
      <w:szCs w:val="20"/>
      <w:lang w:val="x-none" w:eastAsia="x-none"/>
      <w14:ligatures w14:val="none"/>
    </w:rPr>
  </w:style>
  <w:style w:type="paragraph" w:styleId="Signature">
    <w:name w:val="Signature"/>
    <w:basedOn w:val="Normal"/>
    <w:link w:val="Signature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SignatureChar">
    <w:name w:val="Signature Char"/>
    <w:basedOn w:val="DefaultParagraphFont"/>
    <w:link w:val="Signature"/>
    <w:uiPriority w:val="99"/>
    <w:semiHidden/>
    <w:rsid w:val="00391EA1"/>
    <w:rPr>
      <w:rFonts w:ascii="Times New Roman" w:eastAsia="MS Mincho" w:hAnsi="Times New Roman" w:cs="Times New Roman"/>
      <w:kern w:val="0"/>
      <w:sz w:val="24"/>
      <w:szCs w:val="20"/>
      <w:lang w:val="x-none" w:eastAsia="x-none"/>
      <w14:ligatures w14:val="none"/>
    </w:rPr>
  </w:style>
  <w:style w:type="table" w:styleId="Table3Deffects1">
    <w:name w:val="Table 3D effects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EA1"/>
    <w:pPr>
      <w:spacing w:after="0" w:line="240" w:lineRule="auto"/>
      <w:jc w:val="both"/>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EA1"/>
    <w:pPr>
      <w:spacing w:after="0" w:line="240" w:lineRule="auto"/>
      <w:jc w:val="both"/>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TableofFigures">
    <w:name w:val="table of figures"/>
    <w:basedOn w:val="Normal"/>
    <w:next w:val="Normal"/>
    <w:uiPriority w:val="99"/>
    <w:semiHidden/>
    <w:rsid w:val="00391EA1"/>
    <w:pPr>
      <w:spacing w:after="0" w:line="240" w:lineRule="auto"/>
      <w:jc w:val="both"/>
    </w:pPr>
    <w:rPr>
      <w:rFonts w:ascii="Times New Roman" w:eastAsia="MS Mincho" w:hAnsi="Times New Roman"/>
      <w:sz w:val="24"/>
      <w:lang w:val="en-GB"/>
    </w:rPr>
  </w:style>
  <w:style w:type="table" w:styleId="TableProfessional">
    <w:name w:val="Table Professional"/>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EA1"/>
    <w:pPr>
      <w:tabs>
        <w:tab w:val="right" w:leader="dot" w:pos="7371"/>
      </w:tabs>
      <w:spacing w:after="60" w:line="240" w:lineRule="exact"/>
      <w:ind w:left="2041" w:right="567" w:hanging="340"/>
      <w:jc w:val="both"/>
    </w:pPr>
    <w:rPr>
      <w:rFonts w:ascii="Times New Roman" w:eastAsia="MS Mincho" w:hAnsi="Times New Roman"/>
      <w:sz w:val="20"/>
      <w:lang w:val="en-GB"/>
    </w:rPr>
  </w:style>
  <w:style w:type="paragraph" w:styleId="TOC7">
    <w:name w:val="toc 7"/>
    <w:basedOn w:val="Normal"/>
    <w:next w:val="Normal"/>
    <w:autoRedefine/>
    <w:uiPriority w:val="99"/>
    <w:semiHidden/>
    <w:rsid w:val="00391EA1"/>
    <w:pPr>
      <w:tabs>
        <w:tab w:val="right" w:leader="dot" w:pos="7371"/>
      </w:tabs>
      <w:spacing w:after="60" w:line="240" w:lineRule="exact"/>
      <w:ind w:left="2381" w:right="567" w:hanging="340"/>
      <w:jc w:val="both"/>
    </w:pPr>
    <w:rPr>
      <w:rFonts w:ascii="Times New Roman" w:eastAsia="MS Mincho" w:hAnsi="Times New Roman"/>
      <w:sz w:val="20"/>
      <w:lang w:val="en-GB"/>
    </w:rPr>
  </w:style>
  <w:style w:type="paragraph" w:styleId="TOC8">
    <w:name w:val="toc 8"/>
    <w:basedOn w:val="Normal"/>
    <w:next w:val="Normal"/>
    <w:autoRedefine/>
    <w:uiPriority w:val="99"/>
    <w:semiHidden/>
    <w:rsid w:val="00391EA1"/>
    <w:pPr>
      <w:spacing w:after="100" w:line="240" w:lineRule="auto"/>
      <w:ind w:left="1680"/>
      <w:jc w:val="both"/>
    </w:pPr>
    <w:rPr>
      <w:rFonts w:ascii="Times New Roman" w:eastAsia="MS Mincho" w:hAnsi="Times New Roman"/>
      <w:sz w:val="24"/>
      <w:lang w:val="en-GB"/>
    </w:rPr>
  </w:style>
  <w:style w:type="paragraph" w:styleId="TOC9">
    <w:name w:val="toc 9"/>
    <w:basedOn w:val="Normal"/>
    <w:next w:val="Normal"/>
    <w:autoRedefine/>
    <w:uiPriority w:val="99"/>
    <w:semiHidden/>
    <w:rsid w:val="00391EA1"/>
    <w:pPr>
      <w:spacing w:after="100" w:line="240" w:lineRule="auto"/>
      <w:ind w:left="1920"/>
      <w:jc w:val="both"/>
    </w:pPr>
    <w:rPr>
      <w:rFonts w:ascii="Times New Roman" w:eastAsia="MS Mincho" w:hAnsi="Times New Roman"/>
      <w:sz w:val="24"/>
      <w:lang w:val="en-GB"/>
    </w:rPr>
  </w:style>
  <w:style w:type="paragraph" w:customStyle="1" w:styleId="OpiPara">
    <w:name w:val="Opi_Para"/>
    <w:basedOn w:val="ECHRPara"/>
    <w:uiPriority w:val="46"/>
    <w:qFormat/>
    <w:rsid w:val="00391EA1"/>
  </w:style>
  <w:style w:type="paragraph" w:customStyle="1" w:styleId="OpiParaSub">
    <w:name w:val="Opi_Para_Sub"/>
    <w:basedOn w:val="JuParaSub"/>
    <w:uiPriority w:val="47"/>
    <w:qFormat/>
    <w:rsid w:val="00391EA1"/>
  </w:style>
  <w:style w:type="paragraph" w:customStyle="1" w:styleId="ECHRFooter">
    <w:name w:val="ECHR_Footer"/>
    <w:aliases w:val="Footer_ECHR"/>
    <w:basedOn w:val="Footer"/>
    <w:uiPriority w:val="57"/>
    <w:semiHidden/>
    <w:rsid w:val="00391EA1"/>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391EA1"/>
    <w:pPr>
      <w:pBdr>
        <w:top w:val="single" w:sz="6" w:space="1" w:color="5F5F5F"/>
      </w:pBdr>
      <w:tabs>
        <w:tab w:val="center" w:pos="4536"/>
        <w:tab w:val="right" w:pos="9696"/>
      </w:tabs>
      <w:spacing w:after="0" w:line="240" w:lineRule="auto"/>
      <w:ind w:left="-680" w:right="-680"/>
    </w:pPr>
    <w:rPr>
      <w:rFonts w:ascii="Times New Roman" w:eastAsia="MS Mincho" w:hAnsi="Times New Roman"/>
      <w:color w:val="5F5F5F"/>
      <w:sz w:val="24"/>
      <w:lang w:val="en-GB"/>
    </w:rPr>
  </w:style>
  <w:style w:type="paragraph" w:customStyle="1" w:styleId="ECHRTitleCentre2">
    <w:name w:val="ECHR_Title_Centre_2"/>
    <w:aliases w:val="Dec_H_Case"/>
    <w:basedOn w:val="Normal"/>
    <w:next w:val="ECHRPara"/>
    <w:uiPriority w:val="8"/>
    <w:semiHidden/>
    <w:qFormat/>
    <w:rsid w:val="00391EA1"/>
    <w:pPr>
      <w:spacing w:after="240" w:line="240" w:lineRule="auto"/>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391EA1"/>
  </w:style>
  <w:style w:type="paragraph" w:customStyle="1" w:styleId="OpiQuotSub">
    <w:name w:val="Opi_Quot_Sub"/>
    <w:basedOn w:val="JuQuotSub"/>
    <w:uiPriority w:val="49"/>
    <w:qFormat/>
    <w:rsid w:val="00391EA1"/>
  </w:style>
  <w:style w:type="paragraph" w:customStyle="1" w:styleId="OpiTranslation">
    <w:name w:val="Opi_Translation"/>
    <w:basedOn w:val="Normal"/>
    <w:next w:val="OpiPara"/>
    <w:uiPriority w:val="40"/>
    <w:qFormat/>
    <w:rsid w:val="00391EA1"/>
    <w:pPr>
      <w:spacing w:after="0" w:line="240" w:lineRule="auto"/>
      <w:jc w:val="center"/>
      <w:outlineLvl w:val="0"/>
    </w:pPr>
    <w:rPr>
      <w:rFonts w:ascii="Times New Roman" w:eastAsia="MS Mincho" w:hAnsi="Times New Roman"/>
      <w:i/>
      <w:sz w:val="24"/>
      <w:lang w:val="en-GB"/>
    </w:rPr>
  </w:style>
  <w:style w:type="character" w:customStyle="1" w:styleId="ECHRParaChar">
    <w:name w:val="ECHR_Para Char"/>
    <w:aliases w:val="Ju_Para Char"/>
    <w:link w:val="ECHRPara"/>
    <w:uiPriority w:val="12"/>
    <w:rsid w:val="00391EA1"/>
    <w:rPr>
      <w:rFonts w:ascii="Times New Roman" w:eastAsia="MS Mincho" w:hAnsi="Times New Roman" w:cs="Times New Roman"/>
      <w:kern w:val="0"/>
      <w:sz w:val="24"/>
      <w:szCs w:val="20"/>
      <w:lang w:val="en-GB" w:eastAsia="x-none"/>
      <w14:ligatures w14:val="none"/>
    </w:rPr>
  </w:style>
  <w:style w:type="paragraph" w:customStyle="1" w:styleId="jupara">
    <w:name w:val="jupara"/>
    <w:basedOn w:val="Normal"/>
    <w:rsid w:val="00391EA1"/>
    <w:pPr>
      <w:spacing w:after="0" w:line="240" w:lineRule="auto"/>
      <w:ind w:firstLine="284"/>
      <w:jc w:val="both"/>
    </w:pPr>
    <w:rPr>
      <w:rFonts w:ascii="Times New Roman" w:hAnsi="Times New Roman"/>
      <w:sz w:val="24"/>
      <w:szCs w:val="24"/>
      <w:lang w:val="en-GB" w:eastAsia="en-GB"/>
    </w:rPr>
  </w:style>
  <w:style w:type="paragraph" w:customStyle="1" w:styleId="jucase0">
    <w:name w:val="jucase"/>
    <w:basedOn w:val="Normal"/>
    <w:rsid w:val="00391EA1"/>
    <w:pPr>
      <w:spacing w:after="0" w:line="240" w:lineRule="auto"/>
      <w:ind w:firstLine="284"/>
      <w:jc w:val="both"/>
    </w:pPr>
    <w:rPr>
      <w:rFonts w:ascii="Times New Roman" w:hAnsi="Times New Roman"/>
      <w:b/>
      <w:bCs/>
      <w:sz w:val="24"/>
      <w:szCs w:val="24"/>
      <w:lang w:val="en-GB" w:eastAsia="en-GB"/>
    </w:rPr>
  </w:style>
  <w:style w:type="paragraph" w:customStyle="1" w:styleId="xp1">
    <w:name w:val="x_p1"/>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1">
    <w:name w:val="x_s1"/>
    <w:rsid w:val="00391EA1"/>
  </w:style>
  <w:style w:type="paragraph" w:customStyle="1" w:styleId="xp2">
    <w:name w:val="x_p2"/>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2">
    <w:name w:val="x_s2"/>
    <w:rsid w:val="00391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672075">
      <w:bodyDiv w:val="1"/>
      <w:marLeft w:val="0"/>
      <w:marRight w:val="0"/>
      <w:marTop w:val="0"/>
      <w:marBottom w:val="0"/>
      <w:divBdr>
        <w:top w:val="none" w:sz="0" w:space="0" w:color="auto"/>
        <w:left w:val="none" w:sz="0" w:space="0" w:color="auto"/>
        <w:bottom w:val="none" w:sz="0" w:space="0" w:color="auto"/>
        <w:right w:val="none" w:sz="0" w:space="0" w:color="auto"/>
      </w:divBdr>
      <w:divsChild>
        <w:div w:id="876544189">
          <w:marLeft w:val="0"/>
          <w:marRight w:val="0"/>
          <w:marTop w:val="0"/>
          <w:marBottom w:val="0"/>
          <w:divBdr>
            <w:top w:val="none" w:sz="0" w:space="0" w:color="auto"/>
            <w:left w:val="none" w:sz="0" w:space="0" w:color="auto"/>
            <w:bottom w:val="none" w:sz="0" w:space="0" w:color="auto"/>
            <w:right w:val="none" w:sz="0" w:space="0" w:color="auto"/>
          </w:divBdr>
        </w:div>
        <w:div w:id="1338653899">
          <w:marLeft w:val="0"/>
          <w:marRight w:val="0"/>
          <w:marTop w:val="0"/>
          <w:marBottom w:val="0"/>
          <w:divBdr>
            <w:top w:val="none" w:sz="0" w:space="0" w:color="auto"/>
            <w:left w:val="none" w:sz="0" w:space="0" w:color="auto"/>
            <w:bottom w:val="none" w:sz="0" w:space="0" w:color="auto"/>
            <w:right w:val="none" w:sz="0" w:space="0" w:color="auto"/>
          </w:divBdr>
        </w:div>
        <w:div w:id="1148549056">
          <w:marLeft w:val="0"/>
          <w:marRight w:val="0"/>
          <w:marTop w:val="0"/>
          <w:marBottom w:val="0"/>
          <w:divBdr>
            <w:top w:val="none" w:sz="0" w:space="0" w:color="auto"/>
            <w:left w:val="none" w:sz="0" w:space="0" w:color="auto"/>
            <w:bottom w:val="none" w:sz="0" w:space="0" w:color="auto"/>
            <w:right w:val="none" w:sz="0" w:space="0" w:color="auto"/>
          </w:divBdr>
        </w:div>
        <w:div w:id="896361412">
          <w:marLeft w:val="0"/>
          <w:marRight w:val="0"/>
          <w:marTop w:val="0"/>
          <w:marBottom w:val="0"/>
          <w:divBdr>
            <w:top w:val="none" w:sz="0" w:space="0" w:color="auto"/>
            <w:left w:val="none" w:sz="0" w:space="0" w:color="auto"/>
            <w:bottom w:val="none" w:sz="0" w:space="0" w:color="auto"/>
            <w:right w:val="none" w:sz="0" w:space="0" w:color="auto"/>
          </w:divBdr>
        </w:div>
        <w:div w:id="1870678400">
          <w:marLeft w:val="0"/>
          <w:marRight w:val="0"/>
          <w:marTop w:val="0"/>
          <w:marBottom w:val="0"/>
          <w:divBdr>
            <w:top w:val="none" w:sz="0" w:space="0" w:color="auto"/>
            <w:left w:val="none" w:sz="0" w:space="0" w:color="auto"/>
            <w:bottom w:val="none" w:sz="0" w:space="0" w:color="auto"/>
            <w:right w:val="none" w:sz="0" w:space="0" w:color="auto"/>
          </w:divBdr>
        </w:div>
        <w:div w:id="1438479748">
          <w:marLeft w:val="0"/>
          <w:marRight w:val="0"/>
          <w:marTop w:val="0"/>
          <w:marBottom w:val="0"/>
          <w:divBdr>
            <w:top w:val="none" w:sz="0" w:space="0" w:color="auto"/>
            <w:left w:val="none" w:sz="0" w:space="0" w:color="auto"/>
            <w:bottom w:val="none" w:sz="0" w:space="0" w:color="auto"/>
            <w:right w:val="none" w:sz="0" w:space="0" w:color="auto"/>
          </w:divBdr>
        </w:div>
        <w:div w:id="1861577929">
          <w:marLeft w:val="0"/>
          <w:marRight w:val="0"/>
          <w:marTop w:val="0"/>
          <w:marBottom w:val="0"/>
          <w:divBdr>
            <w:top w:val="none" w:sz="0" w:space="0" w:color="auto"/>
            <w:left w:val="none" w:sz="0" w:space="0" w:color="auto"/>
            <w:bottom w:val="none" w:sz="0" w:space="0" w:color="auto"/>
            <w:right w:val="none" w:sz="0" w:space="0" w:color="auto"/>
          </w:divBdr>
        </w:div>
        <w:div w:id="7022664">
          <w:marLeft w:val="0"/>
          <w:marRight w:val="0"/>
          <w:marTop w:val="0"/>
          <w:marBottom w:val="0"/>
          <w:divBdr>
            <w:top w:val="none" w:sz="0" w:space="0" w:color="auto"/>
            <w:left w:val="none" w:sz="0" w:space="0" w:color="auto"/>
            <w:bottom w:val="none" w:sz="0" w:space="0" w:color="auto"/>
            <w:right w:val="none" w:sz="0" w:space="0" w:color="auto"/>
          </w:divBdr>
        </w:div>
        <w:div w:id="1996492317">
          <w:marLeft w:val="0"/>
          <w:marRight w:val="0"/>
          <w:marTop w:val="0"/>
          <w:marBottom w:val="0"/>
          <w:divBdr>
            <w:top w:val="none" w:sz="0" w:space="0" w:color="auto"/>
            <w:left w:val="none" w:sz="0" w:space="0" w:color="auto"/>
            <w:bottom w:val="none" w:sz="0" w:space="0" w:color="auto"/>
            <w:right w:val="none" w:sz="0" w:space="0" w:color="auto"/>
          </w:divBdr>
        </w:div>
        <w:div w:id="1787190140">
          <w:marLeft w:val="0"/>
          <w:marRight w:val="0"/>
          <w:marTop w:val="0"/>
          <w:marBottom w:val="0"/>
          <w:divBdr>
            <w:top w:val="none" w:sz="0" w:space="0" w:color="auto"/>
            <w:left w:val="none" w:sz="0" w:space="0" w:color="auto"/>
            <w:bottom w:val="none" w:sz="0" w:space="0" w:color="auto"/>
            <w:right w:val="none" w:sz="0" w:space="0" w:color="auto"/>
          </w:divBdr>
        </w:div>
        <w:div w:id="1122308729">
          <w:marLeft w:val="0"/>
          <w:marRight w:val="0"/>
          <w:marTop w:val="0"/>
          <w:marBottom w:val="0"/>
          <w:divBdr>
            <w:top w:val="none" w:sz="0" w:space="0" w:color="auto"/>
            <w:left w:val="none" w:sz="0" w:space="0" w:color="auto"/>
            <w:bottom w:val="none" w:sz="0" w:space="0" w:color="auto"/>
            <w:right w:val="none" w:sz="0" w:space="0" w:color="auto"/>
          </w:divBdr>
        </w:div>
        <w:div w:id="1162621191">
          <w:marLeft w:val="0"/>
          <w:marRight w:val="0"/>
          <w:marTop w:val="0"/>
          <w:marBottom w:val="0"/>
          <w:divBdr>
            <w:top w:val="none" w:sz="0" w:space="0" w:color="auto"/>
            <w:left w:val="none" w:sz="0" w:space="0" w:color="auto"/>
            <w:bottom w:val="none" w:sz="0" w:space="0" w:color="auto"/>
            <w:right w:val="none" w:sz="0" w:space="0" w:color="auto"/>
          </w:divBdr>
        </w:div>
        <w:div w:id="1857965845">
          <w:marLeft w:val="0"/>
          <w:marRight w:val="0"/>
          <w:marTop w:val="0"/>
          <w:marBottom w:val="0"/>
          <w:divBdr>
            <w:top w:val="none" w:sz="0" w:space="0" w:color="auto"/>
            <w:left w:val="none" w:sz="0" w:space="0" w:color="auto"/>
            <w:bottom w:val="none" w:sz="0" w:space="0" w:color="auto"/>
            <w:right w:val="none" w:sz="0" w:space="0" w:color="auto"/>
          </w:divBdr>
        </w:div>
      </w:divsChild>
    </w:div>
    <w:div w:id="2077624622">
      <w:bodyDiv w:val="1"/>
      <w:marLeft w:val="0"/>
      <w:marRight w:val="0"/>
      <w:marTop w:val="0"/>
      <w:marBottom w:val="0"/>
      <w:divBdr>
        <w:top w:val="none" w:sz="0" w:space="0" w:color="auto"/>
        <w:left w:val="none" w:sz="0" w:space="0" w:color="auto"/>
        <w:bottom w:val="none" w:sz="0" w:space="0" w:color="auto"/>
        <w:right w:val="none" w:sz="0" w:space="0" w:color="auto"/>
      </w:divBdr>
      <w:divsChild>
        <w:div w:id="182402107">
          <w:marLeft w:val="0"/>
          <w:marRight w:val="0"/>
          <w:marTop w:val="0"/>
          <w:marBottom w:val="0"/>
          <w:divBdr>
            <w:top w:val="none" w:sz="0" w:space="0" w:color="auto"/>
            <w:left w:val="none" w:sz="0" w:space="0" w:color="auto"/>
            <w:bottom w:val="none" w:sz="0" w:space="0" w:color="auto"/>
            <w:right w:val="none" w:sz="0" w:space="0" w:color="auto"/>
          </w:divBdr>
        </w:div>
        <w:div w:id="802428885">
          <w:marLeft w:val="0"/>
          <w:marRight w:val="0"/>
          <w:marTop w:val="0"/>
          <w:marBottom w:val="0"/>
          <w:divBdr>
            <w:top w:val="none" w:sz="0" w:space="0" w:color="auto"/>
            <w:left w:val="none" w:sz="0" w:space="0" w:color="auto"/>
            <w:bottom w:val="none" w:sz="0" w:space="0" w:color="auto"/>
            <w:right w:val="none" w:sz="0" w:space="0" w:color="auto"/>
          </w:divBdr>
        </w:div>
        <w:div w:id="1324507181">
          <w:marLeft w:val="0"/>
          <w:marRight w:val="0"/>
          <w:marTop w:val="0"/>
          <w:marBottom w:val="0"/>
          <w:divBdr>
            <w:top w:val="none" w:sz="0" w:space="0" w:color="auto"/>
            <w:left w:val="none" w:sz="0" w:space="0" w:color="auto"/>
            <w:bottom w:val="none" w:sz="0" w:space="0" w:color="auto"/>
            <w:right w:val="none" w:sz="0" w:space="0" w:color="auto"/>
          </w:divBdr>
        </w:div>
        <w:div w:id="1254825306">
          <w:marLeft w:val="0"/>
          <w:marRight w:val="0"/>
          <w:marTop w:val="0"/>
          <w:marBottom w:val="0"/>
          <w:divBdr>
            <w:top w:val="none" w:sz="0" w:space="0" w:color="auto"/>
            <w:left w:val="none" w:sz="0" w:space="0" w:color="auto"/>
            <w:bottom w:val="none" w:sz="0" w:space="0" w:color="auto"/>
            <w:right w:val="none" w:sz="0" w:space="0" w:color="auto"/>
          </w:divBdr>
        </w:div>
        <w:div w:id="238096093">
          <w:marLeft w:val="0"/>
          <w:marRight w:val="0"/>
          <w:marTop w:val="0"/>
          <w:marBottom w:val="0"/>
          <w:divBdr>
            <w:top w:val="none" w:sz="0" w:space="0" w:color="auto"/>
            <w:left w:val="none" w:sz="0" w:space="0" w:color="auto"/>
            <w:bottom w:val="none" w:sz="0" w:space="0" w:color="auto"/>
            <w:right w:val="none" w:sz="0" w:space="0" w:color="auto"/>
          </w:divBdr>
        </w:div>
        <w:div w:id="1134830990">
          <w:marLeft w:val="0"/>
          <w:marRight w:val="0"/>
          <w:marTop w:val="0"/>
          <w:marBottom w:val="0"/>
          <w:divBdr>
            <w:top w:val="none" w:sz="0" w:space="0" w:color="auto"/>
            <w:left w:val="none" w:sz="0" w:space="0" w:color="auto"/>
            <w:bottom w:val="none" w:sz="0" w:space="0" w:color="auto"/>
            <w:right w:val="none" w:sz="0" w:space="0" w:color="auto"/>
          </w:divBdr>
        </w:div>
        <w:div w:id="1037313831">
          <w:marLeft w:val="0"/>
          <w:marRight w:val="0"/>
          <w:marTop w:val="0"/>
          <w:marBottom w:val="0"/>
          <w:divBdr>
            <w:top w:val="none" w:sz="0" w:space="0" w:color="auto"/>
            <w:left w:val="none" w:sz="0" w:space="0" w:color="auto"/>
            <w:bottom w:val="none" w:sz="0" w:space="0" w:color="auto"/>
            <w:right w:val="none" w:sz="0" w:space="0" w:color="auto"/>
          </w:divBdr>
        </w:div>
        <w:div w:id="420835739">
          <w:marLeft w:val="0"/>
          <w:marRight w:val="0"/>
          <w:marTop w:val="0"/>
          <w:marBottom w:val="0"/>
          <w:divBdr>
            <w:top w:val="none" w:sz="0" w:space="0" w:color="auto"/>
            <w:left w:val="none" w:sz="0" w:space="0" w:color="auto"/>
            <w:bottom w:val="none" w:sz="0" w:space="0" w:color="auto"/>
            <w:right w:val="none" w:sz="0" w:space="0" w:color="auto"/>
          </w:divBdr>
        </w:div>
        <w:div w:id="1756514008">
          <w:marLeft w:val="0"/>
          <w:marRight w:val="0"/>
          <w:marTop w:val="0"/>
          <w:marBottom w:val="0"/>
          <w:divBdr>
            <w:top w:val="none" w:sz="0" w:space="0" w:color="auto"/>
            <w:left w:val="none" w:sz="0" w:space="0" w:color="auto"/>
            <w:bottom w:val="none" w:sz="0" w:space="0" w:color="auto"/>
            <w:right w:val="none" w:sz="0" w:space="0" w:color="auto"/>
          </w:divBdr>
        </w:div>
        <w:div w:id="2021858462">
          <w:marLeft w:val="0"/>
          <w:marRight w:val="0"/>
          <w:marTop w:val="0"/>
          <w:marBottom w:val="0"/>
          <w:divBdr>
            <w:top w:val="none" w:sz="0" w:space="0" w:color="auto"/>
            <w:left w:val="none" w:sz="0" w:space="0" w:color="auto"/>
            <w:bottom w:val="none" w:sz="0" w:space="0" w:color="auto"/>
            <w:right w:val="none" w:sz="0" w:space="0" w:color="auto"/>
          </w:divBdr>
        </w:div>
        <w:div w:id="1902132542">
          <w:marLeft w:val="0"/>
          <w:marRight w:val="0"/>
          <w:marTop w:val="0"/>
          <w:marBottom w:val="0"/>
          <w:divBdr>
            <w:top w:val="none" w:sz="0" w:space="0" w:color="auto"/>
            <w:left w:val="none" w:sz="0" w:space="0" w:color="auto"/>
            <w:bottom w:val="none" w:sz="0" w:space="0" w:color="auto"/>
            <w:right w:val="none" w:sz="0" w:space="0" w:color="auto"/>
          </w:divBdr>
        </w:div>
        <w:div w:id="217060660">
          <w:marLeft w:val="0"/>
          <w:marRight w:val="0"/>
          <w:marTop w:val="0"/>
          <w:marBottom w:val="0"/>
          <w:divBdr>
            <w:top w:val="none" w:sz="0" w:space="0" w:color="auto"/>
            <w:left w:val="none" w:sz="0" w:space="0" w:color="auto"/>
            <w:bottom w:val="none" w:sz="0" w:space="0" w:color="auto"/>
            <w:right w:val="none" w:sz="0" w:space="0" w:color="auto"/>
          </w:divBdr>
        </w:div>
        <w:div w:id="14983033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1351-19</Nr_x002e__x0020_akti>
    <Data_x0020_e_x0020_Krijimit xmlns="0e656187-b300-4fb0-8bf4-3a50f872073c">2026-02-02T09:27:17Z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2026-01-30T00:00:00Z</Date_x0020_protokolli>
    <Titulli xmlns="0e656187-b300-4fb0-8bf4-3a50f872073c">Çështja Tashi kundër Shqipërisë</Titulli>
    <Modifikuesi xmlns="0e656187-b300-4fb0-8bf4-3a50f872073c">alma.lisaku</Modifikuesi>
    <Nr_x002e__x0020_prot_x0020_QBZ xmlns="0e656187-b300-4fb0-8bf4-3a50f872073c">195/1</Nr_x002e__x0020_prot_x0020_QBZ>
    <Data_x0020_e_x0020_Modifikimit xmlns="0e656187-b300-4fb0-8bf4-3a50f872073c">2026-02-02T10:59:39Z</Data_x0020_e_x0020_Modifikimit>
    <Dekretuar xmlns="0e656187-b300-4fb0-8bf4-3a50f872073c">false</Dekretuar>
    <Data xmlns="0e656187-b300-4fb0-8bf4-3a50f872073c">2026-01-13T00:00:00Z</Data>
    <Nr_x002e__x0020_protokolli_x0020_i_x0020_aktit xmlns="0e656187-b300-4fb0-8bf4-3a50f872073c">443/1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D92D659A4F0463BBE48D9E58D56AD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14743-D62E-47A9-9FD2-DD18C86E8644}">
  <ds:schemaRefs>
    <ds:schemaRef ds:uri="http://purl.org/dc/terms/"/>
    <ds:schemaRef ds:uri="http://schemas.microsoft.com/office/2006/metadata/properties"/>
    <ds:schemaRef ds:uri="http://www.w3.org/XML/1998/namespace"/>
    <ds:schemaRef ds:uri="http://purl.org/dc/dcmitype/"/>
    <ds:schemaRef ds:uri="http://schemas.microsoft.com/office/2006/documentManagement/types"/>
    <ds:schemaRef ds:uri="http://schemas.openxmlformats.org/package/2006/metadata/core-properties"/>
    <ds:schemaRef ds:uri="0e656187-b300-4fb0-8bf4-3a50f872073c"/>
    <ds:schemaRef ds:uri="http://purl.org/dc/elements/1.1/"/>
  </ds:schemaRefs>
</ds:datastoreItem>
</file>

<file path=customXml/itemProps2.xml><?xml version="1.0" encoding="utf-8"?>
<ds:datastoreItem xmlns:ds="http://schemas.openxmlformats.org/officeDocument/2006/customXml" ds:itemID="{D53893A4-4CD5-4BB0-B358-BB1CD401840F}">
  <ds:schemaRefs>
    <ds:schemaRef ds:uri="http://schemas.microsoft.com/sharepoint/v3/contenttype/forms"/>
  </ds:schemaRefs>
</ds:datastoreItem>
</file>

<file path=customXml/itemProps3.xml><?xml version="1.0" encoding="utf-8"?>
<ds:datastoreItem xmlns:ds="http://schemas.openxmlformats.org/officeDocument/2006/customXml" ds:itemID="{049BBADD-594B-4CCF-B310-E425E4E73C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57CA015-4C75-4A40-9E09-AC4F71342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2177</Words>
  <Characters>12409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Çështja Tashi kundër Shqipërisë</vt:lpstr>
    </vt:vector>
  </TitlesOfParts>
  <Company/>
  <LinksUpToDate>false</LinksUpToDate>
  <CharactersWithSpaces>14557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Tashi kundër Shqipërisë</dc:title>
  <dc:creator>Mirela Prifti</dc:creator>
  <cp:lastModifiedBy>Alma Lisaku</cp:lastModifiedBy>
  <cp:revision>17</cp:revision>
  <dcterms:created xsi:type="dcterms:W3CDTF">2026-02-02T08:32:00Z</dcterms:created>
  <dcterms:modified xsi:type="dcterms:W3CDTF">2026-02-02T10:08:00Z</dcterms:modified>
</cp:coreProperties>
</file>