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3B456F" w14:textId="77777777" w:rsidR="0007274E" w:rsidRPr="00DD58C7" w:rsidRDefault="0007274E" w:rsidP="0007274E">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44E3AA4F" w14:textId="77777777" w:rsidR="0007274E" w:rsidRPr="00DD58C7" w:rsidRDefault="0007274E" w:rsidP="0007274E">
      <w:pPr>
        <w:tabs>
          <w:tab w:val="left" w:pos="5520"/>
        </w:tabs>
        <w:autoSpaceDE w:val="0"/>
        <w:autoSpaceDN w:val="0"/>
        <w:adjustRightInd w:val="0"/>
        <w:spacing w:after="0" w:line="240" w:lineRule="auto"/>
        <w:ind w:firstLine="284"/>
        <w:jc w:val="center"/>
        <w:rPr>
          <w:rFonts w:ascii="Garamond" w:eastAsiaTheme="minorHAnsi" w:hAnsi="Garamond" w:cs="Calibri"/>
          <w:color w:val="000000"/>
          <w:sz w:val="24"/>
          <w:szCs w:val="24"/>
          <w14:ligatures w14:val="standardContextual"/>
        </w:rPr>
      </w:pPr>
      <w:r w:rsidRPr="00DD58C7">
        <w:rPr>
          <w:rFonts w:ascii="Garamond" w:eastAsiaTheme="minorHAnsi" w:hAnsi="Garamond" w:cs="Calibri"/>
          <w:color w:val="000000"/>
          <w:sz w:val="24"/>
          <w:szCs w:val="24"/>
          <w14:ligatures w14:val="standardContextual"/>
        </w:rPr>
        <w:t xml:space="preserve">GJYKATA EVROPIANE E TË DREJTAVE TË NJERIUT </w:t>
      </w:r>
    </w:p>
    <w:p w14:paraId="21F8398C" w14:textId="2D73F825" w:rsidR="0007274E" w:rsidRPr="00DD58C7" w:rsidRDefault="0007274E" w:rsidP="0007274E">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SEKSIONI I TRETË</w:t>
      </w:r>
    </w:p>
    <w:p w14:paraId="516D000B" w14:textId="77777777" w:rsidR="0007274E" w:rsidRPr="00DD58C7" w:rsidRDefault="0007274E" w:rsidP="0007274E">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6B0CACF2" w14:textId="4375BCA3" w:rsidR="0007274E" w:rsidRPr="00DD58C7" w:rsidRDefault="0007274E" w:rsidP="0007274E">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D58C7">
        <w:rPr>
          <w:rFonts w:ascii="Garamond" w:eastAsiaTheme="minorHAnsi" w:hAnsi="Garamond"/>
          <w:b/>
          <w:bCs/>
          <w:color w:val="000000"/>
          <w:sz w:val="24"/>
          <w:szCs w:val="24"/>
          <w14:ligatures w14:val="standardContextual"/>
        </w:rPr>
        <w:t xml:space="preserve">ÇËSHTJA </w:t>
      </w:r>
      <w:proofErr w:type="spellStart"/>
      <w:r w:rsidRPr="00DD58C7">
        <w:rPr>
          <w:rFonts w:ascii="Garamond" w:eastAsiaTheme="minorHAnsi" w:hAnsi="Garamond"/>
          <w:b/>
          <w:bCs/>
          <w:color w:val="000000"/>
          <w:sz w:val="24"/>
          <w:szCs w:val="24"/>
          <w14:ligatures w14:val="standardContextual"/>
        </w:rPr>
        <w:t>MANJANI</w:t>
      </w:r>
      <w:proofErr w:type="spellEnd"/>
      <w:r w:rsidRPr="00DD58C7">
        <w:rPr>
          <w:rFonts w:ascii="Garamond" w:eastAsiaTheme="minorHAnsi" w:hAnsi="Garamond"/>
          <w:b/>
          <w:bCs/>
          <w:color w:val="000000"/>
          <w:sz w:val="24"/>
          <w:szCs w:val="24"/>
          <w14:ligatures w14:val="standardContextual"/>
        </w:rPr>
        <w:t xml:space="preserve"> KUNDËR SHQIPËRISË</w:t>
      </w:r>
    </w:p>
    <w:p w14:paraId="5E01B624" w14:textId="0AA854B4" w:rsidR="0007274E" w:rsidRPr="00DD58C7" w:rsidRDefault="0007274E" w:rsidP="0007274E">
      <w:pPr>
        <w:autoSpaceDE w:val="0"/>
        <w:autoSpaceDN w:val="0"/>
        <w:adjustRightInd w:val="0"/>
        <w:spacing w:after="0" w:line="240" w:lineRule="auto"/>
        <w:ind w:firstLine="284"/>
        <w:jc w:val="center"/>
        <w:rPr>
          <w:rFonts w:ascii="Garamond" w:eastAsiaTheme="minorHAnsi" w:hAnsi="Garamond"/>
          <w:i/>
          <w:iCs/>
          <w:color w:val="000000"/>
          <w:sz w:val="24"/>
          <w:szCs w:val="24"/>
          <w14:ligatures w14:val="standardContextual"/>
        </w:rPr>
      </w:pPr>
      <w:r w:rsidRPr="00DD58C7">
        <w:rPr>
          <w:rFonts w:ascii="Garamond" w:eastAsiaTheme="minorHAnsi" w:hAnsi="Garamond"/>
          <w:i/>
          <w:iCs/>
          <w:color w:val="000000"/>
          <w:sz w:val="24"/>
          <w:szCs w:val="24"/>
          <w14:ligatures w14:val="standardContextual"/>
        </w:rPr>
        <w:t>(Kërkesa nr. 32283/23)</w:t>
      </w:r>
    </w:p>
    <w:p w14:paraId="2AB558B0" w14:textId="77777777" w:rsidR="0007274E" w:rsidRPr="00DD58C7" w:rsidRDefault="0007274E" w:rsidP="0007274E">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691C3397" w14:textId="5D4CD5E7" w:rsidR="0007274E" w:rsidRPr="00DD58C7" w:rsidRDefault="0007274E" w:rsidP="0007274E">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VENDIM</w:t>
      </w:r>
    </w:p>
    <w:p w14:paraId="1C4C654B" w14:textId="39D6BF52" w:rsidR="0007274E" w:rsidRPr="00DD58C7" w:rsidRDefault="0007274E" w:rsidP="0007274E">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tbl>
      <w:tblPr>
        <w:tblStyle w:val="TableGrid"/>
        <w:tblW w:w="0" w:type="auto"/>
        <w:tblLook w:val="04A0" w:firstRow="1" w:lastRow="0" w:firstColumn="1" w:lastColumn="0" w:noHBand="0" w:noVBand="1"/>
      </w:tblPr>
      <w:tblGrid>
        <w:gridCol w:w="9061"/>
      </w:tblGrid>
      <w:tr w:rsidR="0007274E" w:rsidRPr="00DD58C7" w14:paraId="1E2223EB" w14:textId="77777777" w:rsidTr="0007274E">
        <w:tc>
          <w:tcPr>
            <w:tcW w:w="9061" w:type="dxa"/>
          </w:tcPr>
          <w:p w14:paraId="34134875" w14:textId="2F3797B6" w:rsidR="00FD57D7" w:rsidRPr="00DD58C7" w:rsidRDefault="0007274E" w:rsidP="0007274E">
            <w:pPr>
              <w:tabs>
                <w:tab w:val="left" w:pos="9061"/>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Neni 8 • Jeta private • Refuzim </w:t>
            </w:r>
            <w:proofErr w:type="spellStart"/>
            <w:r w:rsidRPr="00DD58C7">
              <w:rPr>
                <w:rFonts w:ascii="Garamond" w:eastAsiaTheme="minorHAnsi" w:hAnsi="Garamond"/>
                <w:color w:val="000000"/>
                <w:sz w:val="24"/>
                <w:szCs w:val="24"/>
                <w14:ligatures w14:val="standardContextual"/>
              </w:rPr>
              <w:t>joproporcional</w:t>
            </w:r>
            <w:proofErr w:type="spellEnd"/>
            <w:r w:rsidRPr="00DD58C7">
              <w:rPr>
                <w:rFonts w:ascii="Garamond" w:eastAsiaTheme="minorHAnsi" w:hAnsi="Garamond"/>
                <w:color w:val="000000"/>
                <w:sz w:val="24"/>
                <w:szCs w:val="24"/>
                <w14:ligatures w14:val="standardContextual"/>
              </w:rPr>
              <w:t xml:space="preserve"> i pranimit të kërkuesit në Shkollën e Magjistraturës për formim si prokuror për shkak të një dënimi ndaj tij si i mitur për vjedhje për të cilin ai ishte rehabilituar ligjërisht • Neni 8 i zbatueshëm duke ndjekur si qasjet e bazuara në arsye ashtu edhe ato të bazuara në pasoja • Ndalimi absolut dhe i përhershëm i pranimit pati një ndikim të qartë dhe serioz në zgjedhjen personale të kërkuesit</w:t>
            </w:r>
            <w:r w:rsidR="007B4D32">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në lidhje me mënyrën se si ai dëshironte të ndiqte jetën e tij profesionale dhe private, të formonte identitetin e tij shoqëror dhe të zhvillonte marrëdhënie me të tjerët • </w:t>
            </w:r>
            <w:proofErr w:type="spellStart"/>
            <w:r w:rsidRPr="00DD58C7">
              <w:rPr>
                <w:rFonts w:ascii="Garamond" w:eastAsiaTheme="minorHAnsi" w:hAnsi="Garamond"/>
                <w:color w:val="000000"/>
                <w:sz w:val="24"/>
                <w:szCs w:val="24"/>
                <w14:ligatures w14:val="standardContextual"/>
              </w:rPr>
              <w:t>Mosmarrja</w:t>
            </w:r>
            <w:proofErr w:type="spellEnd"/>
            <w:r w:rsidRPr="00DD58C7">
              <w:rPr>
                <w:rFonts w:ascii="Garamond" w:eastAsiaTheme="minorHAnsi" w:hAnsi="Garamond"/>
                <w:color w:val="000000"/>
                <w:sz w:val="24"/>
                <w:szCs w:val="24"/>
                <w14:ligatures w14:val="standardContextual"/>
              </w:rPr>
              <w:t xml:space="preserve"> në konsideratë e moshës së kërkuesit në kohën e veprës penale dhe vëmendje e pamjaftueshme ndaj rrethanave përkatëse • Masa e kontestuar e vendosur në një fazë të hershme të jetës së tij profesionale me një efekt të rëndësishëm në aspektin e kohëzgjatjes së saj • Moskryerja e një vlerësimi të plotë dhe mjaftueshëm të individualizuar të situatës personale të kërkuesit</w:t>
            </w:r>
            <w:r w:rsidR="00FD57D7" w:rsidRPr="00DD58C7">
              <w:rPr>
                <w:rFonts w:ascii="Garamond" w:eastAsiaTheme="minorHAnsi" w:hAnsi="Garamond"/>
                <w:color w:val="000000"/>
                <w:sz w:val="24"/>
                <w:szCs w:val="24"/>
                <w14:ligatures w14:val="standardContextual"/>
              </w:rPr>
              <w:t>.</w:t>
            </w:r>
          </w:p>
          <w:p w14:paraId="4F937CC9" w14:textId="77777777" w:rsidR="00FD57D7" w:rsidRPr="00DD58C7" w:rsidRDefault="00FD57D7" w:rsidP="00FD57D7">
            <w:pPr>
              <w:tabs>
                <w:tab w:val="left" w:pos="9061"/>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23235936" w14:textId="62CF8E50" w:rsidR="0007274E" w:rsidRPr="00DD58C7" w:rsidRDefault="0007274E" w:rsidP="00FD57D7">
            <w:pPr>
              <w:tabs>
                <w:tab w:val="left" w:pos="9061"/>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Përgatitur nga Regjistri. Nuk detyron Gjykatën.</w:t>
            </w:r>
          </w:p>
        </w:tc>
      </w:tr>
    </w:tbl>
    <w:p w14:paraId="0575884C" w14:textId="77777777" w:rsidR="0007274E" w:rsidRPr="00DD58C7" w:rsidRDefault="0007274E" w:rsidP="0007274E">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3E8A4C72" w14:textId="7BB26264" w:rsidR="0007274E" w:rsidRPr="00DD58C7" w:rsidRDefault="0007274E" w:rsidP="0007274E">
      <w:pPr>
        <w:tabs>
          <w:tab w:val="left" w:pos="9061"/>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STRASBURG</w:t>
      </w:r>
    </w:p>
    <w:p w14:paraId="53D70A49" w14:textId="5464512B" w:rsidR="0007274E" w:rsidRPr="00DD58C7" w:rsidRDefault="0007274E" w:rsidP="0007274E">
      <w:pPr>
        <w:tabs>
          <w:tab w:val="left" w:pos="9061"/>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10 </w:t>
      </w:r>
      <w:r w:rsidR="00DD58C7" w:rsidRPr="00DD58C7">
        <w:rPr>
          <w:rFonts w:ascii="Garamond" w:eastAsiaTheme="minorHAnsi" w:hAnsi="Garamond"/>
          <w:color w:val="000000"/>
          <w:sz w:val="24"/>
          <w:szCs w:val="24"/>
          <w14:ligatures w14:val="standardContextual"/>
        </w:rPr>
        <w:t xml:space="preserve">mars </w:t>
      </w:r>
      <w:r w:rsidRPr="00DD58C7">
        <w:rPr>
          <w:rFonts w:ascii="Garamond" w:eastAsiaTheme="minorHAnsi" w:hAnsi="Garamond"/>
          <w:color w:val="000000"/>
          <w:sz w:val="24"/>
          <w:szCs w:val="24"/>
          <w14:ligatures w14:val="standardContextual"/>
        </w:rPr>
        <w:t>2026</w:t>
      </w:r>
    </w:p>
    <w:p w14:paraId="49632EDE" w14:textId="77777777" w:rsidR="0007274E" w:rsidRPr="00DD58C7" w:rsidRDefault="0007274E" w:rsidP="0007274E">
      <w:pPr>
        <w:tabs>
          <w:tab w:val="left" w:pos="9061"/>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219843CC" w14:textId="13992D17" w:rsidR="0007274E" w:rsidRPr="00DD58C7" w:rsidRDefault="0007274E" w:rsidP="0007274E">
      <w:pPr>
        <w:autoSpaceDE w:val="0"/>
        <w:autoSpaceDN w:val="0"/>
        <w:adjustRightInd w:val="0"/>
        <w:spacing w:after="0" w:line="240" w:lineRule="auto"/>
        <w:ind w:firstLine="284"/>
        <w:jc w:val="center"/>
        <w:rPr>
          <w:rFonts w:ascii="Garamond" w:eastAsiaTheme="minorHAnsi" w:hAnsi="Garamond"/>
          <w:i/>
          <w:iCs/>
          <w:color w:val="000000"/>
          <w:sz w:val="24"/>
          <w:szCs w:val="24"/>
          <w14:ligatures w14:val="standardContextual"/>
        </w:rPr>
      </w:pPr>
      <w:r w:rsidRPr="00DD58C7">
        <w:rPr>
          <w:rFonts w:ascii="Garamond" w:eastAsiaTheme="minorHAnsi" w:hAnsi="Garamond"/>
          <w:i/>
          <w:iCs/>
          <w:color w:val="000000"/>
          <w:sz w:val="24"/>
          <w:szCs w:val="24"/>
          <w14:ligatures w14:val="standardContextual"/>
        </w:rPr>
        <w:t xml:space="preserve">Ky vendim do të bëhet përfundimtar sipas rrethanave të parashikuara në </w:t>
      </w:r>
      <w:r w:rsidR="00DD58C7">
        <w:rPr>
          <w:rFonts w:ascii="Garamond" w:eastAsiaTheme="minorHAnsi" w:hAnsi="Garamond"/>
          <w:i/>
          <w:iCs/>
          <w:color w:val="000000"/>
          <w:sz w:val="24"/>
          <w:szCs w:val="24"/>
          <w14:ligatures w14:val="standardContextual"/>
        </w:rPr>
        <w:t>n</w:t>
      </w:r>
      <w:r w:rsidRPr="00DD58C7">
        <w:rPr>
          <w:rFonts w:ascii="Garamond" w:eastAsiaTheme="minorHAnsi" w:hAnsi="Garamond"/>
          <w:i/>
          <w:iCs/>
          <w:color w:val="000000"/>
          <w:sz w:val="24"/>
          <w:szCs w:val="24"/>
          <w14:ligatures w14:val="standardContextual"/>
        </w:rPr>
        <w:t>enin 44 § 2 të Konventës. Ai mund të bëhet subjekt i rishikimit redaktues.</w:t>
      </w:r>
    </w:p>
    <w:p w14:paraId="3CCE4F9F" w14:textId="77777777"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30E72CC8" w14:textId="5D944AEE" w:rsidR="0007274E" w:rsidRPr="00DD58C7" w:rsidRDefault="0007274E" w:rsidP="0007274E">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DD58C7">
        <w:rPr>
          <w:rFonts w:ascii="Garamond" w:eastAsiaTheme="minorHAnsi" w:hAnsi="Garamond"/>
          <w:b/>
          <w:bCs/>
          <w:color w:val="000000"/>
          <w:sz w:val="24"/>
          <w:szCs w:val="24"/>
          <w14:ligatures w14:val="standardContextual"/>
        </w:rPr>
        <w:t xml:space="preserve">Në çështjen </w:t>
      </w:r>
      <w:proofErr w:type="spellStart"/>
      <w:r w:rsidRPr="00DD58C7">
        <w:rPr>
          <w:rFonts w:ascii="Garamond" w:eastAsiaTheme="minorHAnsi" w:hAnsi="Garamond"/>
          <w:b/>
          <w:bCs/>
          <w:color w:val="000000"/>
          <w:sz w:val="24"/>
          <w:szCs w:val="24"/>
          <w14:ligatures w14:val="standardContextual"/>
        </w:rPr>
        <w:t>Manjani</w:t>
      </w:r>
      <w:proofErr w:type="spellEnd"/>
      <w:r w:rsidRPr="00DD58C7">
        <w:rPr>
          <w:rFonts w:ascii="Garamond" w:eastAsiaTheme="minorHAnsi" w:hAnsi="Garamond"/>
          <w:b/>
          <w:bCs/>
          <w:color w:val="000000"/>
          <w:sz w:val="24"/>
          <w:szCs w:val="24"/>
          <w14:ligatures w14:val="standardContextual"/>
        </w:rPr>
        <w:t xml:space="preserve"> kundër Shqipërisë</w:t>
      </w:r>
    </w:p>
    <w:p w14:paraId="6E314E5F" w14:textId="7DB666F4"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Gjykata Evropiane e të Drejtave të Njeriut (Seksioni i Tretë), e mbledhur si një Dhomë e përbërë nga: </w:t>
      </w:r>
    </w:p>
    <w:p w14:paraId="27050C4B" w14:textId="3FE1D56E" w:rsidR="0007274E" w:rsidRPr="00DD58C7" w:rsidRDefault="0007274E" w:rsidP="0007274E">
      <w:pPr>
        <w:tabs>
          <w:tab w:val="left" w:pos="560"/>
          <w:tab w:val="left" w:pos="1120"/>
        </w:tabs>
        <w:autoSpaceDE w:val="0"/>
        <w:autoSpaceDN w:val="0"/>
        <w:adjustRightInd w:val="0"/>
        <w:spacing w:after="0" w:line="240" w:lineRule="auto"/>
        <w:ind w:firstLine="284"/>
        <w:rPr>
          <w:rFonts w:ascii="Garamond" w:eastAsiaTheme="minorHAnsi" w:hAnsi="Garamond"/>
          <w:i/>
          <w:iCs/>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 </w:t>
      </w:r>
      <w:proofErr w:type="spellStart"/>
      <w:r w:rsidRPr="00DD58C7">
        <w:rPr>
          <w:rFonts w:ascii="Garamond" w:eastAsiaTheme="minorHAnsi" w:hAnsi="Garamond"/>
          <w:color w:val="000000"/>
          <w:sz w:val="24"/>
          <w:szCs w:val="24"/>
          <w14:ligatures w14:val="standardContextual"/>
        </w:rPr>
        <w:t>Ioannis</w:t>
      </w:r>
      <w:proofErr w:type="spellEnd"/>
      <w:r w:rsidRPr="00DD58C7">
        <w:rPr>
          <w:rFonts w:ascii="Garamond" w:eastAsiaTheme="minorHAnsi" w:hAnsi="Garamond"/>
          <w:color w:val="000000"/>
          <w:sz w:val="24"/>
          <w:szCs w:val="24"/>
          <w14:ligatures w14:val="standardContextual"/>
        </w:rPr>
        <w:t xml:space="preserve"> </w:t>
      </w:r>
      <w:proofErr w:type="spellStart"/>
      <w:r w:rsidRPr="00DD58C7">
        <w:rPr>
          <w:rFonts w:ascii="Garamond" w:eastAsiaTheme="minorHAnsi" w:hAnsi="Garamond"/>
          <w:color w:val="000000"/>
          <w:sz w:val="24"/>
          <w:szCs w:val="24"/>
          <w14:ligatures w14:val="standardContextual"/>
        </w:rPr>
        <w:t>Ktistakis</w:t>
      </w:r>
      <w:proofErr w:type="spellEnd"/>
      <w:r w:rsidRPr="00DD58C7">
        <w:rPr>
          <w:rFonts w:ascii="Garamond" w:eastAsiaTheme="minorHAnsi" w:hAnsi="Garamond"/>
          <w:color w:val="000000"/>
          <w:sz w:val="24"/>
          <w:szCs w:val="24"/>
          <w14:ligatures w14:val="standardContextual"/>
        </w:rPr>
        <w:t>,</w:t>
      </w:r>
      <w:r w:rsidRPr="00DD58C7">
        <w:rPr>
          <w:rFonts w:ascii="Garamond" w:eastAsiaTheme="minorHAnsi" w:hAnsi="Garamond"/>
          <w:i/>
          <w:iCs/>
          <w:color w:val="000000"/>
          <w:sz w:val="24"/>
          <w:szCs w:val="24"/>
          <w14:ligatures w14:val="standardContextual"/>
        </w:rPr>
        <w:t xml:space="preserve"> Kryetar,</w:t>
      </w:r>
    </w:p>
    <w:p w14:paraId="07B55B69" w14:textId="5B4F710C" w:rsidR="0007274E" w:rsidRPr="00DD58C7" w:rsidRDefault="0007274E" w:rsidP="0007274E">
      <w:pPr>
        <w:tabs>
          <w:tab w:val="left" w:pos="560"/>
          <w:tab w:val="left" w:pos="1120"/>
        </w:tabs>
        <w:autoSpaceDE w:val="0"/>
        <w:autoSpaceDN w:val="0"/>
        <w:adjustRightInd w:val="0"/>
        <w:spacing w:after="0" w:line="240" w:lineRule="auto"/>
        <w:ind w:firstLine="284"/>
        <w:rPr>
          <w:rFonts w:ascii="Garamond" w:eastAsiaTheme="minorHAnsi" w:hAnsi="Garamond"/>
          <w:i/>
          <w:iCs/>
          <w:color w:val="000000"/>
          <w:sz w:val="24"/>
          <w:szCs w:val="24"/>
          <w14:ligatures w14:val="standardContextual"/>
        </w:rPr>
      </w:pPr>
      <w:r w:rsidRPr="00DD58C7">
        <w:rPr>
          <w:rFonts w:ascii="Garamond" w:eastAsiaTheme="minorHAnsi" w:hAnsi="Garamond"/>
          <w:i/>
          <w:iCs/>
          <w:color w:val="000000"/>
          <w:sz w:val="24"/>
          <w:szCs w:val="24"/>
          <w14:ligatures w14:val="standardContextual"/>
        </w:rPr>
        <w:t xml:space="preserve"> </w:t>
      </w:r>
      <w:proofErr w:type="spellStart"/>
      <w:r w:rsidRPr="00DD58C7">
        <w:rPr>
          <w:rFonts w:ascii="Garamond" w:eastAsiaTheme="minorHAnsi" w:hAnsi="Garamond"/>
          <w:color w:val="000000"/>
          <w:sz w:val="24"/>
          <w:szCs w:val="24"/>
          <w14:ligatures w14:val="standardContextual"/>
        </w:rPr>
        <w:t>L</w:t>
      </w:r>
      <w:r w:rsidR="00DD58C7" w:rsidRPr="00DD58C7">
        <w:rPr>
          <w:rFonts w:ascii="Times New Roman" w:eastAsiaTheme="minorHAnsi" w:hAnsi="Times New Roman"/>
          <w:color w:val="000000"/>
          <w:sz w:val="24"/>
          <w:szCs w:val="24"/>
          <w14:ligatures w14:val="standardContextual"/>
        </w:rPr>
        <w:t>ə</w:t>
      </w:r>
      <w:r w:rsidRPr="00DD58C7">
        <w:rPr>
          <w:rFonts w:ascii="Garamond" w:eastAsiaTheme="minorHAnsi" w:hAnsi="Garamond"/>
          <w:color w:val="000000"/>
          <w:sz w:val="24"/>
          <w:szCs w:val="24"/>
          <w14:ligatures w14:val="standardContextual"/>
        </w:rPr>
        <w:t>tif</w:t>
      </w:r>
      <w:proofErr w:type="spellEnd"/>
      <w:r w:rsidRPr="00DD58C7">
        <w:rPr>
          <w:rFonts w:ascii="Garamond" w:eastAsiaTheme="minorHAnsi" w:hAnsi="Garamond"/>
          <w:color w:val="000000"/>
          <w:sz w:val="24"/>
          <w:szCs w:val="24"/>
          <w14:ligatures w14:val="standardContextual"/>
        </w:rPr>
        <w:t xml:space="preserve"> </w:t>
      </w:r>
      <w:proofErr w:type="spellStart"/>
      <w:r w:rsidRPr="00DD58C7">
        <w:rPr>
          <w:rFonts w:ascii="Garamond" w:eastAsiaTheme="minorHAnsi" w:hAnsi="Garamond"/>
          <w:color w:val="000000"/>
          <w:sz w:val="24"/>
          <w:szCs w:val="24"/>
          <w14:ligatures w14:val="standardContextual"/>
        </w:rPr>
        <w:t>Hüseynov</w:t>
      </w:r>
      <w:proofErr w:type="spellEnd"/>
      <w:r w:rsidRPr="00DD58C7">
        <w:rPr>
          <w:rFonts w:ascii="Garamond" w:eastAsiaTheme="minorHAnsi" w:hAnsi="Garamond"/>
          <w:color w:val="000000"/>
          <w:sz w:val="24"/>
          <w:szCs w:val="24"/>
          <w14:ligatures w14:val="standardContextual"/>
        </w:rPr>
        <w:t>,</w:t>
      </w:r>
    </w:p>
    <w:p w14:paraId="53808D88" w14:textId="5D3F579D" w:rsidR="0007274E" w:rsidRPr="00DD58C7" w:rsidRDefault="0007274E" w:rsidP="0007274E">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DD58C7">
        <w:rPr>
          <w:rFonts w:ascii="Garamond" w:eastAsiaTheme="minorHAnsi" w:hAnsi="Garamond"/>
          <w:i/>
          <w:iCs/>
          <w:color w:val="000000"/>
          <w:sz w:val="24"/>
          <w:szCs w:val="24"/>
          <w14:ligatures w14:val="standardContextual"/>
        </w:rPr>
        <w:t xml:space="preserve"> </w:t>
      </w:r>
      <w:proofErr w:type="spellStart"/>
      <w:r w:rsidRPr="00DD58C7">
        <w:rPr>
          <w:rFonts w:ascii="Garamond" w:eastAsiaTheme="minorHAnsi" w:hAnsi="Garamond"/>
          <w:color w:val="000000"/>
          <w:sz w:val="24"/>
          <w:szCs w:val="24"/>
          <w14:ligatures w14:val="standardContextual"/>
        </w:rPr>
        <w:t>Darian</w:t>
      </w:r>
      <w:proofErr w:type="spellEnd"/>
      <w:r w:rsidRPr="00DD58C7">
        <w:rPr>
          <w:rFonts w:ascii="Garamond" w:eastAsiaTheme="minorHAnsi" w:hAnsi="Garamond"/>
          <w:color w:val="000000"/>
          <w:sz w:val="24"/>
          <w:szCs w:val="24"/>
          <w14:ligatures w14:val="standardContextual"/>
        </w:rPr>
        <w:t xml:space="preserve"> </w:t>
      </w:r>
      <w:proofErr w:type="spellStart"/>
      <w:r w:rsidRPr="00DD58C7">
        <w:rPr>
          <w:rFonts w:ascii="Garamond" w:eastAsiaTheme="minorHAnsi" w:hAnsi="Garamond"/>
          <w:color w:val="000000"/>
          <w:sz w:val="24"/>
          <w:szCs w:val="24"/>
          <w14:ligatures w14:val="standardContextual"/>
        </w:rPr>
        <w:t>Pavli</w:t>
      </w:r>
      <w:proofErr w:type="spellEnd"/>
      <w:r w:rsidRPr="00DD58C7">
        <w:rPr>
          <w:rFonts w:ascii="Garamond" w:eastAsiaTheme="minorHAnsi" w:hAnsi="Garamond"/>
          <w:color w:val="000000"/>
          <w:sz w:val="24"/>
          <w:szCs w:val="24"/>
          <w14:ligatures w14:val="standardContextual"/>
        </w:rPr>
        <w:t>,</w:t>
      </w:r>
    </w:p>
    <w:p w14:paraId="05C271B4" w14:textId="406AB43F" w:rsidR="0007274E" w:rsidRPr="00DD58C7" w:rsidRDefault="0007274E" w:rsidP="0007274E">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 </w:t>
      </w:r>
      <w:proofErr w:type="spellStart"/>
      <w:r w:rsidRPr="00DD58C7">
        <w:rPr>
          <w:rFonts w:ascii="Garamond" w:eastAsiaTheme="minorHAnsi" w:hAnsi="Garamond"/>
          <w:color w:val="000000"/>
          <w:sz w:val="24"/>
          <w:szCs w:val="24"/>
          <w14:ligatures w14:val="standardContextual"/>
        </w:rPr>
        <w:t>Úna</w:t>
      </w:r>
      <w:proofErr w:type="spellEnd"/>
      <w:r w:rsidRPr="00DD58C7">
        <w:rPr>
          <w:rFonts w:ascii="Garamond" w:eastAsiaTheme="minorHAnsi" w:hAnsi="Garamond"/>
          <w:color w:val="000000"/>
          <w:sz w:val="24"/>
          <w:szCs w:val="24"/>
          <w14:ligatures w14:val="standardContextual"/>
        </w:rPr>
        <w:t xml:space="preserve"> </w:t>
      </w:r>
      <w:proofErr w:type="spellStart"/>
      <w:r w:rsidRPr="00DD58C7">
        <w:rPr>
          <w:rFonts w:ascii="Garamond" w:eastAsiaTheme="minorHAnsi" w:hAnsi="Garamond"/>
          <w:color w:val="000000"/>
          <w:sz w:val="24"/>
          <w:szCs w:val="24"/>
          <w14:ligatures w14:val="standardContextual"/>
        </w:rPr>
        <w:t>Ní</w:t>
      </w:r>
      <w:proofErr w:type="spellEnd"/>
      <w:r w:rsidRPr="00DD58C7">
        <w:rPr>
          <w:rFonts w:ascii="Garamond" w:eastAsiaTheme="minorHAnsi" w:hAnsi="Garamond"/>
          <w:color w:val="000000"/>
          <w:sz w:val="24"/>
          <w:szCs w:val="24"/>
          <w14:ligatures w14:val="standardContextual"/>
        </w:rPr>
        <w:t xml:space="preserve"> </w:t>
      </w:r>
      <w:proofErr w:type="spellStart"/>
      <w:r w:rsidRPr="00DD58C7">
        <w:rPr>
          <w:rFonts w:ascii="Garamond" w:eastAsiaTheme="minorHAnsi" w:hAnsi="Garamond"/>
          <w:color w:val="000000"/>
          <w:sz w:val="24"/>
          <w:szCs w:val="24"/>
          <w14:ligatures w14:val="standardContextual"/>
        </w:rPr>
        <w:t>Raifeartaigh</w:t>
      </w:r>
      <w:proofErr w:type="spellEnd"/>
      <w:r w:rsidRPr="00DD58C7">
        <w:rPr>
          <w:rFonts w:ascii="Garamond" w:eastAsiaTheme="minorHAnsi" w:hAnsi="Garamond"/>
          <w:color w:val="000000"/>
          <w:sz w:val="24"/>
          <w:szCs w:val="24"/>
          <w14:ligatures w14:val="standardContextual"/>
        </w:rPr>
        <w:t>,</w:t>
      </w:r>
    </w:p>
    <w:p w14:paraId="0F90AAF5" w14:textId="66D7D387" w:rsidR="0007274E" w:rsidRPr="00DD58C7" w:rsidRDefault="0007274E" w:rsidP="0007274E">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 </w:t>
      </w:r>
      <w:proofErr w:type="spellStart"/>
      <w:r w:rsidRPr="00DD58C7">
        <w:rPr>
          <w:rFonts w:ascii="Garamond" w:eastAsiaTheme="minorHAnsi" w:hAnsi="Garamond"/>
          <w:color w:val="000000"/>
          <w:sz w:val="24"/>
          <w:szCs w:val="24"/>
          <w14:ligatures w14:val="standardContextual"/>
        </w:rPr>
        <w:t>Mateja</w:t>
      </w:r>
      <w:proofErr w:type="spellEnd"/>
      <w:r w:rsidRPr="00DD58C7">
        <w:rPr>
          <w:rFonts w:ascii="Garamond" w:eastAsiaTheme="minorHAnsi" w:hAnsi="Garamond"/>
          <w:color w:val="000000"/>
          <w:sz w:val="24"/>
          <w:szCs w:val="24"/>
          <w14:ligatures w14:val="standardContextual"/>
        </w:rPr>
        <w:t xml:space="preserve"> </w:t>
      </w:r>
      <w:proofErr w:type="spellStart"/>
      <w:r w:rsidRPr="00DD58C7">
        <w:rPr>
          <w:rFonts w:ascii="Garamond" w:eastAsiaTheme="minorHAnsi" w:hAnsi="Garamond"/>
          <w:color w:val="000000"/>
          <w:sz w:val="24"/>
          <w:szCs w:val="24"/>
          <w14:ligatures w14:val="standardContextual"/>
        </w:rPr>
        <w:t>Ðurović</w:t>
      </w:r>
      <w:proofErr w:type="spellEnd"/>
    </w:p>
    <w:p w14:paraId="3BFB450F" w14:textId="638331F8" w:rsidR="0007274E" w:rsidRPr="00DD58C7" w:rsidRDefault="0007274E" w:rsidP="0007274E">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 </w:t>
      </w:r>
      <w:proofErr w:type="spellStart"/>
      <w:r w:rsidRPr="00DD58C7">
        <w:rPr>
          <w:rFonts w:ascii="Garamond" w:eastAsiaTheme="minorHAnsi" w:hAnsi="Garamond"/>
          <w:color w:val="000000"/>
          <w:sz w:val="24"/>
          <w:szCs w:val="24"/>
          <w14:ligatures w14:val="standardContextual"/>
        </w:rPr>
        <w:t>Canòlic</w:t>
      </w:r>
      <w:proofErr w:type="spellEnd"/>
      <w:r w:rsidRPr="00DD58C7">
        <w:rPr>
          <w:rFonts w:ascii="Garamond" w:eastAsiaTheme="minorHAnsi" w:hAnsi="Garamond"/>
          <w:color w:val="000000"/>
          <w:sz w:val="24"/>
          <w:szCs w:val="24"/>
          <w14:ligatures w14:val="standardContextual"/>
        </w:rPr>
        <w:t xml:space="preserve"> </w:t>
      </w:r>
      <w:proofErr w:type="spellStart"/>
      <w:r w:rsidRPr="00DD58C7">
        <w:rPr>
          <w:rFonts w:ascii="Garamond" w:eastAsiaTheme="minorHAnsi" w:hAnsi="Garamond"/>
          <w:color w:val="000000"/>
          <w:sz w:val="24"/>
          <w:szCs w:val="24"/>
          <w14:ligatures w14:val="standardContextual"/>
        </w:rPr>
        <w:t>Mingorance</w:t>
      </w:r>
      <w:proofErr w:type="spellEnd"/>
      <w:r w:rsidRPr="00DD58C7">
        <w:rPr>
          <w:rFonts w:ascii="Garamond" w:eastAsiaTheme="minorHAnsi" w:hAnsi="Garamond"/>
          <w:color w:val="000000"/>
          <w:sz w:val="24"/>
          <w:szCs w:val="24"/>
          <w14:ligatures w14:val="standardContextual"/>
        </w:rPr>
        <w:t xml:space="preserve"> </w:t>
      </w:r>
      <w:proofErr w:type="spellStart"/>
      <w:r w:rsidRPr="00DD58C7">
        <w:rPr>
          <w:rFonts w:ascii="Garamond" w:eastAsiaTheme="minorHAnsi" w:hAnsi="Garamond"/>
          <w:color w:val="000000"/>
          <w:sz w:val="24"/>
          <w:szCs w:val="24"/>
          <w14:ligatures w14:val="standardContextual"/>
        </w:rPr>
        <w:t>Cairat</w:t>
      </w:r>
      <w:proofErr w:type="spellEnd"/>
      <w:r w:rsidRPr="00DD58C7">
        <w:rPr>
          <w:rFonts w:ascii="Garamond" w:eastAsiaTheme="minorHAnsi" w:hAnsi="Garamond"/>
          <w:color w:val="000000"/>
          <w:sz w:val="24"/>
          <w:szCs w:val="24"/>
          <w14:ligatures w14:val="standardContextual"/>
        </w:rPr>
        <w:t>,</w:t>
      </w:r>
    </w:p>
    <w:p w14:paraId="63BBDBC8" w14:textId="7704868D" w:rsidR="0007274E" w:rsidRPr="00DD58C7" w:rsidRDefault="0007274E" w:rsidP="0007274E">
      <w:pPr>
        <w:tabs>
          <w:tab w:val="left" w:pos="560"/>
          <w:tab w:val="left" w:pos="1120"/>
        </w:tabs>
        <w:autoSpaceDE w:val="0"/>
        <w:autoSpaceDN w:val="0"/>
        <w:adjustRightInd w:val="0"/>
        <w:spacing w:after="0" w:line="240" w:lineRule="auto"/>
        <w:ind w:firstLine="284"/>
        <w:rPr>
          <w:rFonts w:ascii="Garamond" w:eastAsiaTheme="minorHAnsi" w:hAnsi="Garamond"/>
          <w:i/>
          <w:iCs/>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 </w:t>
      </w:r>
      <w:proofErr w:type="spellStart"/>
      <w:r w:rsidRPr="00DD58C7">
        <w:rPr>
          <w:rFonts w:ascii="Garamond" w:eastAsiaTheme="minorHAnsi" w:hAnsi="Garamond"/>
          <w:color w:val="000000"/>
          <w:sz w:val="24"/>
          <w:szCs w:val="24"/>
          <w14:ligatures w14:val="standardContextual"/>
        </w:rPr>
        <w:t>Vasilka</w:t>
      </w:r>
      <w:proofErr w:type="spellEnd"/>
      <w:r w:rsidRPr="00DD58C7">
        <w:rPr>
          <w:rFonts w:ascii="Garamond" w:eastAsiaTheme="minorHAnsi" w:hAnsi="Garamond"/>
          <w:color w:val="000000"/>
          <w:sz w:val="24"/>
          <w:szCs w:val="24"/>
          <w14:ligatures w14:val="standardContextual"/>
        </w:rPr>
        <w:t xml:space="preserve"> </w:t>
      </w:r>
      <w:proofErr w:type="spellStart"/>
      <w:r w:rsidRPr="00DD58C7">
        <w:rPr>
          <w:rFonts w:ascii="Garamond" w:eastAsiaTheme="minorHAnsi" w:hAnsi="Garamond"/>
          <w:color w:val="000000"/>
          <w:sz w:val="24"/>
          <w:szCs w:val="24"/>
          <w14:ligatures w14:val="standardContextual"/>
        </w:rPr>
        <w:t>Sancin</w:t>
      </w:r>
      <w:proofErr w:type="spellEnd"/>
      <w:r w:rsidRPr="00DD58C7">
        <w:rPr>
          <w:rFonts w:ascii="Garamond" w:eastAsiaTheme="minorHAnsi" w:hAnsi="Garamond"/>
          <w:color w:val="000000"/>
          <w:sz w:val="24"/>
          <w:szCs w:val="24"/>
          <w14:ligatures w14:val="standardContextual"/>
        </w:rPr>
        <w:t xml:space="preserve">, </w:t>
      </w:r>
      <w:r w:rsidRPr="00DD58C7">
        <w:rPr>
          <w:rFonts w:ascii="Garamond" w:eastAsiaTheme="minorHAnsi" w:hAnsi="Garamond"/>
          <w:i/>
          <w:iCs/>
          <w:color w:val="000000"/>
          <w:sz w:val="24"/>
          <w:szCs w:val="24"/>
          <w14:ligatures w14:val="standardContextual"/>
        </w:rPr>
        <w:t>gjyqtarë</w:t>
      </w:r>
    </w:p>
    <w:p w14:paraId="1FE2CEED" w14:textId="616A4A08" w:rsidR="0007274E" w:rsidRPr="00DD58C7" w:rsidRDefault="0007274E" w:rsidP="0007274E">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dhe </w:t>
      </w:r>
      <w:proofErr w:type="spellStart"/>
      <w:r w:rsidRPr="00DD58C7">
        <w:rPr>
          <w:rFonts w:ascii="Garamond" w:eastAsiaTheme="minorHAnsi" w:hAnsi="Garamond"/>
          <w:color w:val="000000"/>
          <w:sz w:val="24"/>
          <w:szCs w:val="24"/>
          <w14:ligatures w14:val="standardContextual"/>
        </w:rPr>
        <w:t>Milan</w:t>
      </w:r>
      <w:proofErr w:type="spellEnd"/>
      <w:r w:rsidRPr="00DD58C7">
        <w:rPr>
          <w:rFonts w:ascii="Garamond" w:eastAsiaTheme="minorHAnsi" w:hAnsi="Garamond"/>
          <w:color w:val="000000"/>
          <w:sz w:val="24"/>
          <w:szCs w:val="24"/>
          <w14:ligatures w14:val="standardContextual"/>
        </w:rPr>
        <w:t xml:space="preserve"> </w:t>
      </w:r>
      <w:proofErr w:type="spellStart"/>
      <w:r w:rsidRPr="00DD58C7">
        <w:rPr>
          <w:rFonts w:ascii="Garamond" w:eastAsiaTheme="minorHAnsi" w:hAnsi="Garamond"/>
          <w:color w:val="000000"/>
          <w:sz w:val="24"/>
          <w:szCs w:val="24"/>
          <w14:ligatures w14:val="standardContextual"/>
        </w:rPr>
        <w:t>Blaško</w:t>
      </w:r>
      <w:proofErr w:type="spellEnd"/>
      <w:r w:rsidRPr="00DD58C7">
        <w:rPr>
          <w:rFonts w:ascii="Garamond" w:eastAsiaTheme="minorHAnsi" w:hAnsi="Garamond"/>
          <w:color w:val="000000"/>
          <w:sz w:val="24"/>
          <w:szCs w:val="24"/>
          <w14:ligatures w14:val="standardContextual"/>
        </w:rPr>
        <w:t xml:space="preserve">, </w:t>
      </w:r>
      <w:proofErr w:type="spellStart"/>
      <w:r w:rsidR="00DD58C7" w:rsidRPr="00DD58C7">
        <w:rPr>
          <w:rFonts w:ascii="Garamond" w:eastAsiaTheme="minorHAnsi" w:hAnsi="Garamond"/>
          <w:i/>
          <w:iCs/>
          <w:color w:val="000000"/>
          <w:sz w:val="24"/>
          <w:szCs w:val="24"/>
          <w14:ligatures w14:val="standardContextual"/>
        </w:rPr>
        <w:t>regjistrar</w:t>
      </w:r>
      <w:proofErr w:type="spellEnd"/>
      <w:r w:rsidR="00DD58C7" w:rsidRPr="00DD58C7">
        <w:rPr>
          <w:rFonts w:ascii="Garamond" w:eastAsiaTheme="minorHAnsi" w:hAnsi="Garamond"/>
          <w:i/>
          <w:iCs/>
          <w:color w:val="000000"/>
          <w:sz w:val="24"/>
          <w:szCs w:val="24"/>
          <w14:ligatures w14:val="standardContextual"/>
        </w:rPr>
        <w:t xml:space="preserve"> </w:t>
      </w:r>
      <w:r w:rsidRPr="00DD58C7">
        <w:rPr>
          <w:rFonts w:ascii="Garamond" w:eastAsiaTheme="minorHAnsi" w:hAnsi="Garamond"/>
          <w:i/>
          <w:iCs/>
          <w:color w:val="000000"/>
          <w:sz w:val="24"/>
          <w:szCs w:val="24"/>
          <w14:ligatures w14:val="standardContextual"/>
        </w:rPr>
        <w:t>i Seksionit,</w:t>
      </w:r>
    </w:p>
    <w:p w14:paraId="63FCF482" w14:textId="47130651" w:rsidR="0007274E" w:rsidRPr="00DD58C7" w:rsidRDefault="0007274E" w:rsidP="000727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i/>
          <w:iCs/>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 xml:space="preserve">Duke mbajtur në konsideratë: </w:t>
      </w:r>
    </w:p>
    <w:p w14:paraId="7A3D0D25" w14:textId="219B7CDD" w:rsidR="0007274E" w:rsidRPr="00DD58C7" w:rsidRDefault="0007274E" w:rsidP="000727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 kërkesën (nr. 32283/23) kundër Republikës së Shqipërisë paraqitur pranë Gjykatës në mbështetje të </w:t>
      </w:r>
      <w:r w:rsidR="00DD58C7" w:rsidRPr="00DD58C7">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enit 34 të Konventës për Mbrojtjen e të Drejtave të</w:t>
      </w:r>
      <w:r w:rsidR="00DD58C7">
        <w:rPr>
          <w:rFonts w:ascii="Garamond" w:eastAsiaTheme="minorHAnsi" w:hAnsi="Garamond"/>
          <w:color w:val="000000"/>
          <w:sz w:val="24"/>
          <w:szCs w:val="24"/>
          <w14:ligatures w14:val="standardContextual"/>
        </w:rPr>
        <w:t xml:space="preserve"> Njeriut dhe Lirive Themelore (Konventa</w:t>
      </w:r>
      <w:r w:rsidRPr="00DD58C7">
        <w:rPr>
          <w:rFonts w:ascii="Garamond" w:eastAsiaTheme="minorHAnsi" w:hAnsi="Garamond"/>
          <w:color w:val="000000"/>
          <w:sz w:val="24"/>
          <w:szCs w:val="24"/>
          <w14:ligatures w14:val="standardContextual"/>
        </w:rPr>
        <w:t>)</w:t>
      </w:r>
      <w:r w:rsidR="00683D30">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më 21 </w:t>
      </w:r>
      <w:r w:rsidR="00DD58C7">
        <w:rPr>
          <w:rFonts w:ascii="Garamond" w:eastAsiaTheme="minorHAnsi" w:hAnsi="Garamond"/>
          <w:color w:val="000000"/>
          <w:sz w:val="24"/>
          <w:szCs w:val="24"/>
          <w14:ligatures w14:val="standardContextual"/>
        </w:rPr>
        <w:t>g</w:t>
      </w:r>
      <w:r w:rsidRPr="00DD58C7">
        <w:rPr>
          <w:rFonts w:ascii="Garamond" w:eastAsiaTheme="minorHAnsi" w:hAnsi="Garamond"/>
          <w:color w:val="000000"/>
          <w:sz w:val="24"/>
          <w:szCs w:val="24"/>
          <w14:ligatures w14:val="standardContextual"/>
        </w:rPr>
        <w:t xml:space="preserve">usht 2023, nga një shtetas shqiptar, </w:t>
      </w:r>
      <w:r w:rsidR="00DD58C7" w:rsidRPr="00DD58C7">
        <w:rPr>
          <w:rFonts w:ascii="Garamond" w:eastAsiaTheme="minorHAnsi" w:hAnsi="Garamond"/>
          <w:color w:val="000000"/>
          <w:sz w:val="24"/>
          <w:szCs w:val="24"/>
          <w14:ligatures w14:val="standardContextual"/>
        </w:rPr>
        <w:t>z</w:t>
      </w:r>
      <w:r w:rsidRPr="00DD58C7">
        <w:rPr>
          <w:rFonts w:ascii="Garamond" w:eastAsiaTheme="minorHAnsi" w:hAnsi="Garamond"/>
          <w:color w:val="000000"/>
          <w:sz w:val="24"/>
          <w:szCs w:val="24"/>
          <w14:ligatures w14:val="standardContextual"/>
        </w:rPr>
        <w:t xml:space="preserve">. </w:t>
      </w:r>
      <w:proofErr w:type="spellStart"/>
      <w:r w:rsidRPr="00DD58C7">
        <w:rPr>
          <w:rFonts w:ascii="Garamond" w:eastAsiaTheme="minorHAnsi" w:hAnsi="Garamond"/>
          <w:color w:val="000000"/>
          <w:sz w:val="24"/>
          <w:szCs w:val="24"/>
          <w14:ligatures w14:val="standardContextual"/>
        </w:rPr>
        <w:t>Shiqiri</w:t>
      </w:r>
      <w:proofErr w:type="spellEnd"/>
      <w:r w:rsidRPr="00DD58C7">
        <w:rPr>
          <w:rFonts w:ascii="Garamond" w:eastAsiaTheme="minorHAnsi" w:hAnsi="Garamond"/>
          <w:color w:val="000000"/>
          <w:sz w:val="24"/>
          <w:szCs w:val="24"/>
          <w14:ligatures w14:val="standardContextual"/>
        </w:rPr>
        <w:t xml:space="preserve"> </w:t>
      </w:r>
      <w:proofErr w:type="spellStart"/>
      <w:r w:rsidRPr="00DD58C7">
        <w:rPr>
          <w:rFonts w:ascii="Garamond" w:eastAsiaTheme="minorHAnsi" w:hAnsi="Garamond"/>
          <w:color w:val="000000"/>
          <w:sz w:val="24"/>
          <w:szCs w:val="24"/>
          <w14:ligatures w14:val="standardContextual"/>
        </w:rPr>
        <w:t>Manjani</w:t>
      </w:r>
      <w:proofErr w:type="spellEnd"/>
      <w:r w:rsidR="00DD58C7">
        <w:rPr>
          <w:rFonts w:ascii="Garamond" w:eastAsiaTheme="minorHAnsi" w:hAnsi="Garamond"/>
          <w:color w:val="000000"/>
          <w:sz w:val="24"/>
          <w:szCs w:val="24"/>
          <w14:ligatures w14:val="standardContextual"/>
        </w:rPr>
        <w:t xml:space="preserve"> (kërkuesi</w:t>
      </w:r>
      <w:r w:rsidRPr="00DD58C7">
        <w:rPr>
          <w:rFonts w:ascii="Garamond" w:eastAsiaTheme="minorHAnsi" w:hAnsi="Garamond"/>
          <w:color w:val="000000"/>
          <w:sz w:val="24"/>
          <w:szCs w:val="24"/>
          <w14:ligatures w14:val="standardContextual"/>
        </w:rPr>
        <w:t>);</w:t>
      </w:r>
    </w:p>
    <w:p w14:paraId="132E3031" w14:textId="2581519E" w:rsidR="0007274E" w:rsidRPr="00DD58C7" w:rsidRDefault="0007274E" w:rsidP="000727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 vendimin për t</w:t>
      </w:r>
      <w:r w:rsidR="00DD58C7">
        <w:rPr>
          <w:rFonts w:ascii="Garamond" w:eastAsiaTheme="minorHAnsi" w:hAnsi="Garamond"/>
          <w:color w:val="000000"/>
          <w:sz w:val="24"/>
          <w:szCs w:val="24"/>
          <w14:ligatures w14:val="standardContextual"/>
        </w:rPr>
        <w:t>ë njoftuar qeverinë shqiptare (qeveria</w:t>
      </w:r>
      <w:r w:rsidRPr="00DD58C7">
        <w:rPr>
          <w:rFonts w:ascii="Garamond" w:eastAsiaTheme="minorHAnsi" w:hAnsi="Garamond"/>
          <w:color w:val="000000"/>
          <w:sz w:val="24"/>
          <w:szCs w:val="24"/>
          <w14:ligatures w14:val="standardContextual"/>
        </w:rPr>
        <w:t xml:space="preserve">) për ankesën në lidhje me vendimin për të mos pranuar kërkuesin në Shkollën e Magjistraturës për shkak të një </w:t>
      </w:r>
      <w:proofErr w:type="spellStart"/>
      <w:r w:rsidRPr="00DD58C7">
        <w:rPr>
          <w:rFonts w:ascii="Garamond" w:eastAsiaTheme="minorHAnsi" w:hAnsi="Garamond"/>
          <w:i/>
          <w:color w:val="000000"/>
          <w:sz w:val="24"/>
          <w:szCs w:val="24"/>
          <w14:ligatures w14:val="standardContextual"/>
        </w:rPr>
        <w:t>spent</w:t>
      </w:r>
      <w:proofErr w:type="spellEnd"/>
      <w:r w:rsidRPr="00DD58C7">
        <w:rPr>
          <w:rFonts w:ascii="Garamond" w:eastAsiaTheme="minorHAnsi" w:hAnsi="Garamond"/>
          <w:i/>
          <w:color w:val="000000"/>
          <w:sz w:val="24"/>
          <w:szCs w:val="24"/>
          <w14:ligatures w14:val="standardContextual"/>
        </w:rPr>
        <w:t xml:space="preserve"> </w:t>
      </w:r>
      <w:proofErr w:type="spellStart"/>
      <w:r w:rsidRPr="00DD58C7">
        <w:rPr>
          <w:rFonts w:ascii="Garamond" w:eastAsiaTheme="minorHAnsi" w:hAnsi="Garamond"/>
          <w:i/>
          <w:color w:val="000000"/>
          <w:sz w:val="24"/>
          <w:szCs w:val="24"/>
          <w14:ligatures w14:val="standardContextual"/>
        </w:rPr>
        <w:t>juvenile</w:t>
      </w:r>
      <w:proofErr w:type="spellEnd"/>
      <w:r w:rsidRPr="00DD58C7">
        <w:rPr>
          <w:rFonts w:ascii="Garamond" w:eastAsiaTheme="minorHAnsi" w:hAnsi="Garamond"/>
          <w:i/>
          <w:color w:val="000000"/>
          <w:sz w:val="24"/>
          <w:szCs w:val="24"/>
          <w14:ligatures w14:val="standardContextual"/>
        </w:rPr>
        <w:t xml:space="preserve"> </w:t>
      </w:r>
      <w:proofErr w:type="spellStart"/>
      <w:r w:rsidRPr="00DD58C7">
        <w:rPr>
          <w:rFonts w:ascii="Garamond" w:eastAsiaTheme="minorHAnsi" w:hAnsi="Garamond"/>
          <w:i/>
          <w:color w:val="000000"/>
          <w:sz w:val="24"/>
          <w:szCs w:val="24"/>
          <w14:ligatures w14:val="standardContextual"/>
        </w:rPr>
        <w:t>conviction</w:t>
      </w:r>
      <w:proofErr w:type="spellEnd"/>
      <w:r w:rsidRPr="00DD58C7">
        <w:rPr>
          <w:rFonts w:ascii="Garamond" w:eastAsiaTheme="minorHAnsi" w:hAnsi="Garamond"/>
          <w:color w:val="000000"/>
          <w:sz w:val="24"/>
          <w:szCs w:val="24"/>
          <w14:ligatures w14:val="standardContextual"/>
        </w:rPr>
        <w:t>, dhe për të deklaruar të papranueshme pjesën tjetër të kërkesës;</w:t>
      </w:r>
    </w:p>
    <w:p w14:paraId="6DFB8311" w14:textId="52B8EAA5" w:rsidR="0007274E" w:rsidRPr="00DD58C7" w:rsidRDefault="0007274E" w:rsidP="000727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 vërejtjet e palëve;</w:t>
      </w:r>
    </w:p>
    <w:p w14:paraId="64E01703" w14:textId="5C95F951" w:rsidR="0007274E" w:rsidRPr="00DD58C7" w:rsidRDefault="0007274E" w:rsidP="000727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 Pasi diskutoi me dyer të mbyllura</w:t>
      </w:r>
      <w:r w:rsidR="00DD58C7">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më 10 </w:t>
      </w:r>
      <w:r w:rsidR="00DD58C7">
        <w:rPr>
          <w:rFonts w:ascii="Garamond" w:eastAsiaTheme="minorHAnsi" w:hAnsi="Garamond"/>
          <w:color w:val="000000"/>
          <w:sz w:val="24"/>
          <w:szCs w:val="24"/>
          <w14:ligatures w14:val="standardContextual"/>
        </w:rPr>
        <w:t>s</w:t>
      </w:r>
      <w:r w:rsidRPr="00DD58C7">
        <w:rPr>
          <w:rFonts w:ascii="Garamond" w:eastAsiaTheme="minorHAnsi" w:hAnsi="Garamond"/>
          <w:color w:val="000000"/>
          <w:sz w:val="24"/>
          <w:szCs w:val="24"/>
          <w14:ligatures w14:val="standardContextual"/>
        </w:rPr>
        <w:t xml:space="preserve">hkurt 2026, </w:t>
      </w:r>
    </w:p>
    <w:p w14:paraId="03DFC767" w14:textId="00516E3E" w:rsidR="0007274E" w:rsidRPr="00DD58C7" w:rsidRDefault="0007274E" w:rsidP="000727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 Shpall vendimin e mëposhtëm, që u miratua në të njëjtën datë: </w:t>
      </w:r>
    </w:p>
    <w:p w14:paraId="1FF90731" w14:textId="77777777" w:rsidR="0007274E" w:rsidRPr="00DD58C7" w:rsidRDefault="0007274E" w:rsidP="000727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HYRJE</w:t>
      </w:r>
    </w:p>
    <w:p w14:paraId="6B1E80FA" w14:textId="27A6C15F" w:rsidR="0007274E" w:rsidRPr="00DD58C7" w:rsidRDefault="0007274E" w:rsidP="000727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lastRenderedPageBreak/>
        <w:t>1. Çështja ka të bëjë me refuzimin e pranimit të kërkuesit në Shkollën e Magjistraturës për formim si prokuror për shkak të një dënimi për vjedhje të kryer kur ai ishte i mitur, për të cilin më pas ishte rehabilituar ligjërisht.</w:t>
      </w:r>
    </w:p>
    <w:p w14:paraId="10592584" w14:textId="77777777" w:rsidR="0007274E" w:rsidRPr="00DD58C7" w:rsidRDefault="0007274E" w:rsidP="000727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FAKTET</w:t>
      </w:r>
    </w:p>
    <w:p w14:paraId="1C1807FA" w14:textId="3168B2BB" w:rsidR="0007274E" w:rsidRPr="00DD58C7" w:rsidRDefault="0007274E" w:rsidP="000727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2. Kërkuesi ka lindur në vitin 1991 dhe jeton në Pogradec. Ai u përfaqësua nga </w:t>
      </w:r>
      <w:r w:rsidR="00683D30">
        <w:rPr>
          <w:rFonts w:ascii="Garamond" w:eastAsiaTheme="minorHAnsi" w:hAnsi="Garamond"/>
          <w:color w:val="000000"/>
          <w:sz w:val="24"/>
          <w:szCs w:val="24"/>
          <w14:ligatures w14:val="standardContextual"/>
        </w:rPr>
        <w:t>z</w:t>
      </w:r>
      <w:r w:rsidRPr="00DD58C7">
        <w:rPr>
          <w:rFonts w:ascii="Garamond" w:eastAsiaTheme="minorHAnsi" w:hAnsi="Garamond"/>
          <w:color w:val="000000"/>
          <w:sz w:val="24"/>
          <w:szCs w:val="24"/>
          <w14:ligatures w14:val="standardContextual"/>
        </w:rPr>
        <w:t xml:space="preserve">. E. </w:t>
      </w:r>
      <w:proofErr w:type="spellStart"/>
      <w:r w:rsidRPr="00DD58C7">
        <w:rPr>
          <w:rFonts w:ascii="Garamond" w:eastAsiaTheme="minorHAnsi" w:hAnsi="Garamond"/>
          <w:color w:val="000000"/>
          <w:sz w:val="24"/>
          <w:szCs w:val="24"/>
          <w14:ligatures w14:val="standardContextual"/>
        </w:rPr>
        <w:t>Yzeiraj</w:t>
      </w:r>
      <w:proofErr w:type="spellEnd"/>
      <w:r w:rsidRPr="00DD58C7">
        <w:rPr>
          <w:rFonts w:ascii="Garamond" w:eastAsiaTheme="minorHAnsi" w:hAnsi="Garamond"/>
          <w:color w:val="000000"/>
          <w:sz w:val="24"/>
          <w:szCs w:val="24"/>
          <w14:ligatures w14:val="standardContextual"/>
        </w:rPr>
        <w:t>, një avokat që ushtron profesionin në Tiranë.</w:t>
      </w:r>
    </w:p>
    <w:p w14:paraId="60F6BC0A" w14:textId="6D8B5A3D" w:rsidR="0007274E" w:rsidRPr="00DD58C7" w:rsidRDefault="0007274E" w:rsidP="000727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3. Qeveria u përfaqësua nga </w:t>
      </w:r>
      <w:r w:rsidR="00683D30">
        <w:rPr>
          <w:rFonts w:ascii="Garamond" w:eastAsiaTheme="minorHAnsi" w:hAnsi="Garamond"/>
          <w:color w:val="000000"/>
          <w:sz w:val="24"/>
          <w:szCs w:val="24"/>
          <w14:ligatures w14:val="standardContextual"/>
        </w:rPr>
        <w:t>z</w:t>
      </w:r>
      <w:r w:rsidRPr="00DD58C7">
        <w:rPr>
          <w:rFonts w:ascii="Garamond" w:eastAsiaTheme="minorHAnsi" w:hAnsi="Garamond"/>
          <w:color w:val="000000"/>
          <w:sz w:val="24"/>
          <w:szCs w:val="24"/>
          <w14:ligatures w14:val="standardContextual"/>
        </w:rPr>
        <w:t xml:space="preserve">. O. </w:t>
      </w:r>
      <w:proofErr w:type="spellStart"/>
      <w:r w:rsidRPr="00DD58C7">
        <w:rPr>
          <w:rFonts w:ascii="Garamond" w:eastAsiaTheme="minorHAnsi" w:hAnsi="Garamond"/>
          <w:color w:val="000000"/>
          <w:sz w:val="24"/>
          <w:szCs w:val="24"/>
          <w14:ligatures w14:val="standardContextual"/>
        </w:rPr>
        <w:t>Moçka</w:t>
      </w:r>
      <w:proofErr w:type="spellEnd"/>
      <w:r w:rsidRPr="00DD58C7">
        <w:rPr>
          <w:rFonts w:ascii="Garamond" w:eastAsiaTheme="minorHAnsi" w:hAnsi="Garamond"/>
          <w:color w:val="000000"/>
          <w:sz w:val="24"/>
          <w:szCs w:val="24"/>
          <w14:ligatures w14:val="standardContextual"/>
        </w:rPr>
        <w:t>, Avokat i Përgjithshëm i Shtetit.</w:t>
      </w:r>
    </w:p>
    <w:p w14:paraId="7498AAA4" w14:textId="009529E5" w:rsidR="0007274E" w:rsidRPr="00DD58C7" w:rsidRDefault="0007274E" w:rsidP="000727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4. Faktet e çështjes mund të përmblidhen</w:t>
      </w:r>
      <w:r w:rsidR="00683D30">
        <w:rPr>
          <w:rFonts w:ascii="Garamond" w:eastAsiaTheme="minorHAnsi" w:hAnsi="Garamond"/>
          <w:color w:val="000000"/>
          <w:sz w:val="24"/>
          <w:szCs w:val="24"/>
          <w14:ligatures w14:val="standardContextual"/>
        </w:rPr>
        <w:t xml:space="preserve"> si më poshtë.</w:t>
      </w:r>
    </w:p>
    <w:p w14:paraId="1F1A5869" w14:textId="589C4AA5" w:rsidR="0007274E" w:rsidRPr="00DD58C7" w:rsidRDefault="0007274E" w:rsidP="000727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I. REFUZIMI PËR T’U PRANUAR NË SHKOLLËN E MAGJISTRATURËS</w:t>
      </w:r>
    </w:p>
    <w:p w14:paraId="36C78BD6" w14:textId="52E30DB0"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5. Në muajin </w:t>
      </w:r>
      <w:r w:rsidR="00683D30">
        <w:rPr>
          <w:rFonts w:ascii="Garamond" w:eastAsiaTheme="minorHAnsi" w:hAnsi="Garamond"/>
          <w:color w:val="000000"/>
          <w:sz w:val="24"/>
          <w:szCs w:val="24"/>
          <w14:ligatures w14:val="standardContextual"/>
        </w:rPr>
        <w:t>s</w:t>
      </w:r>
      <w:r w:rsidRPr="00DD58C7">
        <w:rPr>
          <w:rFonts w:ascii="Garamond" w:eastAsiaTheme="minorHAnsi" w:hAnsi="Garamond"/>
          <w:color w:val="000000"/>
          <w:sz w:val="24"/>
          <w:szCs w:val="24"/>
          <w14:ligatures w14:val="standardContextual"/>
        </w:rPr>
        <w:t>hkurt të vitit 2020, kërkuesi aplikoi p</w:t>
      </w:r>
      <w:r w:rsidR="00683D30">
        <w:rPr>
          <w:rFonts w:ascii="Garamond" w:eastAsiaTheme="minorHAnsi" w:hAnsi="Garamond"/>
          <w:color w:val="000000"/>
          <w:sz w:val="24"/>
          <w:szCs w:val="24"/>
          <w14:ligatures w14:val="standardContextual"/>
        </w:rPr>
        <w:t>ër t’u pranuar në programin tre</w:t>
      </w:r>
      <w:r w:rsidRPr="00DD58C7">
        <w:rPr>
          <w:rFonts w:ascii="Garamond" w:eastAsiaTheme="minorHAnsi" w:hAnsi="Garamond"/>
          <w:color w:val="000000"/>
          <w:sz w:val="24"/>
          <w:szCs w:val="24"/>
          <w14:ligatures w14:val="standardContextual"/>
        </w:rPr>
        <w:t>vjeçar të formimit fillestar për magjistratë (profili prokuror) në Shkollën e Magjistraturës për vitin akademik 2020</w:t>
      </w:r>
      <w:r w:rsidR="00683D30">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2021. Në aplikimin e tij, kërkuesi deklaroi se në v</w:t>
      </w:r>
      <w:r w:rsidR="00683D30">
        <w:rPr>
          <w:rFonts w:ascii="Garamond" w:eastAsiaTheme="minorHAnsi" w:hAnsi="Garamond"/>
          <w:color w:val="000000"/>
          <w:sz w:val="24"/>
          <w:szCs w:val="24"/>
          <w14:ligatures w14:val="standardContextual"/>
        </w:rPr>
        <w:t>itin 2006, në moshën 15-vjeçare</w:t>
      </w:r>
      <w:r w:rsidRPr="00DD58C7">
        <w:rPr>
          <w:rFonts w:ascii="Garamond" w:eastAsiaTheme="minorHAnsi" w:hAnsi="Garamond"/>
          <w:color w:val="000000"/>
          <w:sz w:val="24"/>
          <w:szCs w:val="24"/>
          <w14:ligatures w14:val="standardContextual"/>
        </w:rPr>
        <w:t>, ishte dënuar për vjedhje, se ishte zbatuar një dënim me kusht, dhe se ishte rehabilituar që nga 1 dhjetori 2014. Ai</w:t>
      </w:r>
      <w:r w:rsidR="00683D30">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gjithashtu</w:t>
      </w:r>
      <w:r w:rsidR="00683D30">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paraqiti një certifikatë nga Drejtoria e Përgjithshme e Burgjeve (Ministria e Drejtësisë) e datës 29 </w:t>
      </w:r>
      <w:r w:rsidR="00683D30">
        <w:rPr>
          <w:rFonts w:ascii="Garamond" w:eastAsiaTheme="minorHAnsi" w:hAnsi="Garamond"/>
          <w:color w:val="000000"/>
          <w:sz w:val="24"/>
          <w:szCs w:val="24"/>
          <w14:ligatures w14:val="standardContextual"/>
        </w:rPr>
        <w:t>m</w:t>
      </w:r>
      <w:r w:rsidRPr="00DD58C7">
        <w:rPr>
          <w:rFonts w:ascii="Garamond" w:eastAsiaTheme="minorHAnsi" w:hAnsi="Garamond"/>
          <w:color w:val="000000"/>
          <w:sz w:val="24"/>
          <w:szCs w:val="24"/>
          <w14:ligatures w14:val="standardContextual"/>
        </w:rPr>
        <w:t>aj 2017, e cila tregonte dënimin e tij të vitit 2006 dhe deklaronte se ai ishte rehabilituar sipas nenit 69 të Kodit Penal. Pas një vlerësimi paraprak, ai u përfshi në listën e kandidatëve që përmbushnin kriteret e pranimit për programin, e cila u miratua nga K</w:t>
      </w:r>
      <w:r w:rsidR="00683D30">
        <w:rPr>
          <w:rFonts w:ascii="Garamond" w:eastAsiaTheme="minorHAnsi" w:hAnsi="Garamond"/>
          <w:color w:val="000000"/>
          <w:sz w:val="24"/>
          <w:szCs w:val="24"/>
          <w14:ligatures w14:val="standardContextual"/>
        </w:rPr>
        <w:t>ëshilli i Lartë i Prokurorisë (</w:t>
      </w:r>
      <w:proofErr w:type="spellStart"/>
      <w:r w:rsidRPr="00DD58C7">
        <w:rPr>
          <w:rFonts w:ascii="Garamond" w:eastAsiaTheme="minorHAnsi" w:hAnsi="Garamond"/>
          <w:color w:val="000000"/>
          <w:sz w:val="24"/>
          <w:szCs w:val="24"/>
          <w14:ligatures w14:val="standardContextual"/>
        </w:rPr>
        <w:t>KLP</w:t>
      </w:r>
      <w:proofErr w:type="spellEnd"/>
      <w:r w:rsidRPr="00DD58C7">
        <w:rPr>
          <w:rFonts w:ascii="Garamond" w:eastAsiaTheme="minorHAnsi" w:hAnsi="Garamond"/>
          <w:color w:val="000000"/>
          <w:sz w:val="24"/>
          <w:szCs w:val="24"/>
          <w14:ligatures w14:val="standardContextual"/>
        </w:rPr>
        <w:t xml:space="preserve">). Ai e kaloi provimin e pranimit. Si pjesë e procesit të pranimit, </w:t>
      </w:r>
      <w:proofErr w:type="spellStart"/>
      <w:r w:rsidRPr="00DD58C7">
        <w:rPr>
          <w:rFonts w:ascii="Garamond" w:eastAsiaTheme="minorHAnsi" w:hAnsi="Garamond"/>
          <w:color w:val="000000"/>
          <w:sz w:val="24"/>
          <w:szCs w:val="24"/>
          <w14:ligatures w14:val="standardContextual"/>
        </w:rPr>
        <w:t>KLP</w:t>
      </w:r>
      <w:proofErr w:type="spellEnd"/>
      <w:r w:rsidR="00314407">
        <w:rPr>
          <w:rFonts w:ascii="Garamond" w:eastAsiaTheme="minorHAnsi" w:hAnsi="Garamond"/>
          <w:color w:val="000000"/>
          <w:sz w:val="24"/>
          <w:szCs w:val="24"/>
          <w14:ligatures w14:val="standardContextual"/>
        </w:rPr>
        <w:t>-ja</w:t>
      </w:r>
      <w:r w:rsidRPr="00DD58C7">
        <w:rPr>
          <w:rFonts w:ascii="Garamond" w:eastAsiaTheme="minorHAnsi" w:hAnsi="Garamond"/>
          <w:color w:val="000000"/>
          <w:sz w:val="24"/>
          <w:szCs w:val="24"/>
          <w14:ligatures w14:val="standardContextual"/>
        </w:rPr>
        <w:t xml:space="preserve"> më pas kreu një verifikim të pasurive të tij dhe kontrolle të </w:t>
      </w:r>
      <w:proofErr w:type="spellStart"/>
      <w:r w:rsidRPr="00DD58C7">
        <w:rPr>
          <w:rFonts w:ascii="Garamond" w:eastAsiaTheme="minorHAnsi" w:hAnsi="Garamond"/>
          <w:color w:val="000000"/>
          <w:sz w:val="24"/>
          <w:szCs w:val="24"/>
          <w14:ligatures w14:val="standardContextual"/>
        </w:rPr>
        <w:t>të</w:t>
      </w:r>
      <w:proofErr w:type="spellEnd"/>
      <w:r w:rsidRPr="00DD58C7">
        <w:rPr>
          <w:rFonts w:ascii="Garamond" w:eastAsiaTheme="minorHAnsi" w:hAnsi="Garamond"/>
          <w:color w:val="000000"/>
          <w:sz w:val="24"/>
          <w:szCs w:val="24"/>
          <w14:ligatures w14:val="standardContextual"/>
        </w:rPr>
        <w:t xml:space="preserve"> dhënave. Kërkuesi paraqiti përsëri informacion në lidhje me dënimin e tij në një formular </w:t>
      </w:r>
      <w:proofErr w:type="spellStart"/>
      <w:r w:rsidRPr="00DD58C7">
        <w:rPr>
          <w:rFonts w:ascii="Garamond" w:eastAsiaTheme="minorHAnsi" w:hAnsi="Garamond"/>
          <w:color w:val="000000"/>
          <w:sz w:val="24"/>
          <w:szCs w:val="24"/>
          <w14:ligatures w14:val="standardContextual"/>
        </w:rPr>
        <w:t>vetëdeklarimi</w:t>
      </w:r>
      <w:proofErr w:type="spellEnd"/>
      <w:r w:rsidR="00314407">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në përputhje me Aktin e </w:t>
      </w:r>
      <w:proofErr w:type="spellStart"/>
      <w:r w:rsidRPr="00DD58C7">
        <w:rPr>
          <w:rFonts w:ascii="Garamond" w:eastAsiaTheme="minorHAnsi" w:hAnsi="Garamond"/>
          <w:color w:val="000000"/>
          <w:sz w:val="24"/>
          <w:szCs w:val="24"/>
          <w14:ligatures w14:val="standardContextual"/>
        </w:rPr>
        <w:t>Dekriminalizimit</w:t>
      </w:r>
      <w:proofErr w:type="spellEnd"/>
      <w:r w:rsidRPr="00DD58C7">
        <w:rPr>
          <w:rFonts w:ascii="Garamond" w:eastAsiaTheme="minorHAnsi" w:hAnsi="Garamond"/>
          <w:color w:val="000000"/>
          <w:sz w:val="24"/>
          <w:szCs w:val="24"/>
          <w14:ligatures w14:val="standardContextual"/>
        </w:rPr>
        <w:t xml:space="preserve"> (shih paragrafin 16 më poshtë).</w:t>
      </w:r>
    </w:p>
    <w:p w14:paraId="204C5AC6" w14:textId="5D0E706F"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6. Në një mbledhje plenare të mbajtur më 17 </w:t>
      </w:r>
      <w:r w:rsidR="00314407">
        <w:rPr>
          <w:rFonts w:ascii="Garamond" w:eastAsiaTheme="minorHAnsi" w:hAnsi="Garamond"/>
          <w:color w:val="000000"/>
          <w:sz w:val="24"/>
          <w:szCs w:val="24"/>
          <w14:ligatures w14:val="standardContextual"/>
        </w:rPr>
        <w:t>d</w:t>
      </w:r>
      <w:r w:rsidRPr="00DD58C7">
        <w:rPr>
          <w:rFonts w:ascii="Garamond" w:eastAsiaTheme="minorHAnsi" w:hAnsi="Garamond"/>
          <w:color w:val="000000"/>
          <w:sz w:val="24"/>
          <w:szCs w:val="24"/>
          <w14:ligatures w14:val="standardContextual"/>
        </w:rPr>
        <w:t xml:space="preserve">hjetor 2020, </w:t>
      </w:r>
      <w:proofErr w:type="spellStart"/>
      <w:r w:rsidRPr="00DD58C7">
        <w:rPr>
          <w:rFonts w:ascii="Garamond" w:eastAsiaTheme="minorHAnsi" w:hAnsi="Garamond"/>
          <w:color w:val="000000"/>
          <w:sz w:val="24"/>
          <w:szCs w:val="24"/>
          <w14:ligatures w14:val="standardContextual"/>
        </w:rPr>
        <w:t>KLP</w:t>
      </w:r>
      <w:proofErr w:type="spellEnd"/>
      <w:r w:rsidR="00314407">
        <w:rPr>
          <w:rFonts w:ascii="Garamond" w:eastAsiaTheme="minorHAnsi" w:hAnsi="Garamond"/>
          <w:color w:val="000000"/>
          <w:sz w:val="24"/>
          <w:szCs w:val="24"/>
          <w14:ligatures w14:val="standardContextual"/>
        </w:rPr>
        <w:t>--j</w:t>
      </w:r>
      <w:r w:rsidRPr="00DD58C7">
        <w:rPr>
          <w:rFonts w:ascii="Garamond" w:eastAsiaTheme="minorHAnsi" w:hAnsi="Garamond"/>
          <w:color w:val="000000"/>
          <w:sz w:val="24"/>
          <w:szCs w:val="24"/>
          <w14:ligatures w14:val="standardContextual"/>
        </w:rPr>
        <w:t xml:space="preserve"> vendosi, me shumicë votash (shtatë me dy), se duke pasur parasysh dënimin e tij, kërkuesi nuk e plotësonte kriterin e pranimit sipas nenit 28(d) të Ligjit për Statusin e Gjyqtarëve dhe Prokurorëve (shih paragrafin 14 më poshtë) dhe për këtë arsye nuk duhej të pranohej. </w:t>
      </w:r>
      <w:proofErr w:type="spellStart"/>
      <w:r w:rsidRPr="00DD58C7">
        <w:rPr>
          <w:rFonts w:ascii="Garamond" w:eastAsiaTheme="minorHAnsi" w:hAnsi="Garamond"/>
          <w:color w:val="000000"/>
          <w:sz w:val="24"/>
          <w:szCs w:val="24"/>
          <w14:ligatures w14:val="standardContextual"/>
        </w:rPr>
        <w:t>KLP</w:t>
      </w:r>
      <w:proofErr w:type="spellEnd"/>
      <w:r w:rsidR="00314407">
        <w:rPr>
          <w:rFonts w:ascii="Garamond" w:eastAsiaTheme="minorHAnsi" w:hAnsi="Garamond"/>
          <w:color w:val="000000"/>
          <w:sz w:val="24"/>
          <w:szCs w:val="24"/>
          <w14:ligatures w14:val="standardContextual"/>
        </w:rPr>
        <w:t>-ja</w:t>
      </w:r>
      <w:r w:rsidRPr="00DD58C7">
        <w:rPr>
          <w:rFonts w:ascii="Garamond" w:eastAsiaTheme="minorHAnsi" w:hAnsi="Garamond"/>
          <w:color w:val="000000"/>
          <w:sz w:val="24"/>
          <w:szCs w:val="24"/>
          <w14:ligatures w14:val="standardContextual"/>
        </w:rPr>
        <w:t xml:space="preserve"> deklaroi se dispozita e kontestuar duhej të lexohej në një mënyrë të tillë që të merrte parasysh të gjithë historinë kriminale të një individi, sepse legjislatura kishte shprehur qartë qëllimin e saj për të ndaluar personat me dënime penale të bëheshin pjesë e sistemit gjyqësor. Gjatë diskutimeve të saj, </w:t>
      </w:r>
      <w:proofErr w:type="spellStart"/>
      <w:r w:rsidRPr="00DD58C7">
        <w:rPr>
          <w:rFonts w:ascii="Garamond" w:eastAsiaTheme="minorHAnsi" w:hAnsi="Garamond"/>
          <w:color w:val="000000"/>
          <w:sz w:val="24"/>
          <w:szCs w:val="24"/>
          <w14:ligatures w14:val="standardContextual"/>
        </w:rPr>
        <w:t>KLP</w:t>
      </w:r>
      <w:proofErr w:type="spellEnd"/>
      <w:r w:rsidR="00314407">
        <w:rPr>
          <w:rFonts w:ascii="Garamond" w:eastAsiaTheme="minorHAnsi" w:hAnsi="Garamond"/>
          <w:color w:val="000000"/>
          <w:sz w:val="24"/>
          <w:szCs w:val="24"/>
          <w14:ligatures w14:val="standardContextual"/>
        </w:rPr>
        <w:t>-ja</w:t>
      </w:r>
      <w:r w:rsidRPr="00DD58C7">
        <w:rPr>
          <w:rFonts w:ascii="Garamond" w:eastAsiaTheme="minorHAnsi" w:hAnsi="Garamond"/>
          <w:color w:val="000000"/>
          <w:sz w:val="24"/>
          <w:szCs w:val="24"/>
          <w14:ligatures w14:val="standardContextual"/>
        </w:rPr>
        <w:t xml:space="preserve"> mori në konsideratë, ndër të tjera, projekt-ndryshimet në nenin 28(d) që qarkullonin në atë kohë me idenë e parashikimit që personat me dënim penal </w:t>
      </w:r>
      <w:r w:rsidR="00314407">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pavarësisht rehabilitimit </w:t>
      </w:r>
      <w:r w:rsidR="00314407">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nuk do të kualifikoheshin për formimin e magjistratëve. Dy anëtarë të </w:t>
      </w:r>
      <w:proofErr w:type="spellStart"/>
      <w:r w:rsidRPr="00DD58C7">
        <w:rPr>
          <w:rFonts w:ascii="Garamond" w:eastAsiaTheme="minorHAnsi" w:hAnsi="Garamond"/>
          <w:color w:val="000000"/>
          <w:sz w:val="24"/>
          <w:szCs w:val="24"/>
          <w14:ligatures w14:val="standardContextual"/>
        </w:rPr>
        <w:t>KLP</w:t>
      </w:r>
      <w:proofErr w:type="spellEnd"/>
      <w:r w:rsidRPr="00DD58C7">
        <w:rPr>
          <w:rFonts w:ascii="Garamond" w:eastAsiaTheme="minorHAnsi" w:hAnsi="Garamond"/>
          <w:color w:val="000000"/>
          <w:sz w:val="24"/>
          <w:szCs w:val="24"/>
          <w14:ligatures w14:val="standardContextual"/>
        </w:rPr>
        <w:t xml:space="preserve">-së nuk ishin dakord, duke deklaruar në mendimin e tyre mospajtues se, sipas </w:t>
      </w:r>
      <w:r w:rsidR="00314407">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 xml:space="preserve">enit 69(b) të Kodit Penal (shih paragrafin 18 më poshtë), kërkuesi konsiderohej se nuk kishte dënime. Duke miratuar dispozitën e kontestuar (që do thotë, nenin 28(d) siç ishte në fuqi në kohën e vendimit të </w:t>
      </w:r>
      <w:proofErr w:type="spellStart"/>
      <w:r w:rsidRPr="00DD58C7">
        <w:rPr>
          <w:rFonts w:ascii="Garamond" w:eastAsiaTheme="minorHAnsi" w:hAnsi="Garamond"/>
          <w:color w:val="000000"/>
          <w:sz w:val="24"/>
          <w:szCs w:val="24"/>
          <w14:ligatures w14:val="standardContextual"/>
        </w:rPr>
        <w:t>KLP</w:t>
      </w:r>
      <w:proofErr w:type="spellEnd"/>
      <w:r w:rsidRPr="00DD58C7">
        <w:rPr>
          <w:rFonts w:ascii="Garamond" w:eastAsiaTheme="minorHAnsi" w:hAnsi="Garamond"/>
          <w:color w:val="000000"/>
          <w:sz w:val="24"/>
          <w:szCs w:val="24"/>
          <w14:ligatures w14:val="standardContextual"/>
        </w:rPr>
        <w:t>-së), legjislatura kishte hequr fjalën “asnjëherë [i dënuar]” që ishte shfaqur në projekt-propozim dhe nuk kishte përfshirë asnjë dispozitë specifike që do të përjashtonte rehabilitimin.</w:t>
      </w:r>
    </w:p>
    <w:p w14:paraId="2C432317" w14:textId="010E191D" w:rsidR="0007274E" w:rsidRPr="00DD58C7" w:rsidRDefault="0007274E" w:rsidP="0007274E">
      <w:pPr>
        <w:autoSpaceDE w:val="0"/>
        <w:autoSpaceDN w:val="0"/>
        <w:adjustRightInd w:val="0"/>
        <w:spacing w:after="0" w:line="240" w:lineRule="auto"/>
        <w:ind w:firstLine="284"/>
        <w:jc w:val="both"/>
        <w:rPr>
          <w:rFonts w:ascii="Garamond" w:eastAsiaTheme="minorHAnsi" w:hAnsi="Garamond" w:cs="Calibri"/>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7. Kërkuesi apeloi kundër vendimit të </w:t>
      </w:r>
      <w:proofErr w:type="spellStart"/>
      <w:r w:rsidRPr="00DD58C7">
        <w:rPr>
          <w:rFonts w:ascii="Garamond" w:eastAsiaTheme="minorHAnsi" w:hAnsi="Garamond"/>
          <w:color w:val="000000"/>
          <w:sz w:val="24"/>
          <w:szCs w:val="24"/>
          <w14:ligatures w14:val="standardContextual"/>
        </w:rPr>
        <w:t>KLP</w:t>
      </w:r>
      <w:proofErr w:type="spellEnd"/>
      <w:r w:rsidRPr="00DD58C7">
        <w:rPr>
          <w:rFonts w:ascii="Garamond" w:eastAsiaTheme="minorHAnsi" w:hAnsi="Garamond"/>
          <w:color w:val="000000"/>
          <w:sz w:val="24"/>
          <w:szCs w:val="24"/>
          <w14:ligatures w14:val="standardContextual"/>
        </w:rPr>
        <w:t xml:space="preserve">-së. Më 18 </w:t>
      </w:r>
      <w:r w:rsidR="00314407">
        <w:rPr>
          <w:rFonts w:ascii="Garamond" w:eastAsiaTheme="minorHAnsi" w:hAnsi="Garamond"/>
          <w:color w:val="000000"/>
          <w:sz w:val="24"/>
          <w:szCs w:val="24"/>
          <w14:ligatures w14:val="standardContextual"/>
        </w:rPr>
        <w:t>m</w:t>
      </w:r>
      <w:r w:rsidRPr="00DD58C7">
        <w:rPr>
          <w:rFonts w:ascii="Garamond" w:eastAsiaTheme="minorHAnsi" w:hAnsi="Garamond"/>
          <w:color w:val="000000"/>
          <w:sz w:val="24"/>
          <w:szCs w:val="24"/>
          <w14:ligatures w14:val="standardContextual"/>
        </w:rPr>
        <w:t>ars 2021, Gjykata Administrative e Apelit, me dy vota pro dhe një kundër, e rrëzoi apelin e tij. Duke iu përgjigjur argumentit të kërkuesit se sipas nenit 69(b) të Kodit Penal ai konsiderohej se nuk kishte dënime dhe se për këtë arsye nuk kishte pengesa ligjore për pranimin e tij në Shkollën e Magjistraturës, gjykata deklaroi se neni 28(d) i Ligjit për Statusin e Gjyqtarëve dhe Prokurorëve, duke qenë një ligj i veçantë që rregullon kushtet dhe kriteret për pranimin në atë institucion dhe duke pasur përparësi ndaj dispozitave të tjera ligjore, nuk i referohej një supozimi juridik ose të dhënave penale, por faktit të dënimit, pavarësisht nga rehabilitimi. Në një mendim të veçantë, gjyqtari mospajtues theksoi se, në përputhje me nenin 69 të Kodit Penal mbi rehabilitimin, dënimi i kërkuesit ligjërisht nuk ekzistonte më. Për këtë arsye, fakti që ai ishte dënuar nuk binte nën kriterin përjashtues të nenit 28(d) të Ligjit për Statusin e Gjyqtarëve dhe Prokurorëve, sipas një interpretimi të drejtë të asaj dispozite, dhe për këtë arsye nuk kishte pengesa ligjore për pranimin e tij në Shkollën e Magjistraturës.</w:t>
      </w:r>
    </w:p>
    <w:p w14:paraId="26A5F5EF" w14:textId="409D0A51" w:rsidR="0007274E" w:rsidRPr="00DD58C7" w:rsidRDefault="0007274E" w:rsidP="0007274E">
      <w:pPr>
        <w:autoSpaceDE w:val="0"/>
        <w:autoSpaceDN w:val="0"/>
        <w:adjustRightInd w:val="0"/>
        <w:spacing w:after="0" w:line="240" w:lineRule="auto"/>
        <w:ind w:firstLine="284"/>
        <w:jc w:val="both"/>
        <w:rPr>
          <w:rFonts w:ascii="Garamond" w:eastAsiaTheme="minorHAnsi" w:hAnsi="Garamond" w:cs="Calibri"/>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8. Kërkuesi apeloi kundër vendimit të Gjykatës Administrative të Apelit. Më 17 </w:t>
      </w:r>
      <w:r w:rsidR="00314407">
        <w:rPr>
          <w:rFonts w:ascii="Garamond" w:eastAsiaTheme="minorHAnsi" w:hAnsi="Garamond"/>
          <w:color w:val="000000"/>
          <w:sz w:val="24"/>
          <w:szCs w:val="24"/>
          <w14:ligatures w14:val="standardContextual"/>
        </w:rPr>
        <w:t>m</w:t>
      </w:r>
      <w:r w:rsidRPr="00DD58C7">
        <w:rPr>
          <w:rFonts w:ascii="Garamond" w:eastAsiaTheme="minorHAnsi" w:hAnsi="Garamond"/>
          <w:color w:val="000000"/>
          <w:sz w:val="24"/>
          <w:szCs w:val="24"/>
          <w14:ligatures w14:val="standardContextual"/>
        </w:rPr>
        <w:t xml:space="preserve">ars 2022, Gjykata e Lartë e rrëzoi unanimisht apelin e tij, duke deklaruar, ndër të tjera, se dispozita e kontestuar në nenin 28(d) të Ligjit për Statusin e Gjyqtarëve dhe Prokurorëve ishte e paqartë dhe se kishte pasur probleme gjatë zbatimit të saj. Për këtë arsye, ajo ishte ndryshuar nga organi ligjvënës </w:t>
      </w:r>
      <w:r w:rsidRPr="00DD58C7">
        <w:rPr>
          <w:rFonts w:ascii="Garamond" w:eastAsiaTheme="minorHAnsi" w:hAnsi="Garamond"/>
          <w:color w:val="000000"/>
          <w:sz w:val="24"/>
          <w:szCs w:val="24"/>
          <w14:ligatures w14:val="standardContextual"/>
        </w:rPr>
        <w:lastRenderedPageBreak/>
        <w:t xml:space="preserve">më 23 </w:t>
      </w:r>
      <w:r w:rsidR="00314407">
        <w:rPr>
          <w:rFonts w:ascii="Garamond" w:eastAsiaTheme="minorHAnsi" w:hAnsi="Garamond"/>
          <w:color w:val="000000"/>
          <w:sz w:val="24"/>
          <w:szCs w:val="24"/>
          <w14:ligatures w14:val="standardContextual"/>
        </w:rPr>
        <w:t>m</w:t>
      </w:r>
      <w:r w:rsidRPr="00DD58C7">
        <w:rPr>
          <w:rFonts w:ascii="Garamond" w:eastAsiaTheme="minorHAnsi" w:hAnsi="Garamond"/>
          <w:color w:val="000000"/>
          <w:sz w:val="24"/>
          <w:szCs w:val="24"/>
          <w14:ligatures w14:val="standardContextual"/>
        </w:rPr>
        <w:t xml:space="preserve">ars 2021 (shih paragrafin 14 më poshtë). E ndryshuar, ajo parashikonte në mënyrë të qartë se rehabilitimi nuk do të ishte vendimtar. Duke ndryshuar dispozitën në këtë mënyrë, organi ligjvënës kishte konfirmuar atë që në fakt duhej të ishte nxjerrë nga organet </w:t>
      </w:r>
      <w:proofErr w:type="spellStart"/>
      <w:r w:rsidRPr="00DD58C7">
        <w:rPr>
          <w:rFonts w:ascii="Garamond" w:eastAsiaTheme="minorHAnsi" w:hAnsi="Garamond"/>
          <w:color w:val="000000"/>
          <w:sz w:val="24"/>
          <w:szCs w:val="24"/>
          <w14:ligatures w14:val="standardContextual"/>
        </w:rPr>
        <w:t>ligjzbatuese</w:t>
      </w:r>
      <w:proofErr w:type="spellEnd"/>
      <w:r w:rsidRPr="00DD58C7">
        <w:rPr>
          <w:rFonts w:ascii="Garamond" w:eastAsiaTheme="minorHAnsi" w:hAnsi="Garamond"/>
          <w:color w:val="000000"/>
          <w:sz w:val="24"/>
          <w:szCs w:val="24"/>
          <w14:ligatures w14:val="standardContextual"/>
        </w:rPr>
        <w:t xml:space="preserve"> edhe para ndryshimit. Problemi që ndryshimi kërkonte të adresonte ishte se rehabilitimi zbatohej në parim pavarësisht se sa e rëndë ishte vepra penale, duke përfshirë edhe veprat penale shumë të rënda. Për këtë arsye, neni 28(d) i Ligjit për Statusin e Gjyqtarëve dhe Prokurorëve, edhe para ndryshimeve të vitit 2021, kishte për qëllim të ndalonte ata të dënuar me vendim të formës së prerë që të hynin në sistemin e drejtësisë, pavarësisht nga rehabilitimi apo nëse dënimi ishte shuar më pas dhe konsiderohej se nuk kishte ekzistuar. Ndalimi kishte për qëllim garantimin e integritetit të kërkuar nga një magjistrat. Vjedhja ishte një vepër e rëndë penale e kryer me dashje, e cila diskreditonte imazhin e një zyrtari publik, veçanërisht të një gjyqtari ose prokurori, për të cilin integriteti nuk ishte thjesht një virtyt, por një domosdoshmëri për të siguruar besimin e publikut në sistemin e drejtësisë. Edhe nëse ndryshimet e vitit 2021 do të kishin qenë të zbatueshme, ato nuk do t’i kishin sjellë përfitime kërkuesit për shkak të vetë natyrës së veprës penale të kryer, pavarësisht kalimit të kohës. Këto ndryshime e lidhën ndalimin me natyrën e veprës penale të kryer dhe jo me kushtet dhe rrethanat në të cilat ishte kryer. Prandaj, fakti që kërkuesi e kishte kryer veprën penale si i mitur nuk mund të konsiderohej një faktor lehtësues.</w:t>
      </w:r>
    </w:p>
    <w:p w14:paraId="47D89DBA" w14:textId="22F4D29F" w:rsidR="0007274E" w:rsidRPr="00DD58C7" w:rsidRDefault="0007274E" w:rsidP="0007274E">
      <w:pPr>
        <w:autoSpaceDE w:val="0"/>
        <w:autoSpaceDN w:val="0"/>
        <w:adjustRightInd w:val="0"/>
        <w:spacing w:after="0" w:line="240" w:lineRule="auto"/>
        <w:ind w:firstLine="284"/>
        <w:jc w:val="both"/>
        <w:rPr>
          <w:rFonts w:ascii="Garamond" w:eastAsiaTheme="minorHAnsi" w:hAnsi="Garamond" w:cs="Calibri"/>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9. Kërkuesi paraqiti një ankesë kushtetuese. Më 23 </w:t>
      </w:r>
      <w:r w:rsidR="00314407">
        <w:rPr>
          <w:rFonts w:ascii="Garamond" w:eastAsiaTheme="minorHAnsi" w:hAnsi="Garamond"/>
          <w:color w:val="000000"/>
          <w:sz w:val="24"/>
          <w:szCs w:val="24"/>
          <w14:ligatures w14:val="standardContextual"/>
        </w:rPr>
        <w:t>m</w:t>
      </w:r>
      <w:r w:rsidRPr="00DD58C7">
        <w:rPr>
          <w:rFonts w:ascii="Garamond" w:eastAsiaTheme="minorHAnsi" w:hAnsi="Garamond"/>
          <w:color w:val="000000"/>
          <w:sz w:val="24"/>
          <w:szCs w:val="24"/>
          <w14:ligatures w14:val="standardContextual"/>
        </w:rPr>
        <w:t xml:space="preserve">ars 2023, Gjykata Kushtetuese, me pesë vota pro dhe një kundër, e rrëzoi ankesën e tij. Ajo deklaroi, në veçanti, se garantimi i integritetit të zyrtarëve publikë përbënte një qëllim legjitim për mbrojtjen e pavarësisë së shtetit, rendit demokratik dhe sigurisë kombëtare. Një ligj mund të kufizonte të drejtën për të ushtruar një profesion duke vendosur kritere të caktuara për të mbrojtur interesin publik. Ligji për Statusin e Gjyqtarëve dhe Prokurorëve kishte për qëllim garantimin e integritetit të kandidatëve për një karrierë si magjistrat (domethënë, një karrierë si gjyqtar ose prokuror). Interpretimi i tij nga gjykatat në rastin e kërkuesit nuk dukej arbitrar në kuptimin kushtetues. Prandaj, vendimet gjyqësore nuk kishin shkelur të drejtën e kërkuesit për të pasur </w:t>
      </w:r>
      <w:proofErr w:type="spellStart"/>
      <w:r w:rsidRPr="00DD58C7">
        <w:rPr>
          <w:rFonts w:ascii="Garamond" w:eastAsiaTheme="minorHAnsi" w:hAnsi="Garamond"/>
          <w:color w:val="000000"/>
          <w:sz w:val="24"/>
          <w:szCs w:val="24"/>
          <w14:ligatures w14:val="standardContextual"/>
        </w:rPr>
        <w:t>akses</w:t>
      </w:r>
      <w:proofErr w:type="spellEnd"/>
      <w:r w:rsidRPr="00DD58C7">
        <w:rPr>
          <w:rFonts w:ascii="Garamond" w:eastAsiaTheme="minorHAnsi" w:hAnsi="Garamond"/>
          <w:color w:val="000000"/>
          <w:sz w:val="24"/>
          <w:szCs w:val="24"/>
          <w14:ligatures w14:val="standardContextual"/>
        </w:rPr>
        <w:t xml:space="preserve"> në funksione publike. Për sa i përket shkeljes së pretenduar të së drejtës për jetë private, kërkuesi nuk kishte treguar se ndërhyrja ishte e rëndësishme. Përveç një karriere si magjistrat, atij nuk i ishte mohuar qasja në ndonjë funksion ose aktivitet tjetër publik që lidhet me një profesion që mund t’i siguronte atij jetesën përmes punës së ligjshme. Gjithashtu, kalimi i provimit për pranim në Shkollën e Magjistraturës ishte vetëm një hap drejt një karriere si magjistrat, e cila varej nga përfundimi me sukses i programit të formimit dhe procedurave të tjera ligjore që çonin në emërimin si magjistrat. Prandaj, ankesa e tij ishte e pabazuar. Vendimi i Gjykatës Kushtetuese iu dorëzua kërkuesit më 26 </w:t>
      </w:r>
      <w:r w:rsidR="00314407" w:rsidRPr="00DD58C7">
        <w:rPr>
          <w:rFonts w:ascii="Garamond" w:eastAsiaTheme="minorHAnsi" w:hAnsi="Garamond"/>
          <w:color w:val="000000"/>
          <w:sz w:val="24"/>
          <w:szCs w:val="24"/>
          <w14:ligatures w14:val="standardContextual"/>
        </w:rPr>
        <w:t>p</w:t>
      </w:r>
      <w:r w:rsidRPr="00DD58C7">
        <w:rPr>
          <w:rFonts w:ascii="Garamond" w:eastAsiaTheme="minorHAnsi" w:hAnsi="Garamond"/>
          <w:color w:val="000000"/>
          <w:sz w:val="24"/>
          <w:szCs w:val="24"/>
          <w14:ligatures w14:val="standardContextual"/>
        </w:rPr>
        <w:t>rill 2023.</w:t>
      </w:r>
    </w:p>
    <w:p w14:paraId="5C27C27C" w14:textId="2540E552" w:rsidR="0007274E" w:rsidRPr="00DD58C7" w:rsidRDefault="0007274E" w:rsidP="0007274E">
      <w:pPr>
        <w:autoSpaceDE w:val="0"/>
        <w:autoSpaceDN w:val="0"/>
        <w:adjustRightInd w:val="0"/>
        <w:spacing w:after="0" w:line="240" w:lineRule="auto"/>
        <w:ind w:firstLine="284"/>
        <w:jc w:val="both"/>
        <w:rPr>
          <w:rFonts w:ascii="Garamond" w:eastAsiaTheme="minorHAnsi" w:hAnsi="Garamond" w:cs="Calibri"/>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10. Gjyqtarja M. </w:t>
      </w:r>
      <w:proofErr w:type="spellStart"/>
      <w:r w:rsidRPr="00DD58C7">
        <w:rPr>
          <w:rFonts w:ascii="Garamond" w:eastAsiaTheme="minorHAnsi" w:hAnsi="Garamond"/>
          <w:color w:val="000000"/>
          <w:sz w:val="24"/>
          <w:szCs w:val="24"/>
          <w14:ligatures w14:val="standardContextual"/>
        </w:rPr>
        <w:t>Xhaferllari</w:t>
      </w:r>
      <w:proofErr w:type="spellEnd"/>
      <w:r w:rsidRPr="00DD58C7">
        <w:rPr>
          <w:rFonts w:ascii="Garamond" w:eastAsiaTheme="minorHAnsi" w:hAnsi="Garamond"/>
          <w:color w:val="000000"/>
          <w:sz w:val="24"/>
          <w:szCs w:val="24"/>
          <w14:ligatures w14:val="standardContextual"/>
        </w:rPr>
        <w:t xml:space="preserve"> shprehu një mendim mospajtues, duke kritikuar arsyetimin e gjykatave vendase nga perspektiva e së drejtës për një vendim gjyqësor të arsyetuar. Në veçanti, ajo argumentoi se gjykatat e zakonshme kishin injoruar faktin se </w:t>
      </w:r>
      <w:proofErr w:type="spellStart"/>
      <w:r w:rsidRPr="00DD58C7">
        <w:rPr>
          <w:rFonts w:ascii="Garamond" w:eastAsiaTheme="minorHAnsi" w:hAnsi="Garamond"/>
          <w:color w:val="000000"/>
          <w:sz w:val="24"/>
          <w:szCs w:val="24"/>
          <w14:ligatures w14:val="standardContextual"/>
        </w:rPr>
        <w:t>KLP</w:t>
      </w:r>
      <w:proofErr w:type="spellEnd"/>
      <w:r w:rsidRPr="00DD58C7">
        <w:rPr>
          <w:rFonts w:ascii="Garamond" w:eastAsiaTheme="minorHAnsi" w:hAnsi="Garamond"/>
          <w:color w:val="000000"/>
          <w:sz w:val="24"/>
          <w:szCs w:val="24"/>
          <w14:ligatures w14:val="standardContextual"/>
        </w:rPr>
        <w:t xml:space="preserve">-ja, në thelb, kishte zbatuar projekt-ndryshimet që qarkullonin në atë kohë, dhe se vetë Gjykata e Lartë kishte krijuar një qasje të </w:t>
      </w:r>
      <w:proofErr w:type="spellStart"/>
      <w:r w:rsidRPr="00DD58C7">
        <w:rPr>
          <w:rFonts w:ascii="Garamond" w:eastAsiaTheme="minorHAnsi" w:hAnsi="Garamond"/>
          <w:color w:val="000000"/>
          <w:sz w:val="24"/>
          <w:szCs w:val="24"/>
          <w14:ligatures w14:val="standardContextual"/>
        </w:rPr>
        <w:t>prapaveprueshmërisë</w:t>
      </w:r>
      <w:proofErr w:type="spellEnd"/>
      <w:r w:rsidR="00314407">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duke zbatuar ligjin e ndryshuar pas vendimit të </w:t>
      </w:r>
      <w:proofErr w:type="spellStart"/>
      <w:r w:rsidRPr="00DD58C7">
        <w:rPr>
          <w:rFonts w:ascii="Garamond" w:eastAsiaTheme="minorHAnsi" w:hAnsi="Garamond"/>
          <w:color w:val="000000"/>
          <w:sz w:val="24"/>
          <w:szCs w:val="24"/>
          <w14:ligatures w14:val="standardContextual"/>
        </w:rPr>
        <w:t>KLP</w:t>
      </w:r>
      <w:proofErr w:type="spellEnd"/>
      <w:r w:rsidRPr="00DD58C7">
        <w:rPr>
          <w:rFonts w:ascii="Garamond" w:eastAsiaTheme="minorHAnsi" w:hAnsi="Garamond"/>
          <w:color w:val="000000"/>
          <w:sz w:val="24"/>
          <w:szCs w:val="24"/>
          <w14:ligatures w14:val="standardContextual"/>
        </w:rPr>
        <w:t xml:space="preserve">-së. Ajo argumentoi më tej se shumica nuk kishte kryer një ushtrim të duhur balancimi midis interesave konkurruese dhe nuk kishte justifikuar pse ndalimi i pranimit të kërkuesit në Shkollën e Magjistraturës ishte proporcional dhe i pajtueshëm me dinjitetin njerëzor, duke pasur parasysh moshën e tij në kohën e veprës penale dhe aftësinë e kufizuar për të kuptuar seriozitetin dhe pasojat e veprimeve të tij. Sipas saj, ishte e nevojshme të merreshin parasysh zhvillimet progresive në sistemin ligjor shqiptar në lidhje me mbrojtjen e të drejtave të fëmijëve, veçanërisht reformat e drejtësisë penale për të mitur të vitit 2017. Këto reforma synonin të siguronin që veprat penale dhe çdo dënim që rrjedh nga to nuk do të kishin pasoja të përjetshme për të miturit, që qasja në të dhënat personale të </w:t>
      </w:r>
      <w:proofErr w:type="spellStart"/>
      <w:r w:rsidRPr="00DD58C7">
        <w:rPr>
          <w:rFonts w:ascii="Garamond" w:eastAsiaTheme="minorHAnsi" w:hAnsi="Garamond"/>
          <w:color w:val="000000"/>
          <w:sz w:val="24"/>
          <w:szCs w:val="24"/>
          <w14:ligatures w14:val="standardContextual"/>
        </w:rPr>
        <w:t>të</w:t>
      </w:r>
      <w:proofErr w:type="spellEnd"/>
      <w:r w:rsidRPr="00DD58C7">
        <w:rPr>
          <w:rFonts w:ascii="Garamond" w:eastAsiaTheme="minorHAnsi" w:hAnsi="Garamond"/>
          <w:color w:val="000000"/>
          <w:sz w:val="24"/>
          <w:szCs w:val="24"/>
          <w14:ligatures w14:val="standardContextual"/>
        </w:rPr>
        <w:t xml:space="preserve"> miturve në konflikt me ligjin do të kufizohej ose edhe do të shkatërrohej, dhe që e drejta e tyre për jetë private do të merrte mbrojtje dhe garanci të veçanta. Gjykatat në rastin e kërkuesit nuk kishin shpjeguar nëse, dhe mbi çfarë baze, mund të supozohej se kërkuesi konsiderohej potencialisht i rrezikshëm ose nëse, në rast se pranohej si magjistrat, ai mund të vepronte në një mënyrë që mund të minonte besimin e publikut në integritetin profesional të magjistratëve.</w:t>
      </w:r>
    </w:p>
    <w:p w14:paraId="7C5CE7AF" w14:textId="7638AADA" w:rsidR="0007274E" w:rsidRPr="00DD58C7" w:rsidRDefault="0007274E" w:rsidP="0007274E">
      <w:pPr>
        <w:autoSpaceDE w:val="0"/>
        <w:autoSpaceDN w:val="0"/>
        <w:adjustRightInd w:val="0"/>
        <w:spacing w:after="0" w:line="240" w:lineRule="auto"/>
        <w:ind w:firstLine="284"/>
        <w:jc w:val="both"/>
        <w:rPr>
          <w:rFonts w:ascii="Garamond" w:eastAsiaTheme="minorHAnsi" w:hAnsi="Garamond" w:cs="Calibri"/>
          <w:color w:val="000000"/>
          <w:sz w:val="24"/>
          <w:szCs w:val="24"/>
          <w14:ligatures w14:val="standardContextual"/>
        </w:rPr>
      </w:pPr>
      <w:r w:rsidRPr="00DD58C7">
        <w:rPr>
          <w:rFonts w:ascii="Garamond" w:eastAsiaTheme="minorHAnsi" w:hAnsi="Garamond"/>
          <w:color w:val="000000"/>
          <w:sz w:val="24"/>
          <w:szCs w:val="24"/>
          <w14:ligatures w14:val="standardContextual"/>
        </w:rPr>
        <w:lastRenderedPageBreak/>
        <w:t>11. Kërkuesi punoi si avokat në sektorin privat përpara se të shërbente, që nga viti 2019, si oficer i policisë gjyqësore në një prokurori.</w:t>
      </w:r>
    </w:p>
    <w:p w14:paraId="5EAD6001" w14:textId="40A18D64"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roofErr w:type="spellStart"/>
      <w:r w:rsidRPr="00DD58C7">
        <w:rPr>
          <w:rFonts w:ascii="Garamond" w:eastAsiaTheme="minorHAnsi" w:hAnsi="Garamond"/>
          <w:color w:val="000000"/>
          <w:sz w:val="24"/>
          <w:szCs w:val="24"/>
          <w14:ligatures w14:val="standardContextual"/>
        </w:rPr>
        <w:t>II</w:t>
      </w:r>
      <w:proofErr w:type="spellEnd"/>
      <w:r w:rsidRPr="00DD58C7">
        <w:rPr>
          <w:rFonts w:ascii="Garamond" w:eastAsiaTheme="minorHAnsi" w:hAnsi="Garamond"/>
          <w:color w:val="000000"/>
          <w:sz w:val="24"/>
          <w:szCs w:val="24"/>
          <w14:ligatures w14:val="standardContextual"/>
        </w:rPr>
        <w:t>. DËNIMI I KËRKUESIT NË VITIN 2006</w:t>
      </w:r>
    </w:p>
    <w:p w14:paraId="524122E6" w14:textId="0CF02365"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12. Më 21 nëntor 2006, kërkuesi u dënua për vjedhje (</w:t>
      </w:r>
      <w:r w:rsidR="00314407">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 xml:space="preserve">eni 134 i Kodit Penal) nga Gjykata e Rrethit Bulqizë dhe u dënua me tetë muaj burgim. U konstatua se në </w:t>
      </w:r>
      <w:r w:rsidR="00314407">
        <w:rPr>
          <w:rFonts w:ascii="Garamond" w:eastAsiaTheme="minorHAnsi" w:hAnsi="Garamond"/>
          <w:color w:val="000000"/>
          <w:sz w:val="24"/>
          <w:szCs w:val="24"/>
          <w14:ligatures w14:val="standardContextual"/>
        </w:rPr>
        <w:t>s</w:t>
      </w:r>
      <w:r w:rsidRPr="00DD58C7">
        <w:rPr>
          <w:rFonts w:ascii="Garamond" w:eastAsiaTheme="minorHAnsi" w:hAnsi="Garamond"/>
          <w:color w:val="000000"/>
          <w:sz w:val="24"/>
          <w:szCs w:val="24"/>
          <w14:ligatures w14:val="standardContextual"/>
        </w:rPr>
        <w:t xml:space="preserve">htator 2006, gjatë një takimi midis babait të kërkuesit dhe tre personave të tjerë, përfshirë D., një blerës potencial i tokës që i përkiste babait, kërkuesi, në atë periudhë 15 vjeç, u la vetëm në makinën e D. ndërsa të rriturit inspektuan tokën. Në mungesë të tyre, kërkuesi hapi </w:t>
      </w:r>
      <w:proofErr w:type="spellStart"/>
      <w:r w:rsidRPr="00DD58C7">
        <w:rPr>
          <w:rFonts w:ascii="Garamond" w:eastAsiaTheme="minorHAnsi" w:hAnsi="Garamond"/>
          <w:color w:val="000000"/>
          <w:sz w:val="24"/>
          <w:szCs w:val="24"/>
          <w14:ligatures w14:val="standardContextual"/>
        </w:rPr>
        <w:t>kroskotin</w:t>
      </w:r>
      <w:proofErr w:type="spellEnd"/>
      <w:r w:rsidRPr="00DD58C7">
        <w:rPr>
          <w:rFonts w:ascii="Garamond" w:eastAsiaTheme="minorHAnsi" w:hAnsi="Garamond"/>
          <w:color w:val="000000"/>
          <w:sz w:val="24"/>
          <w:szCs w:val="24"/>
          <w14:ligatures w14:val="standardContextual"/>
        </w:rPr>
        <w:t xml:space="preserve"> e makinës, gjeti kartëmonedha me vlerë 1,000,400 lekë dhe i fshehu ato midis mbeturinave afërsisht dhjetë metra larg makinës. Kur u kthye, D. pa se </w:t>
      </w:r>
      <w:proofErr w:type="spellStart"/>
      <w:r w:rsidRPr="00DD58C7">
        <w:rPr>
          <w:rFonts w:ascii="Garamond" w:eastAsiaTheme="minorHAnsi" w:hAnsi="Garamond"/>
          <w:color w:val="000000"/>
          <w:sz w:val="24"/>
          <w:szCs w:val="24"/>
          <w14:ligatures w14:val="standardContextual"/>
        </w:rPr>
        <w:t>kroskoti</w:t>
      </w:r>
      <w:proofErr w:type="spellEnd"/>
      <w:r w:rsidRPr="00DD58C7">
        <w:rPr>
          <w:rFonts w:ascii="Garamond" w:eastAsiaTheme="minorHAnsi" w:hAnsi="Garamond"/>
          <w:color w:val="000000"/>
          <w:sz w:val="24"/>
          <w:szCs w:val="24"/>
          <w14:ligatures w14:val="standardContextual"/>
        </w:rPr>
        <w:t xml:space="preserve"> i makinës ishte hapur dhe se paratë mungonin. Kërkuesi fillimisht mohoi t’i kishte marrë paratë. D. telefonoi policinë. Kur u pyet në stacionin e policisë, kërkuesi pranoi se kishte marrë paratë, duke shpjeguar se ishte ndjerë në siklet që ta pranonte këtë gjë më herët përpara të tjerëve. Paratë u morën menjëherë dhe iu kthyen pronarit të tyre.</w:t>
      </w:r>
    </w:p>
    <w:p w14:paraId="27E4B510" w14:textId="5ACE14D0"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13. Në dhënien e dënimit, gjykata vuri në dukje se kërkuesi kishte pranuar fajësinë e tij, paraqiste një shkallë të ulët rreziku shoqëror dhe se pasojat e veprës penale ishin minimale, duke pasur parasysh që prona i ishte kthyer pronarit të saj, moshën e mitur të kërkuesit dhe nivelin e tij të arsimimit. Duke marrë</w:t>
      </w:r>
      <w:r w:rsidR="00314407">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gjithashtu</w:t>
      </w:r>
      <w:r w:rsidR="00314407">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parasysh nevojën që kërkuesi të vazhdonte shkollimin, gjykata pezulloi ekzekutimin e dënimit për tre vjet burgim sipas </w:t>
      </w:r>
      <w:r w:rsidR="00314407">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 xml:space="preserve">enit 59 të Kodit Penal (shih paragrafin 18 më poshtë). Kërkuesi nuk bëri apel dhe vendimi mori formë të prerë më 1 </w:t>
      </w:r>
      <w:r w:rsidR="00314407">
        <w:rPr>
          <w:rFonts w:ascii="Garamond" w:eastAsiaTheme="minorHAnsi" w:hAnsi="Garamond"/>
          <w:color w:val="000000"/>
          <w:sz w:val="24"/>
          <w:szCs w:val="24"/>
          <w14:ligatures w14:val="standardContextual"/>
        </w:rPr>
        <w:t>d</w:t>
      </w:r>
      <w:r w:rsidRPr="00DD58C7">
        <w:rPr>
          <w:rFonts w:ascii="Garamond" w:eastAsiaTheme="minorHAnsi" w:hAnsi="Garamond"/>
          <w:color w:val="000000"/>
          <w:sz w:val="24"/>
          <w:szCs w:val="24"/>
          <w14:ligatures w14:val="standardContextual"/>
        </w:rPr>
        <w:t>hjetor 2006.</w:t>
      </w:r>
    </w:p>
    <w:p w14:paraId="06EA1DD4" w14:textId="238F6F6E"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KORNIZA DHE PRAKTIKA PËRKATËSE LIGJORE</w:t>
      </w:r>
    </w:p>
    <w:p w14:paraId="212665C2" w14:textId="619D2CBD"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I.</w:t>
      </w:r>
      <w:r w:rsidR="00314407">
        <w:rPr>
          <w:rFonts w:ascii="Garamond" w:eastAsiaTheme="minorHAnsi" w:hAnsi="Garamond"/>
          <w:color w:val="000000"/>
          <w:sz w:val="24"/>
          <w:szCs w:val="24"/>
          <w14:ligatures w14:val="standardContextual"/>
        </w:rPr>
        <w:t xml:space="preserve"> LIGJI DHE PRAKTIKA E BRENDSHME</w:t>
      </w:r>
    </w:p>
    <w:p w14:paraId="6957A908" w14:textId="65CA4C50" w:rsidR="0007274E" w:rsidRPr="00DD58C7" w:rsidRDefault="0007274E" w:rsidP="0007274E">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DD58C7">
        <w:rPr>
          <w:rFonts w:ascii="Garamond" w:eastAsiaTheme="minorHAnsi" w:hAnsi="Garamond"/>
          <w:b/>
          <w:bCs/>
          <w:color w:val="000000"/>
          <w:sz w:val="24"/>
          <w:szCs w:val="24"/>
          <w14:ligatures w14:val="standardContextual"/>
        </w:rPr>
        <w:t>A. Ligji për Statusin e Gjyqtarëve dhe Prokurorëve</w:t>
      </w:r>
      <w:r w:rsidR="00314407">
        <w:rPr>
          <w:rFonts w:ascii="Garamond" w:eastAsiaTheme="minorHAnsi" w:hAnsi="Garamond"/>
          <w:b/>
          <w:bCs/>
          <w:color w:val="000000"/>
          <w:sz w:val="24"/>
          <w:szCs w:val="24"/>
          <w14:ligatures w14:val="standardContextual"/>
        </w:rPr>
        <w:t>,</w:t>
      </w:r>
      <w:r w:rsidRPr="00DD58C7">
        <w:rPr>
          <w:rFonts w:ascii="Garamond" w:eastAsiaTheme="minorHAnsi" w:hAnsi="Garamond"/>
          <w:b/>
          <w:bCs/>
          <w:color w:val="000000"/>
          <w:sz w:val="24"/>
          <w:szCs w:val="24"/>
          <w14:ligatures w14:val="standardContextual"/>
        </w:rPr>
        <w:t xml:space="preserve"> dhe legjislacioni përkatës</w:t>
      </w:r>
    </w:p>
    <w:p w14:paraId="0F6C3A67" w14:textId="40FD0194"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14. Në periudhën konkrete, </w:t>
      </w:r>
      <w:r w:rsidR="00314407">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eni 28 i Ligjit për Statusin e Gjyqtarëve dhe Prokurorëve (Ligji nr. 96/2016) parashikonte, për sa ka të</w:t>
      </w:r>
      <w:r w:rsidR="00314407">
        <w:rPr>
          <w:rFonts w:ascii="Garamond" w:eastAsiaTheme="minorHAnsi" w:hAnsi="Garamond"/>
          <w:color w:val="000000"/>
          <w:sz w:val="24"/>
          <w:szCs w:val="24"/>
          <w14:ligatures w14:val="standardContextual"/>
        </w:rPr>
        <w:t xml:space="preserve"> bëjë me çështjen, si në vijim:</w:t>
      </w:r>
    </w:p>
    <w:p w14:paraId="721611C3" w14:textId="77777777"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1B2BB367" w14:textId="2BF5BE9F" w:rsidR="00C02324" w:rsidRPr="00C02324" w:rsidRDefault="00314407" w:rsidP="0007274E">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C02324">
        <w:rPr>
          <w:rFonts w:ascii="Garamond" w:eastAsiaTheme="minorHAnsi" w:hAnsi="Garamond"/>
          <w:bCs/>
          <w:color w:val="000000"/>
          <w:sz w:val="24"/>
          <w:szCs w:val="24"/>
          <w14:ligatures w14:val="standardContextual"/>
        </w:rPr>
        <w:t>“</w:t>
      </w:r>
      <w:r w:rsidR="00C02324" w:rsidRPr="00C02324">
        <w:rPr>
          <w:rFonts w:ascii="Garamond" w:eastAsiaTheme="minorHAnsi" w:hAnsi="Garamond"/>
          <w:bCs/>
          <w:color w:val="000000"/>
          <w:sz w:val="24"/>
          <w:szCs w:val="24"/>
          <w14:ligatures w14:val="standardContextual"/>
        </w:rPr>
        <w:t>Neni 28</w:t>
      </w:r>
      <w:r w:rsidR="0007274E" w:rsidRPr="00C02324">
        <w:rPr>
          <w:rFonts w:ascii="Garamond" w:eastAsiaTheme="minorHAnsi" w:hAnsi="Garamond"/>
          <w:bCs/>
          <w:color w:val="000000"/>
          <w:sz w:val="24"/>
          <w:szCs w:val="24"/>
          <w14:ligatures w14:val="standardContextual"/>
        </w:rPr>
        <w:t xml:space="preserve"> </w:t>
      </w:r>
    </w:p>
    <w:p w14:paraId="06CBC923" w14:textId="4B83D268" w:rsidR="0007274E" w:rsidRPr="00DD58C7" w:rsidRDefault="0007274E" w:rsidP="0007274E">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D58C7">
        <w:rPr>
          <w:rFonts w:ascii="Garamond" w:eastAsiaTheme="minorHAnsi" w:hAnsi="Garamond"/>
          <w:b/>
          <w:bCs/>
          <w:color w:val="000000"/>
          <w:sz w:val="24"/>
          <w:szCs w:val="24"/>
          <w14:ligatures w14:val="standardContextual"/>
        </w:rPr>
        <w:t>Kriteret e pranimit në formimin fillestar</w:t>
      </w:r>
    </w:p>
    <w:p w14:paraId="6C035D77" w14:textId="77777777" w:rsidR="0007274E" w:rsidRPr="00DD58C7" w:rsidRDefault="0007274E" w:rsidP="0007274E">
      <w:pPr>
        <w:autoSpaceDE w:val="0"/>
        <w:autoSpaceDN w:val="0"/>
        <w:adjustRightInd w:val="0"/>
        <w:spacing w:after="0" w:line="240" w:lineRule="auto"/>
        <w:ind w:firstLine="284"/>
        <w:rPr>
          <w:rFonts w:ascii="Garamond" w:eastAsiaTheme="minorHAnsi" w:hAnsi="Garamond"/>
          <w:b/>
          <w:bCs/>
          <w:color w:val="000000"/>
          <w:sz w:val="24"/>
          <w:szCs w:val="24"/>
          <w14:ligatures w14:val="standardContextual"/>
        </w:rPr>
      </w:pPr>
    </w:p>
    <w:p w14:paraId="1E7D5BDB" w14:textId="214E3CE8" w:rsidR="0007274E" w:rsidRPr="00DD58C7" w:rsidRDefault="0007274E" w:rsidP="0007274E">
      <w:pPr>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Çdo person ka të drejtë të </w:t>
      </w:r>
      <w:proofErr w:type="spellStart"/>
      <w:r w:rsidRPr="00DD58C7">
        <w:rPr>
          <w:rFonts w:ascii="Garamond" w:eastAsiaTheme="minorHAnsi" w:hAnsi="Garamond"/>
          <w:color w:val="000000"/>
          <w:sz w:val="24"/>
          <w:szCs w:val="24"/>
          <w14:ligatures w14:val="standardContextual"/>
        </w:rPr>
        <w:t>kandidojë</w:t>
      </w:r>
      <w:proofErr w:type="spellEnd"/>
      <w:r w:rsidRPr="00DD58C7">
        <w:rPr>
          <w:rFonts w:ascii="Garamond" w:eastAsiaTheme="minorHAnsi" w:hAnsi="Garamond"/>
          <w:color w:val="000000"/>
          <w:sz w:val="24"/>
          <w:szCs w:val="24"/>
          <w14:ligatures w14:val="standardContextual"/>
        </w:rPr>
        <w:t xml:space="preserve"> në Shkollën e Magjistraturës, për t’u pranuar në formimin fillestar për magjistrat, nëse përmbush njëkohësisht kriteret e mëposhtme:</w:t>
      </w:r>
    </w:p>
    <w:p w14:paraId="32F97948" w14:textId="77777777"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w:t>
      </w:r>
    </w:p>
    <w:p w14:paraId="6CF19C62" w14:textId="1C62AC5C"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d) [ai se ajo] nuk është dënuar me vendim të formës së prerë për kryerjen e një vepre penale; </w:t>
      </w:r>
    </w:p>
    <w:p w14:paraId="1842D915" w14:textId="107B1693"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w:t>
      </w:r>
      <w:r w:rsidR="00C02324">
        <w:rPr>
          <w:rFonts w:ascii="Garamond" w:eastAsiaTheme="minorHAnsi" w:hAnsi="Garamond"/>
          <w:color w:val="000000"/>
          <w:sz w:val="24"/>
          <w:szCs w:val="24"/>
          <w14:ligatures w14:val="standardContextual"/>
        </w:rPr>
        <w:t>.</w:t>
      </w:r>
    </w:p>
    <w:p w14:paraId="670FF9A8" w14:textId="42A5D863"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Neni 28(d), i ndryshuar me Ligjin nr. 50/2021 të datës 23 </w:t>
      </w:r>
      <w:r w:rsidR="00C02324">
        <w:rPr>
          <w:rFonts w:ascii="Garamond" w:eastAsiaTheme="minorHAnsi" w:hAnsi="Garamond"/>
          <w:color w:val="000000"/>
          <w:sz w:val="24"/>
          <w:szCs w:val="24"/>
          <w14:ligatures w14:val="standardContextual"/>
        </w:rPr>
        <w:t>m</w:t>
      </w:r>
      <w:r w:rsidRPr="00DD58C7">
        <w:rPr>
          <w:rFonts w:ascii="Garamond" w:eastAsiaTheme="minorHAnsi" w:hAnsi="Garamond"/>
          <w:color w:val="000000"/>
          <w:sz w:val="24"/>
          <w:szCs w:val="24"/>
          <w14:ligatures w14:val="standardContextual"/>
        </w:rPr>
        <w:t>ars 2021</w:t>
      </w:r>
      <w:r w:rsidR="00C02324">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parashikon si në vijim: </w:t>
      </w:r>
    </w:p>
    <w:p w14:paraId="7379DE24" w14:textId="6F6B3297"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[ai ose ajo] nuk është dënuar me vendim penal të formës së prerë për kryerjen e një vepre penale, që, për shkak të natyrës së veprës së kryer, diskrediton pozitën dhe figurën e gjyqtarit ose prokurorit ose dëmton rëndë besimin e publikut në sistemin gjyqësor, pavarësisht nëse është rehabilituar sipas parashikimeve të Kodit Penal.”</w:t>
      </w:r>
      <w:r w:rsidR="00C02324">
        <w:rPr>
          <w:rFonts w:ascii="Garamond" w:eastAsiaTheme="minorHAnsi" w:hAnsi="Garamond"/>
          <w:color w:val="000000"/>
          <w:sz w:val="24"/>
          <w:szCs w:val="24"/>
          <w14:ligatures w14:val="standardContextual"/>
        </w:rPr>
        <w:t>.</w:t>
      </w:r>
    </w:p>
    <w:p w14:paraId="23A6E3C0" w14:textId="2DFD59D2"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15. Mungesa e një dënimi përfundimtar për një krim përbën një nga kërkesat e përgjithshme për pranim në shërbimin civil në Shqipëri. Kjo vlen për pozicione të tilla si ndihmës ligjorë në gjykatat e apelit (dhe, që nga ndryshimet në Ligjin për Gjyqësorin</w:t>
      </w:r>
      <w:r w:rsidR="00C02324">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më 23 </w:t>
      </w:r>
      <w:r w:rsidR="00C02324">
        <w:rPr>
          <w:rFonts w:ascii="Garamond" w:eastAsiaTheme="minorHAnsi" w:hAnsi="Garamond"/>
          <w:color w:val="000000"/>
          <w:sz w:val="24"/>
          <w:szCs w:val="24"/>
          <w14:ligatures w14:val="standardContextual"/>
        </w:rPr>
        <w:t>m</w:t>
      </w:r>
      <w:r w:rsidRPr="00DD58C7">
        <w:rPr>
          <w:rFonts w:ascii="Garamond" w:eastAsiaTheme="minorHAnsi" w:hAnsi="Garamond"/>
          <w:color w:val="000000"/>
          <w:sz w:val="24"/>
          <w:szCs w:val="24"/>
          <w14:ligatures w14:val="standardContextual"/>
        </w:rPr>
        <w:t>ars 2021, ata që punojnë në gjykatat e shkallës së parë), këshilltarë ligjorë në Gjykatën e Lartë dhe në Prokurorinë e Përgjithshme dhe Avokatë të Shtetit. Shkolla e Magjistraturës ofron formim fillestar profesional të detyrueshëm për kandidatët për këto pozicione (</w:t>
      </w:r>
      <w:r w:rsidR="00C02324">
        <w:rPr>
          <w:rFonts w:ascii="Garamond" w:eastAsiaTheme="minorHAnsi" w:hAnsi="Garamond"/>
          <w:color w:val="000000"/>
          <w:sz w:val="24"/>
          <w:szCs w:val="24"/>
          <w14:ligatures w14:val="standardContextual"/>
        </w:rPr>
        <w:t>l</w:t>
      </w:r>
      <w:r w:rsidRPr="00DD58C7">
        <w:rPr>
          <w:rFonts w:ascii="Garamond" w:eastAsiaTheme="minorHAnsi" w:hAnsi="Garamond"/>
          <w:color w:val="000000"/>
          <w:sz w:val="24"/>
          <w:szCs w:val="24"/>
          <w14:ligatures w14:val="standardContextual"/>
        </w:rPr>
        <w:t>igji nr. 152</w:t>
      </w:r>
      <w:r w:rsidR="00C02324">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i datës 30 </w:t>
      </w:r>
      <w:r w:rsidR="00C02324">
        <w:rPr>
          <w:rFonts w:ascii="Garamond" w:eastAsiaTheme="minorHAnsi" w:hAnsi="Garamond"/>
          <w:color w:val="000000"/>
          <w:sz w:val="24"/>
          <w:szCs w:val="24"/>
          <w14:ligatures w14:val="standardContextual"/>
        </w:rPr>
        <w:t>m</w:t>
      </w:r>
      <w:r w:rsidRPr="00DD58C7">
        <w:rPr>
          <w:rFonts w:ascii="Garamond" w:eastAsiaTheme="minorHAnsi" w:hAnsi="Garamond"/>
          <w:color w:val="000000"/>
          <w:sz w:val="24"/>
          <w:szCs w:val="24"/>
          <w14:ligatures w14:val="standardContextual"/>
        </w:rPr>
        <w:t xml:space="preserve">aj 2013, </w:t>
      </w:r>
      <w:r w:rsidR="00C02324">
        <w:rPr>
          <w:rFonts w:ascii="Garamond" w:eastAsiaTheme="minorHAnsi" w:hAnsi="Garamond"/>
          <w:color w:val="000000"/>
          <w:sz w:val="24"/>
          <w:szCs w:val="24"/>
          <w14:ligatures w14:val="standardContextual"/>
        </w:rPr>
        <w:t>l</w:t>
      </w:r>
      <w:r w:rsidRPr="00DD58C7">
        <w:rPr>
          <w:rFonts w:ascii="Garamond" w:eastAsiaTheme="minorHAnsi" w:hAnsi="Garamond"/>
          <w:color w:val="000000"/>
          <w:sz w:val="24"/>
          <w:szCs w:val="24"/>
          <w14:ligatures w14:val="standardContextual"/>
        </w:rPr>
        <w:t>igji nr. 97</w:t>
      </w:r>
      <w:r w:rsidR="00C02324">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i datës 6 </w:t>
      </w:r>
      <w:r w:rsidR="00C02324">
        <w:rPr>
          <w:rFonts w:ascii="Garamond" w:eastAsiaTheme="minorHAnsi" w:hAnsi="Garamond"/>
          <w:color w:val="000000"/>
          <w:sz w:val="24"/>
          <w:szCs w:val="24"/>
          <w14:ligatures w14:val="standardContextual"/>
        </w:rPr>
        <w:t>t</w:t>
      </w:r>
      <w:r w:rsidRPr="00DD58C7">
        <w:rPr>
          <w:rFonts w:ascii="Garamond" w:eastAsiaTheme="minorHAnsi" w:hAnsi="Garamond"/>
          <w:color w:val="000000"/>
          <w:sz w:val="24"/>
          <w:szCs w:val="24"/>
          <w14:ligatures w14:val="standardContextual"/>
        </w:rPr>
        <w:t xml:space="preserve">etor 2016, </w:t>
      </w:r>
      <w:r w:rsidR="00C02324">
        <w:rPr>
          <w:rFonts w:ascii="Garamond" w:eastAsiaTheme="minorHAnsi" w:hAnsi="Garamond"/>
          <w:color w:val="000000"/>
          <w:sz w:val="24"/>
          <w:szCs w:val="24"/>
          <w14:ligatures w14:val="standardContextual"/>
        </w:rPr>
        <w:t>l</w:t>
      </w:r>
      <w:r w:rsidRPr="00DD58C7">
        <w:rPr>
          <w:rFonts w:ascii="Garamond" w:eastAsiaTheme="minorHAnsi" w:hAnsi="Garamond"/>
          <w:color w:val="000000"/>
          <w:sz w:val="24"/>
          <w:szCs w:val="24"/>
          <w14:ligatures w14:val="standardContextual"/>
        </w:rPr>
        <w:t>igji nr. 98</w:t>
      </w:r>
      <w:r w:rsidR="00C02324">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i datës 6 </w:t>
      </w:r>
      <w:r w:rsidR="00C02324">
        <w:rPr>
          <w:rFonts w:ascii="Garamond" w:eastAsiaTheme="minorHAnsi" w:hAnsi="Garamond"/>
          <w:color w:val="000000"/>
          <w:sz w:val="24"/>
          <w:szCs w:val="24"/>
          <w14:ligatures w14:val="standardContextual"/>
        </w:rPr>
        <w:t>t</w:t>
      </w:r>
      <w:r w:rsidRPr="00DD58C7">
        <w:rPr>
          <w:rFonts w:ascii="Garamond" w:eastAsiaTheme="minorHAnsi" w:hAnsi="Garamond"/>
          <w:color w:val="000000"/>
          <w:sz w:val="24"/>
          <w:szCs w:val="24"/>
          <w14:ligatures w14:val="standardContextual"/>
        </w:rPr>
        <w:t xml:space="preserve">etor 2016, </w:t>
      </w:r>
      <w:r w:rsidR="00C02324">
        <w:rPr>
          <w:rFonts w:ascii="Garamond" w:eastAsiaTheme="minorHAnsi" w:hAnsi="Garamond"/>
          <w:color w:val="000000"/>
          <w:sz w:val="24"/>
          <w:szCs w:val="24"/>
          <w14:ligatures w14:val="standardContextual"/>
        </w:rPr>
        <w:t>l</w:t>
      </w:r>
      <w:r w:rsidRPr="00DD58C7">
        <w:rPr>
          <w:rFonts w:ascii="Garamond" w:eastAsiaTheme="minorHAnsi" w:hAnsi="Garamond"/>
          <w:color w:val="000000"/>
          <w:sz w:val="24"/>
          <w:szCs w:val="24"/>
          <w14:ligatures w14:val="standardContextual"/>
        </w:rPr>
        <w:t>igji nr. 115</w:t>
      </w:r>
      <w:r w:rsidR="00C02324">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i datës 3 </w:t>
      </w:r>
      <w:r w:rsidR="00C02324">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 xml:space="preserve">ëntor 2016 dhe </w:t>
      </w:r>
      <w:r w:rsidR="00C02324">
        <w:rPr>
          <w:rFonts w:ascii="Garamond" w:eastAsiaTheme="minorHAnsi" w:hAnsi="Garamond"/>
          <w:color w:val="000000"/>
          <w:sz w:val="24"/>
          <w:szCs w:val="24"/>
          <w14:ligatures w14:val="standardContextual"/>
        </w:rPr>
        <w:t>l</w:t>
      </w:r>
      <w:r w:rsidRPr="00DD58C7">
        <w:rPr>
          <w:rFonts w:ascii="Garamond" w:eastAsiaTheme="minorHAnsi" w:hAnsi="Garamond"/>
          <w:color w:val="000000"/>
          <w:sz w:val="24"/>
          <w:szCs w:val="24"/>
          <w14:ligatures w14:val="standardContextual"/>
        </w:rPr>
        <w:t>igji nr. 10018</w:t>
      </w:r>
      <w:r w:rsidR="00C02324">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i datës 13 </w:t>
      </w:r>
      <w:r w:rsidR="00C02324">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ëntor 2008).</w:t>
      </w:r>
    </w:p>
    <w:p w14:paraId="3356C040" w14:textId="352E47F7" w:rsidR="0007274E" w:rsidRPr="00DD58C7" w:rsidRDefault="0007274E" w:rsidP="0007274E">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DD58C7">
        <w:rPr>
          <w:rFonts w:ascii="Garamond" w:eastAsiaTheme="minorHAnsi" w:hAnsi="Garamond"/>
          <w:b/>
          <w:bCs/>
          <w:color w:val="000000"/>
          <w:sz w:val="24"/>
          <w:szCs w:val="24"/>
          <w14:ligatures w14:val="standardContextual"/>
        </w:rPr>
        <w:t xml:space="preserve">B. Ligji i </w:t>
      </w:r>
      <w:proofErr w:type="spellStart"/>
      <w:r w:rsidRPr="00DD58C7">
        <w:rPr>
          <w:rFonts w:ascii="Garamond" w:eastAsiaTheme="minorHAnsi" w:hAnsi="Garamond"/>
          <w:b/>
          <w:bCs/>
          <w:color w:val="000000"/>
          <w:sz w:val="24"/>
          <w:szCs w:val="24"/>
          <w14:ligatures w14:val="standardContextual"/>
        </w:rPr>
        <w:t>Dekriminalizimit</w:t>
      </w:r>
      <w:proofErr w:type="spellEnd"/>
      <w:r w:rsidRPr="00DD58C7">
        <w:rPr>
          <w:rFonts w:ascii="Garamond" w:eastAsiaTheme="minorHAnsi" w:hAnsi="Garamond"/>
          <w:b/>
          <w:bCs/>
          <w:color w:val="000000"/>
          <w:sz w:val="24"/>
          <w:szCs w:val="24"/>
          <w14:ligatures w14:val="standardContextual"/>
        </w:rPr>
        <w:t xml:space="preserve"> (2015)</w:t>
      </w:r>
    </w:p>
    <w:p w14:paraId="5FB509BA" w14:textId="7D729D46"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16. Sipas neneve 2 deri në 5</w:t>
      </w:r>
      <w:r w:rsidR="00C02324">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të </w:t>
      </w:r>
      <w:r w:rsidR="00C02324">
        <w:rPr>
          <w:rFonts w:ascii="Garamond" w:eastAsiaTheme="minorHAnsi" w:hAnsi="Garamond"/>
          <w:color w:val="000000"/>
          <w:sz w:val="24"/>
          <w:szCs w:val="24"/>
          <w14:ligatures w14:val="standardContextual"/>
        </w:rPr>
        <w:t>l</w:t>
      </w:r>
      <w:r w:rsidRPr="00DD58C7">
        <w:rPr>
          <w:rFonts w:ascii="Garamond" w:eastAsiaTheme="minorHAnsi" w:hAnsi="Garamond"/>
          <w:color w:val="000000"/>
          <w:sz w:val="24"/>
          <w:szCs w:val="24"/>
          <w14:ligatures w14:val="standardContextual"/>
        </w:rPr>
        <w:t>igjit nr. 138/2015</w:t>
      </w:r>
      <w:r w:rsidR="00C02324">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w:t>
      </w:r>
      <w:r w:rsidR="00C02324" w:rsidRPr="00DD58C7">
        <w:rPr>
          <w:rFonts w:ascii="Garamond" w:eastAsiaTheme="minorHAnsi" w:hAnsi="Garamond"/>
          <w:color w:val="000000"/>
          <w:sz w:val="24"/>
          <w:szCs w:val="24"/>
          <w14:ligatures w14:val="standardContextual"/>
        </w:rPr>
        <w:t xml:space="preserve">për </w:t>
      </w:r>
      <w:r w:rsidRPr="00DD58C7">
        <w:rPr>
          <w:rFonts w:ascii="Garamond" w:eastAsiaTheme="minorHAnsi" w:hAnsi="Garamond"/>
          <w:color w:val="000000"/>
          <w:sz w:val="24"/>
          <w:szCs w:val="24"/>
          <w14:ligatures w14:val="standardContextual"/>
        </w:rPr>
        <w:t>sigurimin e integritetit të personave që ushtrojnë, zgjidhen ose emërohen në funksione publike (Lig</w:t>
      </w:r>
      <w:r w:rsidR="00C02324">
        <w:rPr>
          <w:rFonts w:ascii="Garamond" w:eastAsiaTheme="minorHAnsi" w:hAnsi="Garamond"/>
          <w:color w:val="000000"/>
          <w:sz w:val="24"/>
          <w:szCs w:val="24"/>
          <w14:ligatures w14:val="standardContextual"/>
        </w:rPr>
        <w:t xml:space="preserve">ji i </w:t>
      </w:r>
      <w:proofErr w:type="spellStart"/>
      <w:r w:rsidR="00C02324">
        <w:rPr>
          <w:rFonts w:ascii="Garamond" w:eastAsiaTheme="minorHAnsi" w:hAnsi="Garamond"/>
          <w:color w:val="000000"/>
          <w:sz w:val="24"/>
          <w:szCs w:val="24"/>
          <w14:ligatures w14:val="standardContextual"/>
        </w:rPr>
        <w:t>Dekriminalizimit</w:t>
      </w:r>
      <w:proofErr w:type="spellEnd"/>
      <w:r w:rsidRPr="00DD58C7">
        <w:rPr>
          <w:rFonts w:ascii="Garamond" w:eastAsiaTheme="minorHAnsi" w:hAnsi="Garamond"/>
          <w:color w:val="000000"/>
          <w:sz w:val="24"/>
          <w:szCs w:val="24"/>
          <w14:ligatures w14:val="standardContextual"/>
        </w:rPr>
        <w:t xml:space="preserve">), i ndryshuar me </w:t>
      </w:r>
      <w:r w:rsidR="00C02324">
        <w:rPr>
          <w:rFonts w:ascii="Garamond" w:eastAsiaTheme="minorHAnsi" w:hAnsi="Garamond"/>
          <w:color w:val="000000"/>
          <w:sz w:val="24"/>
          <w:szCs w:val="24"/>
          <w14:ligatures w14:val="standardContextual"/>
        </w:rPr>
        <w:t>l</w:t>
      </w:r>
      <w:r w:rsidRPr="00DD58C7">
        <w:rPr>
          <w:rFonts w:ascii="Garamond" w:eastAsiaTheme="minorHAnsi" w:hAnsi="Garamond"/>
          <w:color w:val="000000"/>
          <w:sz w:val="24"/>
          <w:szCs w:val="24"/>
          <w14:ligatures w14:val="standardContextual"/>
        </w:rPr>
        <w:t xml:space="preserve">igjin nr. 38/2016, personat që dëshirojnë të emërohen në detyra publike duhet të plotësojnë dhe nënshkruajnë një formular </w:t>
      </w:r>
      <w:proofErr w:type="spellStart"/>
      <w:r w:rsidRPr="00DD58C7">
        <w:rPr>
          <w:rFonts w:ascii="Garamond" w:eastAsiaTheme="minorHAnsi" w:hAnsi="Garamond"/>
          <w:color w:val="000000"/>
          <w:sz w:val="24"/>
          <w:szCs w:val="24"/>
          <w14:ligatures w14:val="standardContextual"/>
        </w:rPr>
        <w:t>vetëdeklarimi</w:t>
      </w:r>
      <w:proofErr w:type="spellEnd"/>
      <w:r w:rsidRPr="00DD58C7">
        <w:rPr>
          <w:rFonts w:ascii="Garamond" w:eastAsiaTheme="minorHAnsi" w:hAnsi="Garamond"/>
          <w:color w:val="000000"/>
          <w:sz w:val="24"/>
          <w:szCs w:val="24"/>
          <w14:ligatures w14:val="standardContextual"/>
        </w:rPr>
        <w:t xml:space="preserve"> që konfirmon se nuk ka arsye që pengojnë emërimin e tyre. Kjo përfshin mungesën e një dënimi penal të formës së prerë </w:t>
      </w:r>
      <w:r w:rsidR="00C02324">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qoftë në Shqipëri apo diku </w:t>
      </w:r>
      <w:r w:rsidRPr="00DD58C7">
        <w:rPr>
          <w:rFonts w:ascii="Garamond" w:eastAsiaTheme="minorHAnsi" w:hAnsi="Garamond"/>
          <w:color w:val="000000"/>
          <w:sz w:val="24"/>
          <w:szCs w:val="24"/>
          <w14:ligatures w14:val="standardContextual"/>
        </w:rPr>
        <w:lastRenderedPageBreak/>
        <w:t xml:space="preserve">tjetër </w:t>
      </w:r>
      <w:r w:rsidR="00C02324">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që rezulton në një dënim me burgim për ndonjë nga veprat penale të </w:t>
      </w:r>
      <w:proofErr w:type="spellStart"/>
      <w:r w:rsidRPr="00DD58C7">
        <w:rPr>
          <w:rFonts w:ascii="Garamond" w:eastAsiaTheme="minorHAnsi" w:hAnsi="Garamond"/>
          <w:color w:val="000000"/>
          <w:sz w:val="24"/>
          <w:szCs w:val="24"/>
          <w14:ligatures w14:val="standardContextual"/>
        </w:rPr>
        <w:t>listuara</w:t>
      </w:r>
      <w:proofErr w:type="spellEnd"/>
      <w:r w:rsidRPr="00DD58C7">
        <w:rPr>
          <w:rFonts w:ascii="Garamond" w:eastAsiaTheme="minorHAnsi" w:hAnsi="Garamond"/>
          <w:color w:val="000000"/>
          <w:sz w:val="24"/>
          <w:szCs w:val="24"/>
          <w14:ligatures w14:val="standardContextual"/>
        </w:rPr>
        <w:t xml:space="preserve"> në Ligjin e </w:t>
      </w:r>
      <w:proofErr w:type="spellStart"/>
      <w:r w:rsidRPr="00DD58C7">
        <w:rPr>
          <w:rFonts w:ascii="Garamond" w:eastAsiaTheme="minorHAnsi" w:hAnsi="Garamond"/>
          <w:color w:val="000000"/>
          <w:sz w:val="24"/>
          <w:szCs w:val="24"/>
          <w14:ligatures w14:val="standardContextual"/>
        </w:rPr>
        <w:t>Dekriminalizimit</w:t>
      </w:r>
      <w:proofErr w:type="spellEnd"/>
      <w:r w:rsidRPr="00DD58C7">
        <w:rPr>
          <w:rFonts w:ascii="Garamond" w:eastAsiaTheme="minorHAnsi" w:hAnsi="Garamond"/>
          <w:color w:val="000000"/>
          <w:sz w:val="24"/>
          <w:szCs w:val="24"/>
          <w14:ligatures w14:val="standardContextual"/>
        </w:rPr>
        <w:t xml:space="preserve">. Një deklaratë e rreme është e dënueshme sipas </w:t>
      </w:r>
      <w:r w:rsidR="00C02324">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 xml:space="preserve">enit 190 të Kodit Penal. Formulari standard i </w:t>
      </w:r>
      <w:proofErr w:type="spellStart"/>
      <w:r w:rsidRPr="00DD58C7">
        <w:rPr>
          <w:rFonts w:ascii="Garamond" w:eastAsiaTheme="minorHAnsi" w:hAnsi="Garamond"/>
          <w:color w:val="000000"/>
          <w:sz w:val="24"/>
          <w:szCs w:val="24"/>
          <w14:ligatures w14:val="standardContextual"/>
        </w:rPr>
        <w:t>vetëdeklarimit</w:t>
      </w:r>
      <w:proofErr w:type="spellEnd"/>
      <w:r w:rsidRPr="00DD58C7">
        <w:rPr>
          <w:rFonts w:ascii="Garamond" w:eastAsiaTheme="minorHAnsi" w:hAnsi="Garamond"/>
          <w:color w:val="000000"/>
          <w:sz w:val="24"/>
          <w:szCs w:val="24"/>
          <w14:ligatures w14:val="standardContextual"/>
        </w:rPr>
        <w:t xml:space="preserve"> përfshin pyetjen e mëposhtme: “A jeni dënuar ndonjëherë me një vendim gjyqësor të formës së prerë të një autoriteti gjyqësor shqiptar ose të huaj?”.</w:t>
      </w:r>
    </w:p>
    <w:p w14:paraId="3F4311D1" w14:textId="050D7130"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17. Gjykata e Apelit Tiranë, në vendimin nr. 853</w:t>
      </w:r>
      <w:r w:rsidR="00C02324">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të datës 26 </w:t>
      </w:r>
      <w:r w:rsidR="00C02324">
        <w:rPr>
          <w:rFonts w:ascii="Garamond" w:eastAsiaTheme="minorHAnsi" w:hAnsi="Garamond"/>
          <w:color w:val="000000"/>
          <w:sz w:val="24"/>
          <w:szCs w:val="24"/>
          <w14:ligatures w14:val="standardContextual"/>
        </w:rPr>
        <w:t>s</w:t>
      </w:r>
      <w:r w:rsidRPr="00DD58C7">
        <w:rPr>
          <w:rFonts w:ascii="Garamond" w:eastAsiaTheme="minorHAnsi" w:hAnsi="Garamond"/>
          <w:color w:val="000000"/>
          <w:sz w:val="24"/>
          <w:szCs w:val="24"/>
          <w14:ligatures w14:val="standardContextual"/>
        </w:rPr>
        <w:t xml:space="preserve">htator 2022 (shih </w:t>
      </w:r>
      <w:proofErr w:type="spellStart"/>
      <w:r w:rsidRPr="00DD58C7">
        <w:rPr>
          <w:rFonts w:ascii="Garamond" w:eastAsiaTheme="minorHAnsi" w:hAnsi="Garamond"/>
          <w:i/>
          <w:iCs/>
          <w:color w:val="000000"/>
          <w:sz w:val="24"/>
          <w:szCs w:val="24"/>
          <w14:ligatures w14:val="standardContextual"/>
        </w:rPr>
        <w:t>Thanza</w:t>
      </w:r>
      <w:proofErr w:type="spellEnd"/>
      <w:r w:rsidRPr="00DD58C7">
        <w:rPr>
          <w:rFonts w:ascii="Garamond" w:eastAsiaTheme="minorHAnsi" w:hAnsi="Garamond"/>
          <w:i/>
          <w:iCs/>
          <w:color w:val="000000"/>
          <w:sz w:val="24"/>
          <w:szCs w:val="24"/>
          <w14:ligatures w14:val="standardContextual"/>
        </w:rPr>
        <w:t xml:space="preserve"> kundër Shqipërisë</w:t>
      </w:r>
      <w:r w:rsidRPr="00DD58C7">
        <w:rPr>
          <w:rFonts w:ascii="Garamond" w:eastAsiaTheme="minorHAnsi" w:hAnsi="Garamond"/>
          <w:color w:val="000000"/>
          <w:sz w:val="24"/>
          <w:szCs w:val="24"/>
          <w14:ligatures w14:val="standardContextual"/>
        </w:rPr>
        <w:t xml:space="preserve">, nr. 41047/19, § 51, 4 </w:t>
      </w:r>
      <w:r w:rsidR="00C02324">
        <w:rPr>
          <w:rFonts w:ascii="Garamond" w:eastAsiaTheme="minorHAnsi" w:hAnsi="Garamond"/>
          <w:color w:val="000000"/>
          <w:sz w:val="24"/>
          <w:szCs w:val="24"/>
          <w14:ligatures w14:val="standardContextual"/>
        </w:rPr>
        <w:t>k</w:t>
      </w:r>
      <w:r w:rsidRPr="00DD58C7">
        <w:rPr>
          <w:rFonts w:ascii="Garamond" w:eastAsiaTheme="minorHAnsi" w:hAnsi="Garamond"/>
          <w:color w:val="000000"/>
          <w:sz w:val="24"/>
          <w:szCs w:val="24"/>
          <w14:ligatures w14:val="standardContextual"/>
        </w:rPr>
        <w:t xml:space="preserve">orrik 2023), vendosi që dispozitat e Ligjit të </w:t>
      </w:r>
      <w:proofErr w:type="spellStart"/>
      <w:r w:rsidRPr="00DD58C7">
        <w:rPr>
          <w:rFonts w:ascii="Garamond" w:eastAsiaTheme="minorHAnsi" w:hAnsi="Garamond"/>
          <w:color w:val="000000"/>
          <w:sz w:val="24"/>
          <w:szCs w:val="24"/>
          <w14:ligatures w14:val="standardContextual"/>
        </w:rPr>
        <w:t>Dekriminalizimit</w:t>
      </w:r>
      <w:proofErr w:type="spellEnd"/>
      <w:r w:rsidRPr="00DD58C7">
        <w:rPr>
          <w:rFonts w:ascii="Garamond" w:eastAsiaTheme="minorHAnsi" w:hAnsi="Garamond"/>
          <w:color w:val="000000"/>
          <w:sz w:val="24"/>
          <w:szCs w:val="24"/>
          <w14:ligatures w14:val="standardContextual"/>
        </w:rPr>
        <w:t xml:space="preserve"> për zbulimin e të dhënave për vepra penale (shih paragrafin 16 më sipër) ishin në kundërshtim me rregullat e zakonshme të rehabilitimit sipas Kodit Penal dhe legjislacionit përkatës. Gjithashtu, formulari i </w:t>
      </w:r>
      <w:proofErr w:type="spellStart"/>
      <w:r w:rsidRPr="00DD58C7">
        <w:rPr>
          <w:rFonts w:ascii="Garamond" w:eastAsiaTheme="minorHAnsi" w:hAnsi="Garamond"/>
          <w:color w:val="000000"/>
          <w:sz w:val="24"/>
          <w:szCs w:val="24"/>
          <w14:ligatures w14:val="standardContextual"/>
        </w:rPr>
        <w:t>vetëdeklarimit</w:t>
      </w:r>
      <w:proofErr w:type="spellEnd"/>
      <w:r w:rsidRPr="00DD58C7">
        <w:rPr>
          <w:rFonts w:ascii="Garamond" w:eastAsiaTheme="minorHAnsi" w:hAnsi="Garamond"/>
          <w:color w:val="000000"/>
          <w:sz w:val="24"/>
          <w:szCs w:val="24"/>
          <w14:ligatures w14:val="standardContextual"/>
        </w:rPr>
        <w:t xml:space="preserve"> i lidhur me Ligjin e </w:t>
      </w:r>
      <w:proofErr w:type="spellStart"/>
      <w:r w:rsidRPr="00DD58C7">
        <w:rPr>
          <w:rFonts w:ascii="Garamond" w:eastAsiaTheme="minorHAnsi" w:hAnsi="Garamond"/>
          <w:color w:val="000000"/>
          <w:sz w:val="24"/>
          <w:szCs w:val="24"/>
          <w14:ligatures w14:val="standardContextual"/>
        </w:rPr>
        <w:t>Dekriminalizimit</w:t>
      </w:r>
      <w:proofErr w:type="spellEnd"/>
      <w:r w:rsidRPr="00DD58C7">
        <w:rPr>
          <w:rFonts w:ascii="Garamond" w:eastAsiaTheme="minorHAnsi" w:hAnsi="Garamond"/>
          <w:color w:val="000000"/>
          <w:sz w:val="24"/>
          <w:szCs w:val="24"/>
          <w14:ligatures w14:val="standardContextual"/>
        </w:rPr>
        <w:t xml:space="preserve">, i cili u miratua përmes një “vendimi” të veçantë dhe atipik parlamentar (vendim), vendosi kërkesa për zbulim që shkonin përtej atyre të përcaktuara në vetë Ligjin e </w:t>
      </w:r>
      <w:proofErr w:type="spellStart"/>
      <w:r w:rsidRPr="00DD58C7">
        <w:rPr>
          <w:rFonts w:ascii="Garamond" w:eastAsiaTheme="minorHAnsi" w:hAnsi="Garamond"/>
          <w:color w:val="000000"/>
          <w:sz w:val="24"/>
          <w:szCs w:val="24"/>
          <w14:ligatures w14:val="standardContextual"/>
        </w:rPr>
        <w:t>Dekriminalizimit</w:t>
      </w:r>
      <w:proofErr w:type="spellEnd"/>
      <w:r w:rsidRPr="00DD58C7">
        <w:rPr>
          <w:rFonts w:ascii="Garamond" w:eastAsiaTheme="minorHAnsi" w:hAnsi="Garamond"/>
          <w:color w:val="000000"/>
          <w:sz w:val="24"/>
          <w:szCs w:val="24"/>
          <w14:ligatures w14:val="standardContextual"/>
        </w:rPr>
        <w:t xml:space="preserve"> dhe, deri në atë masë që, nuk mund të shkaktonin përgjegjësi penale (për deklarata të rreme) sipas nenit 190 § 1 të Kodit Penal. Vendimi i Gjykatës së Apelit u la në fuqi nga Gjykata e Lartë më 2 </w:t>
      </w:r>
      <w:r w:rsidR="00C02324">
        <w:rPr>
          <w:rFonts w:ascii="Garamond" w:eastAsiaTheme="minorHAnsi" w:hAnsi="Garamond"/>
          <w:color w:val="000000"/>
          <w:sz w:val="24"/>
          <w:szCs w:val="24"/>
          <w14:ligatures w14:val="standardContextual"/>
        </w:rPr>
        <w:t>d</w:t>
      </w:r>
      <w:r w:rsidRPr="00DD58C7">
        <w:rPr>
          <w:rFonts w:ascii="Garamond" w:eastAsiaTheme="minorHAnsi" w:hAnsi="Garamond"/>
          <w:color w:val="000000"/>
          <w:sz w:val="24"/>
          <w:szCs w:val="24"/>
          <w14:ligatures w14:val="standardContextual"/>
        </w:rPr>
        <w:t>hjetor 2025 (vendimi nr. 00-2025-1826).</w:t>
      </w:r>
    </w:p>
    <w:p w14:paraId="65D5F3FF" w14:textId="03DE3F2C" w:rsidR="0007274E" w:rsidRPr="00DD58C7" w:rsidRDefault="0007274E" w:rsidP="0007274E">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DD58C7">
        <w:rPr>
          <w:rFonts w:ascii="Garamond" w:eastAsiaTheme="minorHAnsi" w:hAnsi="Garamond"/>
          <w:b/>
          <w:bCs/>
          <w:color w:val="000000"/>
          <w:sz w:val="24"/>
          <w:szCs w:val="24"/>
          <w14:ligatures w14:val="standardContextual"/>
        </w:rPr>
        <w:t>C. Kodi Penal</w:t>
      </w:r>
    </w:p>
    <w:p w14:paraId="56D2C1B8" w14:textId="6B5F6C65"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18. Në periudhën konkrete, dispozitat përkatëse të Kodit Penal parashikonin si në vijim: </w:t>
      </w:r>
    </w:p>
    <w:p w14:paraId="3AE07B3D" w14:textId="77777777"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1676441E" w14:textId="1EF34364" w:rsidR="00C02324" w:rsidRPr="00C02324" w:rsidRDefault="00C02324" w:rsidP="0007274E">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C02324">
        <w:rPr>
          <w:rFonts w:ascii="Garamond" w:eastAsiaTheme="minorHAnsi" w:hAnsi="Garamond"/>
          <w:bCs/>
          <w:color w:val="000000"/>
          <w:sz w:val="24"/>
          <w:szCs w:val="24"/>
          <w14:ligatures w14:val="standardContextual"/>
        </w:rPr>
        <w:t>“Neni 59</w:t>
      </w:r>
    </w:p>
    <w:p w14:paraId="208E5F64" w14:textId="6FBBE612" w:rsidR="0007274E" w:rsidRPr="00DD58C7" w:rsidRDefault="0007274E" w:rsidP="0007274E">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D58C7">
        <w:rPr>
          <w:rFonts w:ascii="Garamond" w:eastAsiaTheme="minorHAnsi" w:hAnsi="Garamond"/>
          <w:b/>
          <w:bCs/>
          <w:color w:val="000000"/>
          <w:sz w:val="24"/>
          <w:szCs w:val="24"/>
          <w14:ligatures w14:val="standardContextual"/>
        </w:rPr>
        <w:t>Pezullimi i ekzekutimit të vendimit me burgim</w:t>
      </w:r>
    </w:p>
    <w:p w14:paraId="7F402E45" w14:textId="77777777" w:rsidR="0007274E" w:rsidRPr="00DD58C7" w:rsidRDefault="0007274E" w:rsidP="0007274E">
      <w:pPr>
        <w:autoSpaceDE w:val="0"/>
        <w:autoSpaceDN w:val="0"/>
        <w:adjustRightInd w:val="0"/>
        <w:spacing w:after="0" w:line="240" w:lineRule="auto"/>
        <w:ind w:firstLine="284"/>
        <w:rPr>
          <w:rFonts w:ascii="Garamond" w:eastAsiaTheme="minorHAnsi" w:hAnsi="Garamond"/>
          <w:b/>
          <w:bCs/>
          <w:color w:val="000000"/>
          <w:sz w:val="24"/>
          <w:szCs w:val="24"/>
          <w14:ligatures w14:val="standardContextual"/>
        </w:rPr>
      </w:pPr>
    </w:p>
    <w:p w14:paraId="0F951E3F" w14:textId="7587DD87" w:rsidR="0007274E" w:rsidRPr="00DD58C7" w:rsidRDefault="0007274E" w:rsidP="00C02324">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Për shkak të rrezikshmërisë së ulët të autorit dhe rrethanave të veprës penale, gjykata, kur jep dënim me burg deri në pesë vjet burgim, mund të urdhëroj¸ që i dënuari të vendoset në shërbim prove, duke pezulluar ekzekutimin e dënimit, me kusht që gjatë kohës së shërbimit të provës të mos kryejë vepër tjetër penale që është po aq e rëndë ose edhe më e rëndë sesa vepra penale fillestare. </w:t>
      </w:r>
    </w:p>
    <w:p w14:paraId="06FE2002" w14:textId="784A74CF" w:rsidR="0007274E" w:rsidRPr="00DD58C7" w:rsidRDefault="0007274E" w:rsidP="00C02324">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Kohëzgjatja e afatit të shërbimit të provës është 18 muaj deri në 5 vjet.”</w:t>
      </w:r>
      <w:r w:rsidR="00C02324">
        <w:rPr>
          <w:rFonts w:ascii="Garamond" w:eastAsiaTheme="minorHAnsi" w:hAnsi="Garamond"/>
          <w:color w:val="000000"/>
          <w:sz w:val="24"/>
          <w:szCs w:val="24"/>
          <w14:ligatures w14:val="standardContextual"/>
        </w:rPr>
        <w:t>.</w:t>
      </w:r>
    </w:p>
    <w:p w14:paraId="0043AE10" w14:textId="77777777" w:rsidR="0007274E" w:rsidRPr="00DD58C7" w:rsidRDefault="0007274E" w:rsidP="0007274E">
      <w:pPr>
        <w:autoSpaceDE w:val="0"/>
        <w:autoSpaceDN w:val="0"/>
        <w:adjustRightInd w:val="0"/>
        <w:spacing w:after="0" w:line="240" w:lineRule="auto"/>
        <w:ind w:firstLine="284"/>
        <w:rPr>
          <w:rFonts w:ascii="Garamond" w:eastAsiaTheme="minorHAnsi" w:hAnsi="Garamond"/>
          <w:color w:val="000000"/>
          <w:sz w:val="24"/>
          <w:szCs w:val="24"/>
          <w14:ligatures w14:val="standardContextual"/>
        </w:rPr>
      </w:pPr>
    </w:p>
    <w:p w14:paraId="75538FCE" w14:textId="3C0B263D" w:rsidR="00C02324" w:rsidRPr="00C02324" w:rsidRDefault="00C02324" w:rsidP="0007274E">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C02324">
        <w:rPr>
          <w:rFonts w:ascii="Garamond" w:eastAsiaTheme="minorHAnsi" w:hAnsi="Garamond"/>
          <w:bCs/>
          <w:color w:val="000000"/>
          <w:sz w:val="24"/>
          <w:szCs w:val="24"/>
          <w14:ligatures w14:val="standardContextual"/>
        </w:rPr>
        <w:t>“Neni 62</w:t>
      </w:r>
    </w:p>
    <w:p w14:paraId="3767F0B6" w14:textId="5B701146" w:rsidR="0007274E" w:rsidRPr="00DD58C7" w:rsidRDefault="0007274E" w:rsidP="0007274E">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D58C7">
        <w:rPr>
          <w:rFonts w:ascii="Garamond" w:eastAsiaTheme="minorHAnsi" w:hAnsi="Garamond"/>
          <w:b/>
          <w:bCs/>
          <w:color w:val="000000"/>
          <w:sz w:val="24"/>
          <w:szCs w:val="24"/>
          <w14:ligatures w14:val="standardContextual"/>
        </w:rPr>
        <w:t xml:space="preserve"> Revokimi i shërbimit të provës</w:t>
      </w:r>
    </w:p>
    <w:p w14:paraId="55AC2FF3" w14:textId="77777777" w:rsidR="0007274E" w:rsidRPr="00DD58C7" w:rsidRDefault="0007274E" w:rsidP="0007274E">
      <w:pPr>
        <w:autoSpaceDE w:val="0"/>
        <w:autoSpaceDN w:val="0"/>
        <w:adjustRightInd w:val="0"/>
        <w:spacing w:after="0" w:line="240" w:lineRule="auto"/>
        <w:ind w:firstLine="284"/>
        <w:rPr>
          <w:rFonts w:ascii="Garamond" w:eastAsiaTheme="minorHAnsi" w:hAnsi="Garamond"/>
          <w:b/>
          <w:bCs/>
          <w:color w:val="000000"/>
          <w:sz w:val="24"/>
          <w:szCs w:val="24"/>
          <w14:ligatures w14:val="standardContextual"/>
        </w:rPr>
      </w:pPr>
    </w:p>
    <w:p w14:paraId="0292EB49" w14:textId="6F986D27" w:rsidR="0007274E" w:rsidRPr="00DD58C7" w:rsidRDefault="0007274E" w:rsidP="00C02324">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Nëse i dënuari, gjatë afatit të provës, kryen një vepër tjetër penale që është po aq e rëndë ose më e rëndë sesa vepra penale fillestare, gjykata do të revokojë vendimin për pezullim. </w:t>
      </w:r>
    </w:p>
    <w:p w14:paraId="65A95785" w14:textId="75164685" w:rsidR="0007274E" w:rsidRPr="00DD58C7" w:rsidRDefault="0007274E" w:rsidP="00C02324">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Revokimi ndodh edhe kur </w:t>
      </w:r>
      <w:r w:rsidR="00C02324">
        <w:rPr>
          <w:rFonts w:ascii="Garamond" w:eastAsiaTheme="minorHAnsi" w:hAnsi="Garamond"/>
          <w:color w:val="000000"/>
          <w:sz w:val="24"/>
          <w:szCs w:val="24"/>
          <w14:ligatures w14:val="standardContextual"/>
        </w:rPr>
        <w:t>i</w:t>
      </w:r>
      <w:r w:rsidRPr="00DD58C7">
        <w:rPr>
          <w:rFonts w:ascii="Garamond" w:eastAsiaTheme="minorHAnsi" w:hAnsi="Garamond"/>
          <w:color w:val="000000"/>
          <w:sz w:val="24"/>
          <w:szCs w:val="24"/>
          <w14:ligatures w14:val="standardContextual"/>
        </w:rPr>
        <w:t xml:space="preserve"> dënuari, pa shkak të arsyeshëm, nuk përmbush masat dhe detyrimet… që </w:t>
      </w:r>
      <w:r w:rsidR="00C02324">
        <w:rPr>
          <w:rFonts w:ascii="Garamond" w:eastAsiaTheme="minorHAnsi" w:hAnsi="Garamond"/>
          <w:color w:val="000000"/>
          <w:sz w:val="24"/>
          <w:szCs w:val="24"/>
          <w14:ligatures w14:val="standardContextual"/>
        </w:rPr>
        <w:t>i</w:t>
      </w:r>
      <w:r w:rsidRPr="00DD58C7">
        <w:rPr>
          <w:rFonts w:ascii="Garamond" w:eastAsiaTheme="minorHAnsi" w:hAnsi="Garamond"/>
          <w:color w:val="000000"/>
          <w:sz w:val="24"/>
          <w:szCs w:val="24"/>
          <w14:ligatures w14:val="standardContextual"/>
        </w:rPr>
        <w:t xml:space="preserve"> janë vendosur. </w:t>
      </w:r>
    </w:p>
    <w:p w14:paraId="526AA50A" w14:textId="0F10AA57" w:rsidR="0007274E" w:rsidRPr="00DD58C7" w:rsidRDefault="0007274E" w:rsidP="00C02324">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Kur vendimi për pezullim nuk revokohet, dënimi i dhën</w:t>
      </w:r>
      <w:r w:rsidR="00C02324">
        <w:rPr>
          <w:rFonts w:ascii="Garamond" w:eastAsiaTheme="minorHAnsi" w:hAnsi="Garamond"/>
          <w:color w:val="000000"/>
          <w:sz w:val="24"/>
          <w:szCs w:val="24"/>
          <w14:ligatures w14:val="standardContextual"/>
        </w:rPr>
        <w:t>ë do të konsiderohet i paqenë.”.</w:t>
      </w:r>
    </w:p>
    <w:p w14:paraId="1BDA75C5" w14:textId="0A1FD35F" w:rsidR="0007274E" w:rsidRPr="00DD58C7" w:rsidRDefault="0007274E" w:rsidP="00C02324">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Fjalia e fundit e </w:t>
      </w:r>
      <w:r w:rsidR="00C02324">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 xml:space="preserve">enit 62 u hoq si rezultat i ndryshimeve në Kodin Penal me anë të </w:t>
      </w:r>
      <w:r w:rsidR="00C02324">
        <w:rPr>
          <w:rFonts w:ascii="Garamond" w:eastAsiaTheme="minorHAnsi" w:hAnsi="Garamond"/>
          <w:color w:val="000000"/>
          <w:sz w:val="24"/>
          <w:szCs w:val="24"/>
          <w14:ligatures w14:val="standardContextual"/>
        </w:rPr>
        <w:t>l</w:t>
      </w:r>
      <w:r w:rsidRPr="00DD58C7">
        <w:rPr>
          <w:rFonts w:ascii="Garamond" w:eastAsiaTheme="minorHAnsi" w:hAnsi="Garamond"/>
          <w:color w:val="000000"/>
          <w:sz w:val="24"/>
          <w:szCs w:val="24"/>
          <w14:ligatures w14:val="standardContextual"/>
        </w:rPr>
        <w:t>igjit nr. 10023</w:t>
      </w:r>
      <w:r w:rsidR="00C02324">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të datës 27 nëntor 2008, që hyri në fuqi më 15 </w:t>
      </w:r>
      <w:r w:rsidR="00C02324">
        <w:rPr>
          <w:rFonts w:ascii="Garamond" w:eastAsiaTheme="minorHAnsi" w:hAnsi="Garamond"/>
          <w:color w:val="000000"/>
          <w:sz w:val="24"/>
          <w:szCs w:val="24"/>
          <w14:ligatures w14:val="standardContextual"/>
        </w:rPr>
        <w:t>janar 2009.</w:t>
      </w:r>
    </w:p>
    <w:p w14:paraId="25EB9CB8" w14:textId="77777777" w:rsidR="0007274E" w:rsidRPr="00DD58C7" w:rsidRDefault="0007274E" w:rsidP="0007274E">
      <w:pPr>
        <w:autoSpaceDE w:val="0"/>
        <w:autoSpaceDN w:val="0"/>
        <w:adjustRightInd w:val="0"/>
        <w:spacing w:after="0" w:line="240" w:lineRule="auto"/>
        <w:ind w:firstLine="284"/>
        <w:rPr>
          <w:rFonts w:ascii="Garamond" w:eastAsiaTheme="minorHAnsi" w:hAnsi="Garamond"/>
          <w:color w:val="000000"/>
          <w:sz w:val="24"/>
          <w:szCs w:val="24"/>
          <w14:ligatures w14:val="standardContextual"/>
        </w:rPr>
      </w:pPr>
    </w:p>
    <w:p w14:paraId="507E8D7F" w14:textId="75E0572E" w:rsidR="00C02324" w:rsidRPr="00C02324" w:rsidRDefault="00C02324" w:rsidP="0007274E">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C02324">
        <w:rPr>
          <w:rFonts w:ascii="Garamond" w:eastAsiaTheme="minorHAnsi" w:hAnsi="Garamond"/>
          <w:bCs/>
          <w:color w:val="000000"/>
          <w:sz w:val="24"/>
          <w:szCs w:val="24"/>
          <w14:ligatures w14:val="standardContextual"/>
        </w:rPr>
        <w:t>“Neni 69</w:t>
      </w:r>
    </w:p>
    <w:p w14:paraId="11E00797" w14:textId="01FC8B74" w:rsidR="0007274E" w:rsidRPr="00DD58C7" w:rsidRDefault="0007274E" w:rsidP="0007274E">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D58C7">
        <w:rPr>
          <w:rFonts w:ascii="Garamond" w:eastAsiaTheme="minorHAnsi" w:hAnsi="Garamond"/>
          <w:b/>
          <w:bCs/>
          <w:color w:val="000000"/>
          <w:sz w:val="24"/>
          <w:szCs w:val="24"/>
          <w14:ligatures w14:val="standardContextual"/>
        </w:rPr>
        <w:t>Rehabilitimi</w:t>
      </w:r>
    </w:p>
    <w:p w14:paraId="06D71446" w14:textId="77777777" w:rsidR="0007274E" w:rsidRPr="00DD58C7" w:rsidRDefault="0007274E" w:rsidP="0007274E">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p>
    <w:p w14:paraId="110038DB" w14:textId="7A3F7595"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Quhen të padënuar:</w:t>
      </w:r>
    </w:p>
    <w:p w14:paraId="057FA173" w14:textId="4DE81CBB"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w:t>
      </w:r>
    </w:p>
    <w:p w14:paraId="76A2B59D" w14:textId="123F282B"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b) ata që janë dënuar me burgim për një kohë nga gjashtë muaj gjer në pesë vjet dhe që gjatë pesë vjetëve nga dita e vuajtjes së dënimit nuk kanë kryer vepër tjetër penale.”</w:t>
      </w:r>
      <w:r w:rsidR="00C02324">
        <w:rPr>
          <w:rFonts w:ascii="Garamond" w:eastAsiaTheme="minorHAnsi" w:hAnsi="Garamond"/>
          <w:color w:val="000000"/>
          <w:sz w:val="24"/>
          <w:szCs w:val="24"/>
          <w14:ligatures w14:val="standardContextual"/>
        </w:rPr>
        <w:t>.</w:t>
      </w:r>
    </w:p>
    <w:p w14:paraId="0CF657C5" w14:textId="712D7005" w:rsidR="0007274E" w:rsidRPr="00DD58C7" w:rsidRDefault="0007274E" w:rsidP="0007274E">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DD58C7">
        <w:rPr>
          <w:rFonts w:ascii="Garamond" w:eastAsiaTheme="minorHAnsi" w:hAnsi="Garamond"/>
          <w:b/>
          <w:bCs/>
          <w:color w:val="000000"/>
          <w:sz w:val="24"/>
          <w:szCs w:val="24"/>
          <w14:ligatures w14:val="standardContextual"/>
        </w:rPr>
        <w:t>D. Kodi i Drejtësisë Penale për të Mitur</w:t>
      </w:r>
    </w:p>
    <w:p w14:paraId="783B22E5" w14:textId="296B2711"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19. Dispozitat përkatëse të Kodit të Drejtësisë Penale për të Mitur (</w:t>
      </w:r>
      <w:r w:rsidR="00C02324">
        <w:rPr>
          <w:rFonts w:ascii="Garamond" w:eastAsiaTheme="minorHAnsi" w:hAnsi="Garamond"/>
          <w:color w:val="000000"/>
          <w:sz w:val="24"/>
          <w:szCs w:val="24"/>
          <w14:ligatures w14:val="standardContextual"/>
        </w:rPr>
        <w:t>l</w:t>
      </w:r>
      <w:r w:rsidRPr="00DD58C7">
        <w:rPr>
          <w:rFonts w:ascii="Garamond" w:eastAsiaTheme="minorHAnsi" w:hAnsi="Garamond"/>
          <w:color w:val="000000"/>
          <w:sz w:val="24"/>
          <w:szCs w:val="24"/>
          <w14:ligatures w14:val="standardContextual"/>
        </w:rPr>
        <w:t>igji nr. 37</w:t>
      </w:r>
      <w:r w:rsidR="00C02324">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i datës 30 </w:t>
      </w:r>
      <w:r w:rsidR="00C02324">
        <w:rPr>
          <w:rFonts w:ascii="Garamond" w:eastAsiaTheme="minorHAnsi" w:hAnsi="Garamond"/>
          <w:color w:val="000000"/>
          <w:sz w:val="24"/>
          <w:szCs w:val="24"/>
          <w14:ligatures w14:val="standardContextual"/>
        </w:rPr>
        <w:t>m</w:t>
      </w:r>
      <w:r w:rsidRPr="00DD58C7">
        <w:rPr>
          <w:rFonts w:ascii="Garamond" w:eastAsiaTheme="minorHAnsi" w:hAnsi="Garamond"/>
          <w:color w:val="000000"/>
          <w:sz w:val="24"/>
          <w:szCs w:val="24"/>
          <w14:ligatures w14:val="standardContextual"/>
        </w:rPr>
        <w:t xml:space="preserve">ars 2017, i cili hyri në fuqi më 1 </w:t>
      </w:r>
      <w:r w:rsidR="00C02324">
        <w:rPr>
          <w:rFonts w:ascii="Garamond" w:eastAsiaTheme="minorHAnsi" w:hAnsi="Garamond"/>
          <w:color w:val="000000"/>
          <w:sz w:val="24"/>
          <w:szCs w:val="24"/>
          <w14:ligatures w14:val="standardContextual"/>
        </w:rPr>
        <w:t>j</w:t>
      </w:r>
      <w:r w:rsidRPr="00DD58C7">
        <w:rPr>
          <w:rFonts w:ascii="Garamond" w:eastAsiaTheme="minorHAnsi" w:hAnsi="Garamond"/>
          <w:color w:val="000000"/>
          <w:sz w:val="24"/>
          <w:szCs w:val="24"/>
          <w14:ligatures w14:val="standardContextual"/>
        </w:rPr>
        <w:t>anar</w:t>
      </w:r>
      <w:r w:rsidR="00C02324">
        <w:rPr>
          <w:rFonts w:ascii="Garamond" w:eastAsiaTheme="minorHAnsi" w:hAnsi="Garamond"/>
          <w:color w:val="000000"/>
          <w:sz w:val="24"/>
          <w:szCs w:val="24"/>
          <w14:ligatures w14:val="standardContextual"/>
        </w:rPr>
        <w:t xml:space="preserve"> 2018) parashikon si më poshtë:</w:t>
      </w:r>
    </w:p>
    <w:p w14:paraId="4CA97DEA" w14:textId="77777777"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670BE5EB" w14:textId="7E1DD690" w:rsidR="00C02324" w:rsidRPr="00C02324" w:rsidRDefault="00C02324" w:rsidP="0007274E">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C02324">
        <w:rPr>
          <w:rFonts w:ascii="Garamond" w:eastAsiaTheme="minorHAnsi" w:hAnsi="Garamond"/>
          <w:bCs/>
          <w:color w:val="000000"/>
          <w:sz w:val="24"/>
          <w:szCs w:val="24"/>
          <w14:ligatures w14:val="standardContextual"/>
        </w:rPr>
        <w:t>“Neni 3</w:t>
      </w:r>
    </w:p>
    <w:p w14:paraId="7BA7BF09" w14:textId="018BB0D7" w:rsidR="0007274E" w:rsidRPr="00DD58C7" w:rsidRDefault="0007274E" w:rsidP="0007274E">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D58C7">
        <w:rPr>
          <w:rFonts w:ascii="Garamond" w:eastAsiaTheme="minorHAnsi" w:hAnsi="Garamond"/>
          <w:b/>
          <w:bCs/>
          <w:color w:val="000000"/>
          <w:sz w:val="24"/>
          <w:szCs w:val="24"/>
          <w14:ligatures w14:val="standardContextual"/>
        </w:rPr>
        <w:t>Përkufizime</w:t>
      </w:r>
    </w:p>
    <w:p w14:paraId="4386B454" w14:textId="77777777" w:rsidR="0007274E" w:rsidRPr="00DD58C7" w:rsidRDefault="0007274E" w:rsidP="0007274E">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p>
    <w:p w14:paraId="7F93A239" w14:textId="510D4CF0"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w:t>
      </w:r>
    </w:p>
    <w:p w14:paraId="28FEC823" w14:textId="3A19676E"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lastRenderedPageBreak/>
        <w:t xml:space="preserve">3. I mitur është çdo person nën moshën 18 vjeç. </w:t>
      </w:r>
    </w:p>
    <w:p w14:paraId="1A28A9EE" w14:textId="58344F7C"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w:t>
      </w:r>
    </w:p>
    <w:p w14:paraId="64E085C1" w14:textId="6525A192" w:rsidR="00C02324" w:rsidRPr="00C02324" w:rsidRDefault="00C02324" w:rsidP="0007274E">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C02324">
        <w:rPr>
          <w:rFonts w:ascii="Garamond" w:eastAsiaTheme="minorHAnsi" w:hAnsi="Garamond"/>
          <w:bCs/>
          <w:color w:val="000000"/>
          <w:sz w:val="24"/>
          <w:szCs w:val="24"/>
          <w14:ligatures w14:val="standardContextual"/>
        </w:rPr>
        <w:t>“Neni 10</w:t>
      </w:r>
      <w:r w:rsidR="0007274E" w:rsidRPr="00C02324">
        <w:rPr>
          <w:rFonts w:ascii="Garamond" w:eastAsiaTheme="minorHAnsi" w:hAnsi="Garamond"/>
          <w:bCs/>
          <w:color w:val="000000"/>
          <w:sz w:val="24"/>
          <w:szCs w:val="24"/>
          <w14:ligatures w14:val="standardContextual"/>
        </w:rPr>
        <w:t xml:space="preserve"> </w:t>
      </w:r>
    </w:p>
    <w:p w14:paraId="50385138" w14:textId="064D7725" w:rsidR="0007274E" w:rsidRPr="00DD58C7" w:rsidRDefault="0007274E" w:rsidP="0007274E">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D58C7">
        <w:rPr>
          <w:rFonts w:ascii="Garamond" w:eastAsiaTheme="minorHAnsi" w:hAnsi="Garamond"/>
          <w:b/>
          <w:bCs/>
          <w:color w:val="000000"/>
          <w:sz w:val="24"/>
          <w:szCs w:val="24"/>
          <w14:ligatures w14:val="standardContextual"/>
        </w:rPr>
        <w:t>Parimi i interesit më të lartë të fëmijës</w:t>
      </w:r>
    </w:p>
    <w:p w14:paraId="11F91020" w14:textId="77777777" w:rsidR="0007274E" w:rsidRPr="00DD58C7" w:rsidRDefault="0007274E" w:rsidP="0007274E">
      <w:pPr>
        <w:autoSpaceDE w:val="0"/>
        <w:autoSpaceDN w:val="0"/>
        <w:adjustRightInd w:val="0"/>
        <w:spacing w:after="0" w:line="240" w:lineRule="auto"/>
        <w:ind w:firstLine="284"/>
        <w:rPr>
          <w:rFonts w:ascii="Garamond" w:eastAsiaTheme="minorHAnsi" w:hAnsi="Garamond"/>
          <w:b/>
          <w:bCs/>
          <w:color w:val="000000"/>
          <w:sz w:val="24"/>
          <w:szCs w:val="24"/>
          <w14:ligatures w14:val="standardContextual"/>
        </w:rPr>
      </w:pPr>
    </w:p>
    <w:p w14:paraId="245E1C9B" w14:textId="4C2104C5"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1. Organet kompetente në çdo vendim dhe veprimtari të ndërmarrë në zbatim të këtij Kodi, duhet të vlerësojnë me përparësi interesin më të lartë të </w:t>
      </w:r>
      <w:proofErr w:type="spellStart"/>
      <w:r w:rsidRPr="00DD58C7">
        <w:rPr>
          <w:rFonts w:ascii="Garamond" w:eastAsiaTheme="minorHAnsi" w:hAnsi="Garamond"/>
          <w:color w:val="000000"/>
          <w:sz w:val="24"/>
          <w:szCs w:val="24"/>
          <w14:ligatures w14:val="standardContextual"/>
        </w:rPr>
        <w:t>të</w:t>
      </w:r>
      <w:proofErr w:type="spellEnd"/>
      <w:r w:rsidRPr="00DD58C7">
        <w:rPr>
          <w:rFonts w:ascii="Garamond" w:eastAsiaTheme="minorHAnsi" w:hAnsi="Garamond"/>
          <w:color w:val="000000"/>
          <w:sz w:val="24"/>
          <w:szCs w:val="24"/>
          <w14:ligatures w14:val="standardContextual"/>
        </w:rPr>
        <w:t xml:space="preserve"> miturit. </w:t>
      </w:r>
    </w:p>
    <w:p w14:paraId="36313D9C" w14:textId="77777777"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w:t>
      </w:r>
    </w:p>
    <w:p w14:paraId="40F95160" w14:textId="1BA466D5"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3. Vendime</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dhe aktet e</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organeve</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kompetente duhet të përmbajnë një argumentim</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të</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 xml:space="preserve">posaçëm lidhur me mënyrën se si është analizuar dhe si do të sigurohet respektimi i interesit më të lartë të </w:t>
      </w:r>
      <w:proofErr w:type="spellStart"/>
      <w:r w:rsidRPr="00DD58C7">
        <w:rPr>
          <w:rFonts w:ascii="Garamond" w:eastAsiaTheme="minorHAnsi" w:hAnsi="Garamond"/>
          <w:color w:val="000000"/>
          <w:sz w:val="24"/>
          <w:szCs w:val="24"/>
          <w14:ligatures w14:val="standardContextual"/>
        </w:rPr>
        <w:t>të</w:t>
      </w:r>
      <w:proofErr w:type="spellEnd"/>
      <w:r w:rsidRPr="00DD58C7">
        <w:rPr>
          <w:rFonts w:ascii="Garamond" w:eastAsiaTheme="minorHAnsi" w:hAnsi="Garamond"/>
          <w:color w:val="000000"/>
          <w:sz w:val="24"/>
          <w:szCs w:val="24"/>
          <w14:ligatures w14:val="standardContextual"/>
        </w:rPr>
        <w:t xml:space="preserve"> miturit.”</w:t>
      </w:r>
      <w:r w:rsidR="00C02324">
        <w:rPr>
          <w:rFonts w:ascii="Garamond" w:eastAsiaTheme="minorHAnsi" w:hAnsi="Garamond"/>
          <w:color w:val="000000"/>
          <w:sz w:val="24"/>
          <w:szCs w:val="24"/>
          <w14:ligatures w14:val="standardContextual"/>
        </w:rPr>
        <w:t>.</w:t>
      </w:r>
    </w:p>
    <w:p w14:paraId="5207B85F" w14:textId="77777777"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65CB8AD4" w14:textId="24C62BBD" w:rsidR="00C02324" w:rsidRPr="00C02324" w:rsidRDefault="00C02324" w:rsidP="0007274E">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C02324">
        <w:rPr>
          <w:rFonts w:ascii="Garamond" w:eastAsiaTheme="minorHAnsi" w:hAnsi="Garamond"/>
          <w:bCs/>
          <w:color w:val="000000"/>
          <w:sz w:val="24"/>
          <w:szCs w:val="24"/>
          <w14:ligatures w14:val="standardContextual"/>
        </w:rPr>
        <w:t>“Neni 12</w:t>
      </w:r>
      <w:r w:rsidR="0007274E" w:rsidRPr="00C02324">
        <w:rPr>
          <w:rFonts w:ascii="Garamond" w:eastAsiaTheme="minorHAnsi" w:hAnsi="Garamond"/>
          <w:bCs/>
          <w:color w:val="000000"/>
          <w:sz w:val="24"/>
          <w:szCs w:val="24"/>
          <w14:ligatures w14:val="standardContextual"/>
        </w:rPr>
        <w:t xml:space="preserve"> </w:t>
      </w:r>
    </w:p>
    <w:p w14:paraId="7F5D58A3" w14:textId="29C0D581" w:rsidR="0007274E" w:rsidRPr="00DD58C7" w:rsidRDefault="0007274E" w:rsidP="0007274E">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D58C7">
        <w:rPr>
          <w:rFonts w:ascii="Garamond" w:eastAsiaTheme="minorHAnsi" w:hAnsi="Garamond"/>
          <w:b/>
          <w:bCs/>
          <w:color w:val="000000"/>
          <w:sz w:val="24"/>
          <w:szCs w:val="24"/>
          <w14:ligatures w14:val="standardContextual"/>
        </w:rPr>
        <w:t xml:space="preserve">E drejta për zhvillim harmonik të </w:t>
      </w:r>
      <w:proofErr w:type="spellStart"/>
      <w:r w:rsidRPr="00DD58C7">
        <w:rPr>
          <w:rFonts w:ascii="Garamond" w:eastAsiaTheme="minorHAnsi" w:hAnsi="Garamond"/>
          <w:b/>
          <w:bCs/>
          <w:color w:val="000000"/>
          <w:sz w:val="24"/>
          <w:szCs w:val="24"/>
          <w14:ligatures w14:val="standardContextual"/>
        </w:rPr>
        <w:t>të</w:t>
      </w:r>
      <w:proofErr w:type="spellEnd"/>
      <w:r w:rsidRPr="00DD58C7">
        <w:rPr>
          <w:rFonts w:ascii="Garamond" w:eastAsiaTheme="minorHAnsi" w:hAnsi="Garamond"/>
          <w:b/>
          <w:bCs/>
          <w:color w:val="000000"/>
          <w:sz w:val="24"/>
          <w:szCs w:val="24"/>
          <w14:ligatures w14:val="standardContextual"/>
        </w:rPr>
        <w:t xml:space="preserve"> miturit</w:t>
      </w:r>
    </w:p>
    <w:p w14:paraId="5E0258C2" w14:textId="77777777"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18C0C4A3" w14:textId="41ADD21F" w:rsidR="0007274E" w:rsidRPr="00DD58C7" w:rsidRDefault="0007274E" w:rsidP="00C02324">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1. Në çdo vendim dhe procedurë lidhur me drejtësinë penale për</w:t>
      </w:r>
      <w:r w:rsidR="00C02324">
        <w:rPr>
          <w:rFonts w:ascii="Garamond" w:eastAsiaTheme="minorHAnsi" w:hAnsi="Garamond"/>
          <w:color w:val="000000"/>
          <w:sz w:val="24"/>
          <w:szCs w:val="24"/>
          <w14:ligatures w14:val="standardContextual"/>
        </w:rPr>
        <w:t xml:space="preserve"> të mitur mbahet në konsideratë </w:t>
      </w:r>
      <w:r w:rsidRPr="00DD58C7">
        <w:rPr>
          <w:rFonts w:ascii="Garamond" w:eastAsiaTheme="minorHAnsi" w:hAnsi="Garamond"/>
          <w:color w:val="000000"/>
          <w:sz w:val="24"/>
          <w:szCs w:val="24"/>
          <w14:ligatures w14:val="standardContextual"/>
        </w:rPr>
        <w:t>e drejta e të miturit për zhvillimin fizik, mendor, shpirtëror, moral dhe shoqëror.</w:t>
      </w:r>
    </w:p>
    <w:p w14:paraId="730CE62E" w14:textId="1A75EC9F"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2.</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Vendimet dhe aktet e organeve</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kompetente duhet të përmbajnë një arsyetim të posaçëm lidhur me mënyrën se si është vlerësuar e drejta</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e të miturit për këtë zhvillim dhe si do të realizohet zbatimi i pikës 1 të këtij neni.”</w:t>
      </w:r>
      <w:r w:rsidR="00C02324">
        <w:rPr>
          <w:rFonts w:ascii="Garamond" w:eastAsiaTheme="minorHAnsi" w:hAnsi="Garamond"/>
          <w:color w:val="000000"/>
          <w:sz w:val="24"/>
          <w:szCs w:val="24"/>
          <w14:ligatures w14:val="standardContextual"/>
        </w:rPr>
        <w:t>.</w:t>
      </w:r>
    </w:p>
    <w:p w14:paraId="784F55C7" w14:textId="77777777"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4909DF9E" w14:textId="5DE99AC2" w:rsidR="00C02324" w:rsidRPr="00C02324" w:rsidRDefault="00C02324" w:rsidP="0007274E">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C02324">
        <w:rPr>
          <w:rFonts w:ascii="Garamond" w:eastAsiaTheme="minorHAnsi" w:hAnsi="Garamond"/>
          <w:bCs/>
          <w:color w:val="000000"/>
          <w:sz w:val="24"/>
          <w:szCs w:val="24"/>
          <w14:ligatures w14:val="standardContextual"/>
        </w:rPr>
        <w:t>“</w:t>
      </w:r>
      <w:r w:rsidR="0007274E" w:rsidRPr="00C02324">
        <w:rPr>
          <w:rFonts w:ascii="Garamond" w:eastAsiaTheme="minorHAnsi" w:hAnsi="Garamond"/>
          <w:bCs/>
          <w:color w:val="000000"/>
          <w:sz w:val="24"/>
          <w:szCs w:val="24"/>
          <w14:ligatures w14:val="standardContextual"/>
        </w:rPr>
        <w:t>Neni 13</w:t>
      </w:r>
    </w:p>
    <w:p w14:paraId="57956AC2" w14:textId="1D79143B" w:rsidR="0007274E" w:rsidRPr="00DD58C7" w:rsidRDefault="0007274E" w:rsidP="0007274E">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D58C7">
        <w:rPr>
          <w:rFonts w:ascii="Garamond" w:eastAsiaTheme="minorHAnsi" w:hAnsi="Garamond"/>
          <w:b/>
          <w:bCs/>
          <w:color w:val="000000"/>
          <w:sz w:val="24"/>
          <w:szCs w:val="24"/>
          <w14:ligatures w14:val="standardContextual"/>
        </w:rPr>
        <w:t xml:space="preserve">Parimi i </w:t>
      </w:r>
      <w:proofErr w:type="spellStart"/>
      <w:r w:rsidRPr="00DD58C7">
        <w:rPr>
          <w:rFonts w:ascii="Garamond" w:eastAsiaTheme="minorHAnsi" w:hAnsi="Garamond"/>
          <w:b/>
          <w:bCs/>
          <w:color w:val="000000"/>
          <w:sz w:val="24"/>
          <w:szCs w:val="24"/>
          <w14:ligatures w14:val="standardContextual"/>
        </w:rPr>
        <w:t>proporcionalitetit</w:t>
      </w:r>
      <w:proofErr w:type="spellEnd"/>
    </w:p>
    <w:p w14:paraId="680AA7FD" w14:textId="77777777"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71D1F3BD" w14:textId="24525520"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Çdo masë e marrë ndaj të miturit në konflikt me ligjin duhet të jetë në raport me rrethanat e kryerjes së veprës</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penale,</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personalitetin e të miturit,</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në përputhje me nevojat</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që</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lidhen me moshën, edukimin,</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arsimimin kushtet</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personale,</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familjare,</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sociale dhe mjedisore,</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nevojat zhvillimore,</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 xml:space="preserve">si dhe nevoja të tjera të </w:t>
      </w:r>
      <w:proofErr w:type="spellStart"/>
      <w:r w:rsidRPr="00DD58C7">
        <w:rPr>
          <w:rFonts w:ascii="Garamond" w:eastAsiaTheme="minorHAnsi" w:hAnsi="Garamond"/>
          <w:color w:val="000000"/>
          <w:sz w:val="24"/>
          <w:szCs w:val="24"/>
          <w14:ligatures w14:val="standardContextual"/>
        </w:rPr>
        <w:t>të</w:t>
      </w:r>
      <w:proofErr w:type="spellEnd"/>
      <w:r w:rsidRPr="00DD58C7">
        <w:rPr>
          <w:rFonts w:ascii="Garamond" w:eastAsiaTheme="minorHAnsi" w:hAnsi="Garamond"/>
          <w:color w:val="000000"/>
          <w:sz w:val="24"/>
          <w:szCs w:val="24"/>
          <w14:ligatures w14:val="standardContextual"/>
        </w:rPr>
        <w:t xml:space="preserve"> miturit përfshirë, nëse është rasti, edhe nevojat e veçanta.”</w:t>
      </w:r>
      <w:r w:rsidR="00C02324">
        <w:rPr>
          <w:rFonts w:ascii="Garamond" w:eastAsiaTheme="minorHAnsi" w:hAnsi="Garamond"/>
          <w:color w:val="000000"/>
          <w:sz w:val="24"/>
          <w:szCs w:val="24"/>
          <w14:ligatures w14:val="standardContextual"/>
        </w:rPr>
        <w:t>.</w:t>
      </w:r>
    </w:p>
    <w:p w14:paraId="04063FC4" w14:textId="77777777"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5F379317" w14:textId="38B5B492" w:rsidR="00C02324" w:rsidRPr="00C02324" w:rsidRDefault="00C02324" w:rsidP="0007274E">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C02324">
        <w:rPr>
          <w:rFonts w:ascii="Garamond" w:eastAsiaTheme="minorHAnsi" w:hAnsi="Garamond"/>
          <w:bCs/>
          <w:color w:val="000000"/>
          <w:sz w:val="24"/>
          <w:szCs w:val="24"/>
          <w14:ligatures w14:val="standardContextual"/>
        </w:rPr>
        <w:t>“</w:t>
      </w:r>
      <w:r w:rsidR="0007274E" w:rsidRPr="00C02324">
        <w:rPr>
          <w:rFonts w:ascii="Garamond" w:eastAsiaTheme="minorHAnsi" w:hAnsi="Garamond"/>
          <w:bCs/>
          <w:color w:val="000000"/>
          <w:sz w:val="24"/>
          <w:szCs w:val="24"/>
          <w14:ligatures w14:val="standardContextual"/>
        </w:rPr>
        <w:t>Neni 14</w:t>
      </w:r>
    </w:p>
    <w:p w14:paraId="6E15F86F" w14:textId="2DDD0E8C" w:rsidR="0007274E" w:rsidRDefault="0007274E" w:rsidP="0007274E">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D58C7">
        <w:rPr>
          <w:rFonts w:ascii="Garamond" w:eastAsiaTheme="minorHAnsi" w:hAnsi="Garamond"/>
          <w:b/>
          <w:bCs/>
          <w:color w:val="000000"/>
          <w:sz w:val="24"/>
          <w:szCs w:val="24"/>
          <w14:ligatures w14:val="standardContextual"/>
        </w:rPr>
        <w:t>Përparësia e masave alternative të shmangies</w:t>
      </w:r>
    </w:p>
    <w:p w14:paraId="1483CB9B" w14:textId="77777777" w:rsidR="00C02324" w:rsidRPr="00DD58C7" w:rsidRDefault="00C02324" w:rsidP="0007274E">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799FC4A1" w14:textId="4343C4C1" w:rsidR="0007274E" w:rsidRPr="00DD58C7" w:rsidRDefault="0007274E" w:rsidP="00C02324">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1. Për arritjen e qëllimeve të këtij Kodi dhe të ligjeve të tjera që kanë lidhje me drejtësinë për të mitur,</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në procedurën e drejtësisë penale për të mitur përparësi u jepet masave alternative të shmangies nga procedimi penal.</w:t>
      </w:r>
    </w:p>
    <w:p w14:paraId="6A7CD6E7" w14:textId="05ADC955" w:rsidR="0007274E" w:rsidRPr="00DD58C7" w:rsidRDefault="0007274E" w:rsidP="00C02324">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2. Masat alternative që synojnë shmangien e të miturit nga procedimi penal ose zbatimi i masave të drejtësisë restauruese vlerësohen si mundësia e parë. Kur bëhet ky vlerësim, nga çdo organ kompetent, në aktet </w:t>
      </w:r>
      <w:proofErr w:type="spellStart"/>
      <w:r w:rsidRPr="00DD58C7">
        <w:rPr>
          <w:rFonts w:ascii="Garamond" w:eastAsiaTheme="minorHAnsi" w:hAnsi="Garamond"/>
          <w:color w:val="000000"/>
          <w:sz w:val="24"/>
          <w:szCs w:val="24"/>
          <w14:ligatures w14:val="standardContextual"/>
        </w:rPr>
        <w:t>respektive</w:t>
      </w:r>
      <w:proofErr w:type="spellEnd"/>
      <w:r w:rsidRPr="00DD58C7">
        <w:rPr>
          <w:rFonts w:ascii="Garamond" w:eastAsiaTheme="minorHAnsi" w:hAnsi="Garamond"/>
          <w:color w:val="000000"/>
          <w:sz w:val="24"/>
          <w:szCs w:val="24"/>
          <w14:ligatures w14:val="standardContextual"/>
        </w:rPr>
        <w:t xml:space="preserve"> pasqyrohet mbajtja në vëmendje që masa alternative e shmangies i shërben më mirë qëllimeve</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të</w:t>
      </w:r>
      <w:r w:rsidR="00B374C8">
        <w:rPr>
          <w:rFonts w:ascii="Garamond" w:eastAsiaTheme="minorHAnsi" w:hAnsi="Garamond"/>
          <w:color w:val="000000"/>
          <w:sz w:val="24"/>
          <w:szCs w:val="24"/>
          <w14:ligatures w14:val="standardContextual"/>
        </w:rPr>
        <w:t xml:space="preserve"> </w:t>
      </w:r>
      <w:proofErr w:type="spellStart"/>
      <w:r w:rsidRPr="00DD58C7">
        <w:rPr>
          <w:rFonts w:ascii="Garamond" w:eastAsiaTheme="minorHAnsi" w:hAnsi="Garamond"/>
          <w:color w:val="000000"/>
          <w:sz w:val="24"/>
          <w:szCs w:val="24"/>
          <w14:ligatures w14:val="standardContextual"/>
        </w:rPr>
        <w:t>rishoqërizimit</w:t>
      </w:r>
      <w:proofErr w:type="spellEnd"/>
      <w:r w:rsidRPr="00DD58C7">
        <w:rPr>
          <w:rFonts w:ascii="Garamond" w:eastAsiaTheme="minorHAnsi" w:hAnsi="Garamond"/>
          <w:color w:val="000000"/>
          <w:sz w:val="24"/>
          <w:szCs w:val="24"/>
          <w14:ligatures w14:val="standardContextual"/>
        </w:rPr>
        <w:t>,</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rehabilitimit</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të</w:t>
      </w:r>
      <w:r w:rsidR="00B374C8">
        <w:rPr>
          <w:rFonts w:ascii="Garamond" w:eastAsiaTheme="minorHAnsi" w:hAnsi="Garamond"/>
          <w:color w:val="000000"/>
          <w:sz w:val="24"/>
          <w:szCs w:val="24"/>
          <w14:ligatures w14:val="standardContextual"/>
        </w:rPr>
        <w:t xml:space="preserve"> </w:t>
      </w:r>
      <w:proofErr w:type="spellStart"/>
      <w:r w:rsidRPr="00DD58C7">
        <w:rPr>
          <w:rFonts w:ascii="Garamond" w:eastAsiaTheme="minorHAnsi" w:hAnsi="Garamond"/>
          <w:color w:val="000000"/>
          <w:sz w:val="24"/>
          <w:szCs w:val="24"/>
          <w14:ligatures w14:val="standardContextual"/>
        </w:rPr>
        <w:t>të</w:t>
      </w:r>
      <w:proofErr w:type="spellEnd"/>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miturit</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dhe</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parandalimit</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të</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shkeljeve</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të</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ligjit</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përkundrejt vendosjes së tij nën përgjegjësinë penale dhe zbatimit të dënimit</w:t>
      </w:r>
      <w:r w:rsidR="00C02324">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w:t>
      </w:r>
      <w:r w:rsidR="00C02324">
        <w:rPr>
          <w:rFonts w:ascii="Garamond" w:eastAsiaTheme="minorHAnsi" w:hAnsi="Garamond"/>
          <w:color w:val="000000"/>
          <w:sz w:val="24"/>
          <w:szCs w:val="24"/>
          <w14:ligatures w14:val="standardContextual"/>
        </w:rPr>
        <w:t>.</w:t>
      </w:r>
    </w:p>
    <w:p w14:paraId="7426A8D2" w14:textId="77777777" w:rsidR="0007274E" w:rsidRPr="00DD58C7" w:rsidRDefault="0007274E" w:rsidP="0007274E">
      <w:pPr>
        <w:autoSpaceDE w:val="0"/>
        <w:autoSpaceDN w:val="0"/>
        <w:adjustRightInd w:val="0"/>
        <w:spacing w:after="0" w:line="240" w:lineRule="auto"/>
        <w:ind w:firstLine="284"/>
        <w:rPr>
          <w:rFonts w:ascii="Garamond" w:eastAsiaTheme="minorHAnsi" w:hAnsi="Garamond"/>
          <w:color w:val="000000"/>
          <w:sz w:val="24"/>
          <w:szCs w:val="24"/>
          <w14:ligatures w14:val="standardContextual"/>
        </w:rPr>
      </w:pPr>
    </w:p>
    <w:p w14:paraId="21E03965" w14:textId="4F27D642" w:rsidR="00C02324" w:rsidRPr="00C02324" w:rsidRDefault="00C02324" w:rsidP="0007274E">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C02324">
        <w:rPr>
          <w:rFonts w:ascii="Garamond" w:eastAsiaTheme="minorHAnsi" w:hAnsi="Garamond"/>
          <w:bCs/>
          <w:color w:val="000000"/>
          <w:sz w:val="24"/>
          <w:szCs w:val="24"/>
          <w14:ligatures w14:val="standardContextual"/>
        </w:rPr>
        <w:t>“Neni 21</w:t>
      </w:r>
    </w:p>
    <w:p w14:paraId="6A1B5A85" w14:textId="7993458D" w:rsidR="0007274E" w:rsidRPr="00DD58C7" w:rsidRDefault="0007274E" w:rsidP="0007274E">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D58C7">
        <w:rPr>
          <w:rFonts w:ascii="Garamond" w:eastAsiaTheme="minorHAnsi" w:hAnsi="Garamond"/>
          <w:b/>
          <w:bCs/>
          <w:color w:val="000000"/>
          <w:sz w:val="24"/>
          <w:szCs w:val="24"/>
          <w14:ligatures w14:val="standardContextual"/>
        </w:rPr>
        <w:t xml:space="preserve">Mbrojtja e jetës private të </w:t>
      </w:r>
      <w:proofErr w:type="spellStart"/>
      <w:r w:rsidRPr="00DD58C7">
        <w:rPr>
          <w:rFonts w:ascii="Garamond" w:eastAsiaTheme="minorHAnsi" w:hAnsi="Garamond"/>
          <w:b/>
          <w:bCs/>
          <w:color w:val="000000"/>
          <w:sz w:val="24"/>
          <w:szCs w:val="24"/>
          <w14:ligatures w14:val="standardContextual"/>
        </w:rPr>
        <w:t>të</w:t>
      </w:r>
      <w:proofErr w:type="spellEnd"/>
      <w:r w:rsidRPr="00DD58C7">
        <w:rPr>
          <w:rFonts w:ascii="Garamond" w:eastAsiaTheme="minorHAnsi" w:hAnsi="Garamond"/>
          <w:b/>
          <w:bCs/>
          <w:color w:val="000000"/>
          <w:sz w:val="24"/>
          <w:szCs w:val="24"/>
          <w14:ligatures w14:val="standardContextual"/>
        </w:rPr>
        <w:t xml:space="preserve"> miturit</w:t>
      </w:r>
    </w:p>
    <w:p w14:paraId="12034D8F" w14:textId="77777777" w:rsidR="0007274E" w:rsidRPr="00DD58C7" w:rsidRDefault="0007274E" w:rsidP="0007274E">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366C938F" w14:textId="00774591"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1. E drejta e të miturit për jetë private respektohet plotësisht në çdo fazë të drejtësisë penale për të mitur duke bërë kujdes</w:t>
      </w:r>
      <w:r w:rsidR="00E65D29">
        <w:rPr>
          <w:rFonts w:ascii="Garamond" w:eastAsiaTheme="minorHAnsi" w:hAnsi="Garamond"/>
          <w:color w:val="000000"/>
          <w:sz w:val="24"/>
          <w:szCs w:val="24"/>
          <w14:ligatures w14:val="standardContextual"/>
        </w:rPr>
        <w:t xml:space="preserve"> që të shmanget dëmtimi i tij.</w:t>
      </w:r>
    </w:p>
    <w:p w14:paraId="735D7184" w14:textId="3EE79D21"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2. Nuk publikohet asnjë informacion që mund të çojë në identifikimin e të miturit në konflikt me ligjin, të </w:t>
      </w:r>
      <w:proofErr w:type="spellStart"/>
      <w:r w:rsidRPr="00DD58C7">
        <w:rPr>
          <w:rFonts w:ascii="Garamond" w:eastAsiaTheme="minorHAnsi" w:hAnsi="Garamond"/>
          <w:color w:val="000000"/>
          <w:sz w:val="24"/>
          <w:szCs w:val="24"/>
          <w14:ligatures w14:val="standardContextual"/>
        </w:rPr>
        <w:t>të</w:t>
      </w:r>
      <w:proofErr w:type="spellEnd"/>
      <w:r w:rsidRPr="00DD58C7">
        <w:rPr>
          <w:rFonts w:ascii="Garamond" w:eastAsiaTheme="minorHAnsi" w:hAnsi="Garamond"/>
          <w:color w:val="000000"/>
          <w:sz w:val="24"/>
          <w:szCs w:val="24"/>
          <w14:ligatures w14:val="standardContextual"/>
        </w:rPr>
        <w:t xml:space="preserve"> miturit viktimë ose dëshmitar i një vepre penale.</w:t>
      </w:r>
    </w:p>
    <w:p w14:paraId="14075372" w14:textId="77777777"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3. Të dhënat mbi dënimet e mëparshme të </w:t>
      </w:r>
      <w:proofErr w:type="spellStart"/>
      <w:r w:rsidRPr="00DD58C7">
        <w:rPr>
          <w:rFonts w:ascii="Garamond" w:eastAsiaTheme="minorHAnsi" w:hAnsi="Garamond"/>
          <w:color w:val="000000"/>
          <w:sz w:val="24"/>
          <w:szCs w:val="24"/>
          <w14:ligatures w14:val="standardContextual"/>
        </w:rPr>
        <w:t>të</w:t>
      </w:r>
      <w:proofErr w:type="spellEnd"/>
      <w:r w:rsidRPr="00DD58C7">
        <w:rPr>
          <w:rFonts w:ascii="Garamond" w:eastAsiaTheme="minorHAnsi" w:hAnsi="Garamond"/>
          <w:color w:val="000000"/>
          <w:sz w:val="24"/>
          <w:szCs w:val="24"/>
          <w14:ligatures w14:val="standardContextual"/>
        </w:rPr>
        <w:t xml:space="preserve"> miturit nuk bëhen publike. </w:t>
      </w:r>
    </w:p>
    <w:p w14:paraId="7C0805D6" w14:textId="5683D8DF"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4. Ndalohet identifikimi ose publikimi në çfarëdolloj forme i të dhënave personale të </w:t>
      </w:r>
      <w:proofErr w:type="spellStart"/>
      <w:r w:rsidRPr="00DD58C7">
        <w:rPr>
          <w:rFonts w:ascii="Garamond" w:eastAsiaTheme="minorHAnsi" w:hAnsi="Garamond"/>
          <w:color w:val="000000"/>
          <w:sz w:val="24"/>
          <w:szCs w:val="24"/>
          <w14:ligatures w14:val="standardContextual"/>
        </w:rPr>
        <w:t>të</w:t>
      </w:r>
      <w:proofErr w:type="spellEnd"/>
      <w:r w:rsidRPr="00DD58C7">
        <w:rPr>
          <w:rFonts w:ascii="Garamond" w:eastAsiaTheme="minorHAnsi" w:hAnsi="Garamond"/>
          <w:color w:val="000000"/>
          <w:sz w:val="24"/>
          <w:szCs w:val="24"/>
          <w14:ligatures w14:val="standardContextual"/>
        </w:rPr>
        <w:t xml:space="preserve"> miturit, me përjashtim të rasteve të parashikuara në legjislacionin për mbrojtjen e të dhënave personale.</w:t>
      </w:r>
    </w:p>
    <w:p w14:paraId="64CCF2F1" w14:textId="76AA14E1"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lastRenderedPageBreak/>
        <w:t>5. Me përjashtim të rasteve të parashikuara nga legjislacioni për mbrojtjen e të dhënave personale,</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të dhënat personale për një vepër penale të kryer nën moshën 18 vjeç mund të identifikohen ose të publikohen vetëm me pëlqimin e tij.</w:t>
      </w:r>
    </w:p>
    <w:p w14:paraId="0F5CD850" w14:textId="39FABD35"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6. Përpunimi i të dhënave të </w:t>
      </w:r>
      <w:proofErr w:type="spellStart"/>
      <w:r w:rsidRPr="00DD58C7">
        <w:rPr>
          <w:rFonts w:ascii="Garamond" w:eastAsiaTheme="minorHAnsi" w:hAnsi="Garamond"/>
          <w:color w:val="000000"/>
          <w:sz w:val="24"/>
          <w:szCs w:val="24"/>
          <w14:ligatures w14:val="standardContextual"/>
        </w:rPr>
        <w:t>të</w:t>
      </w:r>
      <w:proofErr w:type="spellEnd"/>
      <w:r w:rsidRPr="00DD58C7">
        <w:rPr>
          <w:rFonts w:ascii="Garamond" w:eastAsiaTheme="minorHAnsi" w:hAnsi="Garamond"/>
          <w:color w:val="000000"/>
          <w:sz w:val="24"/>
          <w:szCs w:val="24"/>
          <w14:ligatures w14:val="standardContextual"/>
        </w:rPr>
        <w:t xml:space="preserve"> miturve realizohet në përputhje me legjislacionin për mbrojtjen e të dhënave personale.</w:t>
      </w:r>
    </w:p>
    <w:p w14:paraId="26628B94" w14:textId="7AB48EBC"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7. Shkelja e pikës 4, të këtij neni, përbën vepër penale, sipas parashikimeve të Kodit Penal.”</w:t>
      </w:r>
      <w:r w:rsidR="00E65D29">
        <w:rPr>
          <w:rFonts w:ascii="Garamond" w:eastAsiaTheme="minorHAnsi" w:hAnsi="Garamond"/>
          <w:color w:val="000000"/>
          <w:sz w:val="24"/>
          <w:szCs w:val="24"/>
          <w14:ligatures w14:val="standardContextual"/>
        </w:rPr>
        <w:t>.</w:t>
      </w:r>
    </w:p>
    <w:p w14:paraId="06B124AC" w14:textId="77777777" w:rsidR="0007274E" w:rsidRPr="00DD58C7" w:rsidRDefault="0007274E" w:rsidP="0007274E">
      <w:pPr>
        <w:autoSpaceDE w:val="0"/>
        <w:autoSpaceDN w:val="0"/>
        <w:adjustRightInd w:val="0"/>
        <w:spacing w:after="0" w:line="240" w:lineRule="auto"/>
        <w:ind w:firstLine="284"/>
        <w:rPr>
          <w:rFonts w:ascii="Garamond" w:eastAsiaTheme="minorHAnsi" w:hAnsi="Garamond"/>
          <w:color w:val="000000"/>
          <w:sz w:val="24"/>
          <w:szCs w:val="24"/>
          <w14:ligatures w14:val="standardContextual"/>
        </w:rPr>
      </w:pPr>
    </w:p>
    <w:p w14:paraId="29BB424B" w14:textId="0F32B2C9" w:rsidR="00E65D29" w:rsidRPr="00E65D29" w:rsidRDefault="00E65D29" w:rsidP="0007274E">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E65D29">
        <w:rPr>
          <w:rFonts w:ascii="Garamond" w:eastAsiaTheme="minorHAnsi" w:hAnsi="Garamond"/>
          <w:bCs/>
          <w:color w:val="000000"/>
          <w:sz w:val="24"/>
          <w:szCs w:val="24"/>
          <w14:ligatures w14:val="standardContextual"/>
        </w:rPr>
        <w:t>“Neni 55</w:t>
      </w:r>
    </w:p>
    <w:p w14:paraId="768425A4" w14:textId="27017B39" w:rsidR="0007274E" w:rsidRDefault="0007274E" w:rsidP="0007274E">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D58C7">
        <w:rPr>
          <w:rFonts w:ascii="Garamond" w:eastAsiaTheme="minorHAnsi" w:hAnsi="Garamond"/>
          <w:b/>
          <w:bCs/>
          <w:color w:val="000000"/>
          <w:sz w:val="24"/>
          <w:szCs w:val="24"/>
          <w14:ligatures w14:val="standardContextual"/>
        </w:rPr>
        <w:t>Kriteret dhe kushtet për zbatimin e masës së shmangies nga ndjekja penale</w:t>
      </w:r>
    </w:p>
    <w:p w14:paraId="7EE10801" w14:textId="77777777" w:rsidR="00E65D29" w:rsidRPr="00DD58C7" w:rsidRDefault="00E65D29" w:rsidP="0007274E">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2F256DE1" w14:textId="138CFE99"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1. Organi kompetent në çdo rast vlerëson marrjen e masës së shmangies ndaj të miturit në konflikt me ligjin.</w:t>
      </w:r>
    </w:p>
    <w:p w14:paraId="593F11AD" w14:textId="028F7EA5"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2. Organi</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kompetent,</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në marrjen</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e</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vendimit</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për</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zbatimin</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e masës</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së shmangies</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 xml:space="preserve">nga ndjekja penale vlerëson interesin më të lartë të </w:t>
      </w:r>
      <w:proofErr w:type="spellStart"/>
      <w:r w:rsidRPr="00DD58C7">
        <w:rPr>
          <w:rFonts w:ascii="Garamond" w:eastAsiaTheme="minorHAnsi" w:hAnsi="Garamond"/>
          <w:color w:val="000000"/>
          <w:sz w:val="24"/>
          <w:szCs w:val="24"/>
          <w14:ligatures w14:val="standardContextual"/>
        </w:rPr>
        <w:t>të</w:t>
      </w:r>
      <w:proofErr w:type="spellEnd"/>
      <w:r w:rsidRPr="00DD58C7">
        <w:rPr>
          <w:rFonts w:ascii="Garamond" w:eastAsiaTheme="minorHAnsi" w:hAnsi="Garamond"/>
          <w:color w:val="000000"/>
          <w:sz w:val="24"/>
          <w:szCs w:val="24"/>
          <w14:ligatures w14:val="standardContextual"/>
        </w:rPr>
        <w:t xml:space="preserve"> miturit,</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rëndësinë e veprës penale të kryer dhe dënimin e parashikuar për atë vepër, moshën e të miturit, shkallën e fajësisë, dëmin e shkaktuar, efektin frikësues të ndjekjes penale, sjelljen e të miturit pas kryerjes së veprës penale, si dhe raportin e vlerësimit individual, të hartuar sipas nenit 47 të këtij Kodi.</w:t>
      </w:r>
    </w:p>
    <w:p w14:paraId="509C2DB4" w14:textId="77777777"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3. Në mënyrë të veçantë masa e shmangies nga organi kompetent zbatohet nëse:</w:t>
      </w:r>
    </w:p>
    <w:p w14:paraId="31537B6C" w14:textId="031321C3"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a) ka prova të mjaftueshme për një dyshim të arsyeshëm se i mituri ka kryer një vepër penale, për të cilën parashikohet dënim me burgim deri në 5 vjet në maksimum ose me gjobë;</w:t>
      </w:r>
    </w:p>
    <w:p w14:paraId="6AB29D52" w14:textId="1B138EA3"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b) i mituri pranon dhe shpjegon veprën penale në prani të mbrojtësit;</w:t>
      </w:r>
    </w:p>
    <w:p w14:paraId="2E680F96" w14:textId="77777777" w:rsidR="00B374C8" w:rsidRDefault="0007274E" w:rsidP="00B374C8">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c) i mituri nuk është kallëzuar për kryerjen e një vepre p</w:t>
      </w:r>
      <w:r w:rsidR="00B374C8">
        <w:rPr>
          <w:rFonts w:ascii="Garamond" w:eastAsiaTheme="minorHAnsi" w:hAnsi="Garamond"/>
          <w:color w:val="000000"/>
          <w:sz w:val="24"/>
          <w:szCs w:val="24"/>
          <w14:ligatures w14:val="standardContextual"/>
        </w:rPr>
        <w:t>enale ose nuk është përsëritës;</w:t>
      </w:r>
    </w:p>
    <w:p w14:paraId="1BE8FE0D" w14:textId="656D5523" w:rsidR="0007274E" w:rsidRPr="00DD58C7" w:rsidRDefault="0007274E" w:rsidP="00B374C8">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w:t>
      </w:r>
      <w:r w:rsidR="00E65D29">
        <w:rPr>
          <w:rFonts w:ascii="Garamond" w:eastAsiaTheme="minorHAnsi" w:hAnsi="Garamond"/>
          <w:color w:val="000000"/>
          <w:sz w:val="24"/>
          <w:szCs w:val="24"/>
          <w14:ligatures w14:val="standardContextual"/>
        </w:rPr>
        <w:t>.</w:t>
      </w:r>
    </w:p>
    <w:p w14:paraId="0D23DF52" w14:textId="12C2F18F"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roofErr w:type="spellStart"/>
      <w:r w:rsidRPr="00DD58C7">
        <w:rPr>
          <w:rFonts w:ascii="Garamond" w:eastAsiaTheme="minorHAnsi" w:hAnsi="Garamond"/>
          <w:color w:val="000000"/>
          <w:sz w:val="24"/>
          <w:szCs w:val="24"/>
          <w14:ligatures w14:val="standardContextual"/>
        </w:rPr>
        <w:t>II</w:t>
      </w:r>
      <w:proofErr w:type="spellEnd"/>
      <w:r w:rsidRPr="00DD58C7">
        <w:rPr>
          <w:rFonts w:ascii="Garamond" w:eastAsiaTheme="minorHAnsi" w:hAnsi="Garamond"/>
          <w:color w:val="000000"/>
          <w:sz w:val="24"/>
          <w:szCs w:val="24"/>
          <w14:ligatures w14:val="standardContextual"/>
        </w:rPr>
        <w:t>. MATERIALI NDËRKOMBËTAR</w:t>
      </w:r>
    </w:p>
    <w:p w14:paraId="58466E33" w14:textId="7D14E0E3" w:rsidR="0007274E" w:rsidRPr="00DD58C7" w:rsidRDefault="0007274E" w:rsidP="0007274E">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DD58C7">
        <w:rPr>
          <w:rFonts w:ascii="Garamond" w:eastAsiaTheme="minorHAnsi" w:hAnsi="Garamond"/>
          <w:b/>
          <w:bCs/>
          <w:color w:val="000000"/>
          <w:sz w:val="24"/>
          <w:szCs w:val="24"/>
          <w14:ligatures w14:val="standardContextual"/>
        </w:rPr>
        <w:t>A. Këshilli i Evropës</w:t>
      </w:r>
    </w:p>
    <w:p w14:paraId="01D40DC8" w14:textId="7E3CE252" w:rsidR="0007274E" w:rsidRPr="00DD58C7" w:rsidRDefault="0007274E" w:rsidP="00E65D2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20. Rekomandimi </w:t>
      </w:r>
      <w:r w:rsidR="00E65D29" w:rsidRPr="00DD58C7">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 xml:space="preserve">r. R (84) 10 i Komitetit të Ministrave të Këshillit të Evropës mbi të dhënat penale dhe rehabilitimin e personave të dënuar (i miratuar më 21 </w:t>
      </w:r>
      <w:r w:rsidR="00E65D29" w:rsidRPr="00DD58C7">
        <w:rPr>
          <w:rFonts w:ascii="Garamond" w:eastAsiaTheme="minorHAnsi" w:hAnsi="Garamond"/>
          <w:color w:val="000000"/>
          <w:sz w:val="24"/>
          <w:szCs w:val="24"/>
          <w14:ligatures w14:val="standardContextual"/>
        </w:rPr>
        <w:t>q</w:t>
      </w:r>
      <w:r w:rsidRPr="00DD58C7">
        <w:rPr>
          <w:rFonts w:ascii="Garamond" w:eastAsiaTheme="minorHAnsi" w:hAnsi="Garamond"/>
          <w:color w:val="000000"/>
          <w:sz w:val="24"/>
          <w:szCs w:val="24"/>
          <w14:ligatures w14:val="standardContextual"/>
        </w:rPr>
        <w:t xml:space="preserve">ershor 1984) vëren në preambulën e tij se çdo përdorim i të dhënave penale jashtë kontekstit të një gjykimi penal mund të rrezikojë shanset e një personi të dënuar për </w:t>
      </w:r>
      <w:proofErr w:type="spellStart"/>
      <w:r w:rsidRPr="00DD58C7">
        <w:rPr>
          <w:rFonts w:ascii="Garamond" w:eastAsiaTheme="minorHAnsi" w:hAnsi="Garamond"/>
          <w:color w:val="000000"/>
          <w:sz w:val="24"/>
          <w:szCs w:val="24"/>
          <w14:ligatures w14:val="standardContextual"/>
        </w:rPr>
        <w:t>riintegrim</w:t>
      </w:r>
      <w:proofErr w:type="spellEnd"/>
      <w:r w:rsidRPr="00DD58C7">
        <w:rPr>
          <w:rFonts w:ascii="Garamond" w:eastAsiaTheme="minorHAnsi" w:hAnsi="Garamond"/>
          <w:color w:val="000000"/>
          <w:sz w:val="24"/>
          <w:szCs w:val="24"/>
          <w14:ligatures w14:val="standardContextual"/>
        </w:rPr>
        <w:t xml:space="preserve"> shoqëror dhe për këtë arsye duhet të kufizohet “në maksimum”. Rekomandimi i ftoi shtetet anëtare të rishikojnë legjislacionin e tyre</w:t>
      </w:r>
      <w:r w:rsidR="00E65D29">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me qëllim futjen e një numri masash </w:t>
      </w:r>
      <w:r w:rsidR="00E65D29">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duke përfshirë dispozita që kufizojnë komunikimin e informacionit të përmbajtur në regjistrat penalë dhe dispozita që rregullojnë rehabilitimin e shkelësve </w:t>
      </w:r>
      <w:r w:rsidR="00E65D29">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që do të ndalonin çdo referencë ndaj dënimeve të një personi të rehabilituar përveç në baza bindëse të parashikuara nga ligji kombëtar.</w:t>
      </w:r>
    </w:p>
    <w:p w14:paraId="3F214FC7" w14:textId="625E7EEA"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21. Rekomandimi </w:t>
      </w:r>
      <w:r w:rsidR="00E65D29" w:rsidRPr="00DD58C7">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 xml:space="preserve">r. R (87) 20 i Komitetit të Ministrave të Këshillit të Evropës mbi reagimet sociale ndaj shkeljeve të </w:t>
      </w:r>
      <w:proofErr w:type="spellStart"/>
      <w:r w:rsidRPr="00DD58C7">
        <w:rPr>
          <w:rFonts w:ascii="Garamond" w:eastAsiaTheme="minorHAnsi" w:hAnsi="Garamond"/>
          <w:color w:val="000000"/>
          <w:sz w:val="24"/>
          <w:szCs w:val="24"/>
          <w14:ligatures w14:val="standardContextual"/>
        </w:rPr>
        <w:t>të</w:t>
      </w:r>
      <w:proofErr w:type="spellEnd"/>
      <w:r w:rsidRPr="00DD58C7">
        <w:rPr>
          <w:rFonts w:ascii="Garamond" w:eastAsiaTheme="minorHAnsi" w:hAnsi="Garamond"/>
          <w:color w:val="000000"/>
          <w:sz w:val="24"/>
          <w:szCs w:val="24"/>
          <w14:ligatures w14:val="standardContextual"/>
        </w:rPr>
        <w:t xml:space="preserve"> miturve (i miratuar më 17 shtator 1987) shpreh, ndër të tjera, si më poshtë:</w:t>
      </w:r>
    </w:p>
    <w:p w14:paraId="7359F3D8" w14:textId="1A9965AF"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“Komiteti i Ministrave, sipas kushteve të </w:t>
      </w:r>
      <w:r w:rsidR="00E65D29" w:rsidRPr="00DD58C7">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enit 15.b të Statutit të Këshillit të Evropës,</w:t>
      </w:r>
    </w:p>
    <w:p w14:paraId="7D99A96F" w14:textId="2D64E434"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Duke marrë parasysh se të rinjtë janë qenie në zhvillim dhe si pasojë të gjitha masat e marra në lidhje me ta duhet të kenë karakter edukativ;</w:t>
      </w:r>
    </w:p>
    <w:p w14:paraId="0B05F2C6" w14:textId="543E9703"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Duke marrë parasysh se reagimet sociale ndaj delikuencës së të miturve duhet të marrin parasysh personalitetin dhe nevojat specifike të </w:t>
      </w:r>
      <w:proofErr w:type="spellStart"/>
      <w:r w:rsidRPr="00DD58C7">
        <w:rPr>
          <w:rFonts w:ascii="Garamond" w:eastAsiaTheme="minorHAnsi" w:hAnsi="Garamond"/>
          <w:color w:val="000000"/>
          <w:sz w:val="24"/>
          <w:szCs w:val="24"/>
          <w14:ligatures w14:val="standardContextual"/>
        </w:rPr>
        <w:t>të</w:t>
      </w:r>
      <w:proofErr w:type="spellEnd"/>
      <w:r w:rsidRPr="00DD58C7">
        <w:rPr>
          <w:rFonts w:ascii="Garamond" w:eastAsiaTheme="minorHAnsi" w:hAnsi="Garamond"/>
          <w:color w:val="000000"/>
          <w:sz w:val="24"/>
          <w:szCs w:val="24"/>
          <w14:ligatures w14:val="standardContextual"/>
        </w:rPr>
        <w:t xml:space="preserve"> miturve, dhe se këta të fundit kanë nevojë për ndërhyrje të specializuara dhe, kur është e përshtatshme, trajtim të specializuar, bazuar në veçanti në parimet në Deklaratën e Kombeve të Bashkuara për të Drejtat e Fëmijëve;</w:t>
      </w:r>
    </w:p>
    <w:p w14:paraId="166BE501" w14:textId="4F0A1A60"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I bindur se sistemi penal për të miturit duhet të vazhdojë të karakterizohet nga objektivi i tij i arsimit dhe integrimit social ...</w:t>
      </w:r>
    </w:p>
    <w:p w14:paraId="77622E6B" w14:textId="12ED7186"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w:t>
      </w:r>
    </w:p>
    <w:p w14:paraId="0C9BAFDE" w14:textId="1D5B9578"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Duke pasur parasysh Rregullat Minimale Standarde të Kombeve të Bashkuara për Administrimin e Drejtësisë për të Mitur (</w:t>
      </w:r>
      <w:r w:rsidR="00E65D29">
        <w:rPr>
          <w:rFonts w:ascii="Garamond" w:eastAsiaTheme="minorHAnsi" w:hAnsi="Garamond"/>
          <w:color w:val="000000"/>
          <w:sz w:val="24"/>
          <w:szCs w:val="24"/>
          <w14:ligatures w14:val="standardContextual"/>
        </w:rPr>
        <w:t>Rregullat e Pekinit</w:t>
      </w:r>
      <w:r w:rsidRPr="00DD58C7">
        <w:rPr>
          <w:rFonts w:ascii="Garamond" w:eastAsiaTheme="minorHAnsi" w:hAnsi="Garamond"/>
          <w:color w:val="000000"/>
          <w:sz w:val="24"/>
          <w:szCs w:val="24"/>
          <w14:ligatures w14:val="standardContextual"/>
        </w:rPr>
        <w:t>),</w:t>
      </w:r>
    </w:p>
    <w:p w14:paraId="05A435D0" w14:textId="5655F015"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U rekomandon qeverive të shteteve anëtare të rishikojnë, nëse është e nevojshme, legjislacionin e tyre dhe praktikë me qëllim:</w:t>
      </w:r>
    </w:p>
    <w:p w14:paraId="32B0BF97" w14:textId="0A68FF09"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w:t>
      </w:r>
    </w:p>
    <w:p w14:paraId="41B2C1BF" w14:textId="77777777"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lastRenderedPageBreak/>
        <w:t xml:space="preserve">1. ndërmarrjen ose vazhdimin e përpjekjeve të veçanta për parandalimin e </w:t>
      </w:r>
      <w:proofErr w:type="spellStart"/>
      <w:r w:rsidRPr="00DD58C7">
        <w:rPr>
          <w:rFonts w:ascii="Garamond" w:eastAsiaTheme="minorHAnsi" w:hAnsi="Garamond"/>
          <w:color w:val="000000"/>
          <w:sz w:val="24"/>
          <w:szCs w:val="24"/>
          <w14:ligatures w14:val="standardContextual"/>
        </w:rPr>
        <w:t>keqpërshtatjes</w:t>
      </w:r>
      <w:proofErr w:type="spellEnd"/>
      <w:r w:rsidRPr="00DD58C7">
        <w:rPr>
          <w:rFonts w:ascii="Garamond" w:eastAsiaTheme="minorHAnsi" w:hAnsi="Garamond"/>
          <w:color w:val="000000"/>
          <w:sz w:val="24"/>
          <w:szCs w:val="24"/>
          <w14:ligatures w14:val="standardContextual"/>
        </w:rPr>
        <w:t xml:space="preserve"> dhe delinkuencës së të miturve, në veçanti:</w:t>
      </w:r>
    </w:p>
    <w:p w14:paraId="7230E6FC" w14:textId="5BCCA988"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a</w:t>
      </w:r>
      <w:r w:rsidR="00E65D29">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duke zbatuar një politikë gjithëpërfshirëse që promovon integrimin shoqëror të </w:t>
      </w:r>
      <w:proofErr w:type="spellStart"/>
      <w:r w:rsidRPr="00DD58C7">
        <w:rPr>
          <w:rFonts w:ascii="Garamond" w:eastAsiaTheme="minorHAnsi" w:hAnsi="Garamond"/>
          <w:color w:val="000000"/>
          <w:sz w:val="24"/>
          <w:szCs w:val="24"/>
          <w14:ligatures w14:val="standardContextual"/>
        </w:rPr>
        <w:t>të</w:t>
      </w:r>
      <w:proofErr w:type="spellEnd"/>
      <w:r w:rsidRPr="00DD58C7">
        <w:rPr>
          <w:rFonts w:ascii="Garamond" w:eastAsiaTheme="minorHAnsi" w:hAnsi="Garamond"/>
          <w:color w:val="000000"/>
          <w:sz w:val="24"/>
          <w:szCs w:val="24"/>
          <w14:ligatures w14:val="standardContextual"/>
        </w:rPr>
        <w:t xml:space="preserve"> rinjve;</w:t>
      </w:r>
    </w:p>
    <w:p w14:paraId="1EE40F01" w14:textId="5590B4ED"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w:t>
      </w:r>
      <w:r w:rsidR="00E65D29">
        <w:rPr>
          <w:rFonts w:ascii="Garamond" w:eastAsiaTheme="minorHAnsi" w:hAnsi="Garamond"/>
          <w:color w:val="000000"/>
          <w:sz w:val="24"/>
          <w:szCs w:val="24"/>
          <w14:ligatures w14:val="standardContextual"/>
        </w:rPr>
        <w:t>.</w:t>
      </w:r>
    </w:p>
    <w:p w14:paraId="23B3CB50" w14:textId="30400908"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22. Udhëzimet Evropiane mbi Etikën dhe Sjel</w:t>
      </w:r>
      <w:r w:rsidR="00E65D29">
        <w:rPr>
          <w:rFonts w:ascii="Garamond" w:eastAsiaTheme="minorHAnsi" w:hAnsi="Garamond"/>
          <w:color w:val="000000"/>
          <w:sz w:val="24"/>
          <w:szCs w:val="24"/>
          <w14:ligatures w14:val="standardContextual"/>
        </w:rPr>
        <w:t>ljen për Prokurorët Publikë (Udhëzimet e Budapestit</w:t>
      </w:r>
      <w:r w:rsidRPr="00DD58C7">
        <w:rPr>
          <w:rFonts w:ascii="Garamond" w:eastAsiaTheme="minorHAnsi" w:hAnsi="Garamond"/>
          <w:color w:val="000000"/>
          <w:sz w:val="24"/>
          <w:szCs w:val="24"/>
          <w14:ligatures w14:val="standardContextual"/>
        </w:rPr>
        <w:t xml:space="preserve">), të miratuara nga Konferenca e Këshillit të Evropës e Prokurorëve të Përgjithshëm të Evropës më 31 </w:t>
      </w:r>
      <w:r w:rsidR="00E65D29" w:rsidRPr="00DD58C7">
        <w:rPr>
          <w:rFonts w:ascii="Garamond" w:eastAsiaTheme="minorHAnsi" w:hAnsi="Garamond"/>
          <w:color w:val="000000"/>
          <w:sz w:val="24"/>
          <w:szCs w:val="24"/>
          <w14:ligatures w14:val="standardContextual"/>
        </w:rPr>
        <w:t>m</w:t>
      </w:r>
      <w:r w:rsidRPr="00DD58C7">
        <w:rPr>
          <w:rFonts w:ascii="Garamond" w:eastAsiaTheme="minorHAnsi" w:hAnsi="Garamond"/>
          <w:color w:val="000000"/>
          <w:sz w:val="24"/>
          <w:szCs w:val="24"/>
          <w14:ligatures w14:val="standardContextual"/>
        </w:rPr>
        <w:t>aj 2005, parashikojnë, ndër të tjera, si më poshtë:</w:t>
      </w:r>
    </w:p>
    <w:p w14:paraId="438B7DED" w14:textId="77777777"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596AB9F9" w14:textId="04BBCC4C" w:rsidR="0007274E" w:rsidRPr="00DD58C7" w:rsidRDefault="00E65D29" w:rsidP="0007274E">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Pr>
          <w:rFonts w:ascii="Garamond" w:eastAsiaTheme="minorHAnsi" w:hAnsi="Garamond"/>
          <w:b/>
          <w:bCs/>
          <w:color w:val="000000"/>
          <w:sz w:val="24"/>
          <w:szCs w:val="24"/>
          <w14:ligatures w14:val="standardContextual"/>
        </w:rPr>
        <w:t>“</w:t>
      </w:r>
      <w:proofErr w:type="spellStart"/>
      <w:r w:rsidR="0007274E" w:rsidRPr="00DD58C7">
        <w:rPr>
          <w:rFonts w:ascii="Garamond" w:eastAsiaTheme="minorHAnsi" w:hAnsi="Garamond"/>
          <w:b/>
          <w:bCs/>
          <w:color w:val="000000"/>
          <w:sz w:val="24"/>
          <w:szCs w:val="24"/>
          <w14:ligatures w14:val="standardContextual"/>
        </w:rPr>
        <w:t>IV</w:t>
      </w:r>
      <w:proofErr w:type="spellEnd"/>
      <w:r w:rsidR="0007274E" w:rsidRPr="00DD58C7">
        <w:rPr>
          <w:rFonts w:ascii="Garamond" w:eastAsiaTheme="minorHAnsi" w:hAnsi="Garamond"/>
          <w:b/>
          <w:bCs/>
          <w:color w:val="000000"/>
          <w:sz w:val="24"/>
          <w:szCs w:val="24"/>
          <w14:ligatures w14:val="standardContextual"/>
        </w:rPr>
        <w:t>. Sjellja private</w:t>
      </w:r>
    </w:p>
    <w:p w14:paraId="6E6D6D3B" w14:textId="77777777"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7DEC6B35" w14:textId="06BD2895"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a</w:t>
      </w:r>
      <w:r w:rsidR="00E65D29">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Prokurorët publikë nuk duhet të </w:t>
      </w:r>
      <w:proofErr w:type="spellStart"/>
      <w:r w:rsidRPr="00DD58C7">
        <w:rPr>
          <w:rFonts w:ascii="Garamond" w:eastAsiaTheme="minorHAnsi" w:hAnsi="Garamond"/>
          <w:color w:val="000000"/>
          <w:sz w:val="24"/>
          <w:szCs w:val="24"/>
          <w14:ligatures w14:val="standardContextual"/>
        </w:rPr>
        <w:t>kompromentojnë</w:t>
      </w:r>
      <w:proofErr w:type="spellEnd"/>
      <w:r w:rsidRPr="00DD58C7">
        <w:rPr>
          <w:rFonts w:ascii="Garamond" w:eastAsiaTheme="minorHAnsi" w:hAnsi="Garamond"/>
          <w:color w:val="000000"/>
          <w:sz w:val="24"/>
          <w:szCs w:val="24"/>
          <w14:ligatures w14:val="standardContextual"/>
        </w:rPr>
        <w:t xml:space="preserve"> integritetin, drejtësinë dhe paanshmërinë aktuale ose të perceptuar në mënyrë të arsyeshme të shërbimit të prokurorisë publike me anë të aktiv</w:t>
      </w:r>
      <w:r w:rsidR="00E65D29">
        <w:rPr>
          <w:rFonts w:ascii="Garamond" w:eastAsiaTheme="minorHAnsi" w:hAnsi="Garamond"/>
          <w:color w:val="000000"/>
          <w:sz w:val="24"/>
          <w:szCs w:val="24"/>
          <w14:ligatures w14:val="standardContextual"/>
        </w:rPr>
        <w:t>iteteve në jetën e tyre private;</w:t>
      </w:r>
    </w:p>
    <w:p w14:paraId="74CBCA17" w14:textId="2CB9C4A9"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b</w:t>
      </w:r>
      <w:r w:rsidR="00E65D29">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Prokurorët publikë duhet të respektojnë dhe t’i binden</w:t>
      </w:r>
      <w:r w:rsidR="00E65D29">
        <w:rPr>
          <w:rFonts w:ascii="Garamond" w:eastAsiaTheme="minorHAnsi" w:hAnsi="Garamond"/>
          <w:color w:val="000000"/>
          <w:sz w:val="24"/>
          <w:szCs w:val="24"/>
          <w14:ligatures w14:val="standardContextual"/>
        </w:rPr>
        <w:t xml:space="preserve"> ligjit në çdo kohë;</w:t>
      </w:r>
    </w:p>
    <w:p w14:paraId="43144D5C" w14:textId="287EC40E"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c</w:t>
      </w:r>
      <w:r w:rsidR="00E65D29">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Prokurorët publikë duhet të sillen në një mënyrë të tillë që të çojnë përpara dhe të ruajnë besimin e publikut në profesionin e tyre.</w:t>
      </w:r>
    </w:p>
    <w:p w14:paraId="7CE8A7CC" w14:textId="6DBA61D5"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w:t>
      </w:r>
      <w:r w:rsidR="00E65D29">
        <w:rPr>
          <w:rFonts w:ascii="Garamond" w:eastAsiaTheme="minorHAnsi" w:hAnsi="Garamond"/>
          <w:color w:val="000000"/>
          <w:sz w:val="24"/>
          <w:szCs w:val="24"/>
          <w14:ligatures w14:val="standardContextual"/>
        </w:rPr>
        <w:t>.</w:t>
      </w:r>
    </w:p>
    <w:p w14:paraId="5F2D67A4" w14:textId="40EB8042"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23. Pjesa përkatëse e Opinionit </w:t>
      </w:r>
      <w:r w:rsidR="00E65D29" w:rsidRPr="00DD58C7">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r. 13 (2018) mbi pavarësinë, llogaridhënien dhe etikën e prokurorëve, të lëshuar nga Këshilli Konsultativ i Prokurorëve Evropianë (</w:t>
      </w:r>
      <w:proofErr w:type="spellStart"/>
      <w:r w:rsidRPr="00DD58C7">
        <w:rPr>
          <w:rFonts w:ascii="Garamond" w:eastAsiaTheme="minorHAnsi" w:hAnsi="Garamond"/>
          <w:color w:val="000000"/>
          <w:sz w:val="24"/>
          <w:szCs w:val="24"/>
          <w14:ligatures w14:val="standardContextual"/>
        </w:rPr>
        <w:t>CCPE</w:t>
      </w:r>
      <w:proofErr w:type="spellEnd"/>
      <w:r w:rsidRPr="00DD58C7">
        <w:rPr>
          <w:rFonts w:ascii="Garamond" w:eastAsiaTheme="minorHAnsi" w:hAnsi="Garamond"/>
          <w:color w:val="000000"/>
          <w:sz w:val="24"/>
          <w:szCs w:val="24"/>
          <w14:ligatures w14:val="standardContextual"/>
        </w:rPr>
        <w:t>) i Këshillit të Evropës, parashikon si më poshtë:</w:t>
      </w:r>
    </w:p>
    <w:p w14:paraId="1C79B006" w14:textId="6EE2C135"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“51. Respektimi i sundimit të ligjit kërkon standardet më të larta etike dhe profesionale në sjelljen e prokurorëve, si për gjyqtarët, si në detyrë ashtu edhe jashtë saj, gjë që lejon besim në drejtësi nga shoqëria. Prokurorët veprojnë në emër të popullit dhe për interesin publik. Prandaj, ata duhet të ruajnë</w:t>
      </w:r>
      <w:r w:rsidR="00E65D29">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gjithmonë</w:t>
      </w:r>
      <w:r w:rsidR="00E65D29">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integritetin personal dhe të veprojnë në përputhje me ligjin, në mënyrë të drejtë, të paanshme dhe objektive, duke respektuar dhe mbështetur të drejtat dhe liritë themelore ...”</w:t>
      </w:r>
      <w:r w:rsidR="00E65D29">
        <w:rPr>
          <w:rFonts w:ascii="Garamond" w:eastAsiaTheme="minorHAnsi" w:hAnsi="Garamond"/>
          <w:color w:val="000000"/>
          <w:sz w:val="24"/>
          <w:szCs w:val="24"/>
          <w14:ligatures w14:val="standardContextual"/>
        </w:rPr>
        <w:t>.</w:t>
      </w:r>
    </w:p>
    <w:p w14:paraId="0E3D04AB" w14:textId="34910621" w:rsidR="0007274E" w:rsidRPr="00DD58C7" w:rsidRDefault="0007274E" w:rsidP="0007274E">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DD58C7">
        <w:rPr>
          <w:rFonts w:ascii="Garamond" w:eastAsiaTheme="minorHAnsi" w:hAnsi="Garamond"/>
          <w:b/>
          <w:bCs/>
          <w:color w:val="000000"/>
          <w:sz w:val="24"/>
          <w:szCs w:val="24"/>
          <w14:ligatures w14:val="standardContextual"/>
        </w:rPr>
        <w:t>B. Kombet e Bashkuara</w:t>
      </w:r>
    </w:p>
    <w:p w14:paraId="5EC431F4" w14:textId="2E289634"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24. Konventa e Kombeve të Bashkuara për të Drejtat e Fëmijës</w:t>
      </w:r>
      <w:r w:rsidR="003B05B3">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e datës 20 </w:t>
      </w:r>
      <w:r w:rsidR="003B05B3">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 xml:space="preserve">ëntor 1989, ku Shqipëria është një </w:t>
      </w:r>
      <w:r w:rsidR="003B05B3" w:rsidRPr="00DD58C7">
        <w:rPr>
          <w:rFonts w:ascii="Garamond" w:eastAsiaTheme="minorHAnsi" w:hAnsi="Garamond"/>
          <w:color w:val="000000"/>
          <w:sz w:val="24"/>
          <w:szCs w:val="24"/>
          <w14:ligatures w14:val="standardContextual"/>
        </w:rPr>
        <w:t>shtet p</w:t>
      </w:r>
      <w:r w:rsidRPr="00DD58C7">
        <w:rPr>
          <w:rFonts w:ascii="Garamond" w:eastAsiaTheme="minorHAnsi" w:hAnsi="Garamond"/>
          <w:color w:val="000000"/>
          <w:sz w:val="24"/>
          <w:szCs w:val="24"/>
          <w14:ligatures w14:val="standardContextual"/>
        </w:rPr>
        <w:t xml:space="preserve">alë, parashikon si më poshtë: </w:t>
      </w:r>
    </w:p>
    <w:p w14:paraId="24D5D127" w14:textId="77777777" w:rsidR="0007274E" w:rsidRPr="00DD58C7" w:rsidRDefault="0007274E" w:rsidP="0007274E">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7FECCC7E" w14:textId="6B71C1B5" w:rsidR="0007274E" w:rsidRPr="00DD58C7" w:rsidRDefault="0007274E" w:rsidP="0007274E">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D58C7">
        <w:rPr>
          <w:rFonts w:ascii="Garamond" w:eastAsiaTheme="minorHAnsi" w:hAnsi="Garamond"/>
          <w:b/>
          <w:bCs/>
          <w:color w:val="000000"/>
          <w:sz w:val="24"/>
          <w:szCs w:val="24"/>
          <w14:ligatures w14:val="standardContextual"/>
        </w:rPr>
        <w:t>Neni 1</w:t>
      </w:r>
    </w:p>
    <w:p w14:paraId="3A6E09F7" w14:textId="77777777" w:rsidR="0007274E" w:rsidRPr="00DD58C7" w:rsidRDefault="0007274E" w:rsidP="0007274E">
      <w:pPr>
        <w:autoSpaceDE w:val="0"/>
        <w:autoSpaceDN w:val="0"/>
        <w:adjustRightInd w:val="0"/>
        <w:spacing w:after="0" w:line="240" w:lineRule="auto"/>
        <w:ind w:firstLine="284"/>
        <w:rPr>
          <w:rFonts w:ascii="Garamond" w:eastAsiaTheme="minorHAnsi" w:hAnsi="Garamond"/>
          <w:b/>
          <w:bCs/>
          <w:color w:val="000000"/>
          <w:sz w:val="24"/>
          <w:szCs w:val="24"/>
          <w14:ligatures w14:val="standardContextual"/>
        </w:rPr>
      </w:pPr>
    </w:p>
    <w:p w14:paraId="2A811CE0" w14:textId="09AAB280" w:rsidR="0007274E" w:rsidRPr="00DD58C7" w:rsidRDefault="003B05B3"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Pr>
          <w:rFonts w:ascii="Garamond" w:eastAsiaTheme="minorHAnsi" w:hAnsi="Garamond"/>
          <w:color w:val="000000"/>
          <w:sz w:val="24"/>
          <w:szCs w:val="24"/>
          <w14:ligatures w14:val="standardContextual"/>
        </w:rPr>
        <w:t>“</w:t>
      </w:r>
      <w:r w:rsidR="0007274E" w:rsidRPr="00DD58C7">
        <w:rPr>
          <w:rFonts w:ascii="Garamond" w:eastAsiaTheme="minorHAnsi" w:hAnsi="Garamond"/>
          <w:color w:val="000000"/>
          <w:sz w:val="24"/>
          <w:szCs w:val="24"/>
          <w14:ligatures w14:val="standardContextual"/>
        </w:rPr>
        <w:t>Në këtë Konventë, me fëmijë kuptohet çdo qenie njerëzore nën moshën 18 vjeç, me përjashtim të rasteve kur mosha madhore arrihet më përpara, në përputhje me legjislacionin të cilit ai i nënshtrohet.”</w:t>
      </w:r>
      <w:r>
        <w:rPr>
          <w:rFonts w:ascii="Garamond" w:eastAsiaTheme="minorHAnsi" w:hAnsi="Garamond"/>
          <w:color w:val="000000"/>
          <w:sz w:val="24"/>
          <w:szCs w:val="24"/>
          <w14:ligatures w14:val="standardContextual"/>
        </w:rPr>
        <w:t>.</w:t>
      </w:r>
    </w:p>
    <w:p w14:paraId="363D968A" w14:textId="77777777"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73C50BD0" w14:textId="1C5A7EF6" w:rsidR="0007274E" w:rsidRPr="00DD58C7" w:rsidRDefault="0007274E" w:rsidP="0007274E">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D58C7">
        <w:rPr>
          <w:rFonts w:ascii="Garamond" w:eastAsiaTheme="minorHAnsi" w:hAnsi="Garamond"/>
          <w:b/>
          <w:bCs/>
          <w:color w:val="000000"/>
          <w:sz w:val="24"/>
          <w:szCs w:val="24"/>
          <w14:ligatures w14:val="standardContextual"/>
        </w:rPr>
        <w:t>Neni 3 § 1</w:t>
      </w:r>
    </w:p>
    <w:p w14:paraId="6963290A" w14:textId="77777777" w:rsidR="0007274E" w:rsidRPr="00DD58C7" w:rsidRDefault="0007274E" w:rsidP="0007274E">
      <w:pPr>
        <w:autoSpaceDE w:val="0"/>
        <w:autoSpaceDN w:val="0"/>
        <w:adjustRightInd w:val="0"/>
        <w:spacing w:after="0" w:line="240" w:lineRule="auto"/>
        <w:ind w:firstLine="284"/>
        <w:rPr>
          <w:rFonts w:ascii="Garamond" w:eastAsiaTheme="minorHAnsi" w:hAnsi="Garamond"/>
          <w:b/>
          <w:bCs/>
          <w:color w:val="000000"/>
          <w:sz w:val="24"/>
          <w:szCs w:val="24"/>
          <w14:ligatures w14:val="standardContextual"/>
        </w:rPr>
      </w:pPr>
    </w:p>
    <w:p w14:paraId="1C2A55DA" w14:textId="56C552F2"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“Në të gjitha vendimet që kanë të bëjnë me fëmijën, të marra qoftë nga institucione publike ose private të përkrahjes shoqërore, nga gjykatat, autoritetet administrative apo organet legjislative, interesi më i lartë i fëmijës duhet të jetë konsiderata mbizotëruese.”</w:t>
      </w:r>
      <w:r w:rsidR="003B05B3">
        <w:rPr>
          <w:rFonts w:ascii="Garamond" w:eastAsiaTheme="minorHAnsi" w:hAnsi="Garamond"/>
          <w:color w:val="000000"/>
          <w:sz w:val="24"/>
          <w:szCs w:val="24"/>
          <w14:ligatures w14:val="standardContextual"/>
        </w:rPr>
        <w:t>.</w:t>
      </w:r>
    </w:p>
    <w:p w14:paraId="1F2C5148" w14:textId="77777777"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0236FCC5" w14:textId="77777777" w:rsidR="0007274E" w:rsidRPr="00DD58C7" w:rsidRDefault="0007274E" w:rsidP="0007274E">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D58C7">
        <w:rPr>
          <w:rFonts w:ascii="Garamond" w:eastAsiaTheme="minorHAnsi" w:hAnsi="Garamond"/>
          <w:b/>
          <w:bCs/>
          <w:color w:val="000000"/>
          <w:sz w:val="24"/>
          <w:szCs w:val="24"/>
          <w14:ligatures w14:val="standardContextual"/>
        </w:rPr>
        <w:t>Neni 40 § 1</w:t>
      </w:r>
    </w:p>
    <w:p w14:paraId="128BBB3B" w14:textId="77777777" w:rsidR="0007274E" w:rsidRPr="00DD58C7" w:rsidRDefault="0007274E" w:rsidP="0007274E">
      <w:pPr>
        <w:autoSpaceDE w:val="0"/>
        <w:autoSpaceDN w:val="0"/>
        <w:adjustRightInd w:val="0"/>
        <w:spacing w:after="0" w:line="240" w:lineRule="auto"/>
        <w:ind w:firstLine="284"/>
        <w:rPr>
          <w:rFonts w:ascii="Garamond" w:eastAsiaTheme="minorHAnsi" w:hAnsi="Garamond"/>
          <w:b/>
          <w:bCs/>
          <w:color w:val="000000"/>
          <w:sz w:val="24"/>
          <w:szCs w:val="24"/>
          <w14:ligatures w14:val="standardContextual"/>
        </w:rPr>
      </w:pPr>
    </w:p>
    <w:p w14:paraId="159A799D" w14:textId="0BB83DBA"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“Shtetet </w:t>
      </w:r>
      <w:r w:rsidR="003B05B3">
        <w:rPr>
          <w:rFonts w:ascii="Garamond" w:eastAsiaTheme="minorHAnsi" w:hAnsi="Garamond"/>
          <w:color w:val="000000"/>
          <w:sz w:val="24"/>
          <w:szCs w:val="24"/>
          <w14:ligatures w14:val="standardContextual"/>
        </w:rPr>
        <w:t>p</w:t>
      </w:r>
      <w:r w:rsidRPr="00DD58C7">
        <w:rPr>
          <w:rFonts w:ascii="Garamond" w:eastAsiaTheme="minorHAnsi" w:hAnsi="Garamond"/>
          <w:color w:val="000000"/>
          <w:sz w:val="24"/>
          <w:szCs w:val="24"/>
          <w14:ligatures w14:val="standardContextual"/>
        </w:rPr>
        <w:t xml:space="preserve">alë i njohin çdo fëmije të dyshuar, të akuzuar ose për të cilin është thënë se ka kryer shkelje të ligjit penal, të drejtën e një trajtimi të tillë, që zhvillon te fëmija ndjenjën e dinjitetit dhe të vlerës së personit, që përforcon tek ai ndjenjën e respektit të tij për të drejtat e njeriut dhe liritë themelore të </w:t>
      </w:r>
      <w:proofErr w:type="spellStart"/>
      <w:r w:rsidRPr="00DD58C7">
        <w:rPr>
          <w:rFonts w:ascii="Garamond" w:eastAsiaTheme="minorHAnsi" w:hAnsi="Garamond"/>
          <w:color w:val="000000"/>
          <w:sz w:val="24"/>
          <w:szCs w:val="24"/>
          <w14:ligatures w14:val="standardContextual"/>
        </w:rPr>
        <w:t>të</w:t>
      </w:r>
      <w:proofErr w:type="spellEnd"/>
      <w:r w:rsidRPr="00DD58C7">
        <w:rPr>
          <w:rFonts w:ascii="Garamond" w:eastAsiaTheme="minorHAnsi" w:hAnsi="Garamond"/>
          <w:color w:val="000000"/>
          <w:sz w:val="24"/>
          <w:szCs w:val="24"/>
          <w14:ligatures w14:val="standardContextual"/>
        </w:rPr>
        <w:t xml:space="preserve"> tjerëve dhe që merr parasysh moshën e fëmijës</w:t>
      </w:r>
      <w:r w:rsidR="003B05B3">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si dhe dëshirën për të ndihmuar në </w:t>
      </w:r>
      <w:proofErr w:type="spellStart"/>
      <w:r w:rsidRPr="00DD58C7">
        <w:rPr>
          <w:rFonts w:ascii="Garamond" w:eastAsiaTheme="minorHAnsi" w:hAnsi="Garamond"/>
          <w:color w:val="000000"/>
          <w:sz w:val="24"/>
          <w:szCs w:val="24"/>
          <w14:ligatures w14:val="standardContextual"/>
        </w:rPr>
        <w:t>riintegrimin</w:t>
      </w:r>
      <w:proofErr w:type="spellEnd"/>
      <w:r w:rsidRPr="00DD58C7">
        <w:rPr>
          <w:rFonts w:ascii="Garamond" w:eastAsiaTheme="minorHAnsi" w:hAnsi="Garamond"/>
          <w:color w:val="000000"/>
          <w:sz w:val="24"/>
          <w:szCs w:val="24"/>
          <w14:ligatures w14:val="standardContextual"/>
        </w:rPr>
        <w:t xml:space="preserve"> e tij në shoqëri dhe në mënyrë që ai të luajë një rol konstruktiv në gjirin e saj.”</w:t>
      </w:r>
      <w:r w:rsidR="003B05B3">
        <w:rPr>
          <w:rFonts w:ascii="Garamond" w:eastAsiaTheme="minorHAnsi" w:hAnsi="Garamond"/>
          <w:color w:val="000000"/>
          <w:sz w:val="24"/>
          <w:szCs w:val="24"/>
          <w14:ligatures w14:val="standardContextual"/>
        </w:rPr>
        <w:t>.</w:t>
      </w:r>
    </w:p>
    <w:p w14:paraId="627899CB" w14:textId="295EAC7E"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25. Në Komentin e Përgjithshëm nr. 10 (2007)</w:t>
      </w:r>
      <w:r w:rsidR="003B05B3">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mbi të drejtat e fëmijëve në drejtësinë për të mitur (shih </w:t>
      </w:r>
      <w:proofErr w:type="spellStart"/>
      <w:r w:rsidRPr="00DD58C7">
        <w:rPr>
          <w:rFonts w:ascii="Garamond" w:eastAsiaTheme="minorHAnsi" w:hAnsi="Garamond"/>
          <w:color w:val="000000"/>
          <w:sz w:val="24"/>
          <w:szCs w:val="24"/>
          <w14:ligatures w14:val="standardContextual"/>
        </w:rPr>
        <w:t>CRC</w:t>
      </w:r>
      <w:proofErr w:type="spellEnd"/>
      <w:r w:rsidRPr="00DD58C7">
        <w:rPr>
          <w:rFonts w:ascii="Garamond" w:eastAsiaTheme="minorHAnsi" w:hAnsi="Garamond"/>
          <w:color w:val="000000"/>
          <w:sz w:val="24"/>
          <w:szCs w:val="24"/>
          <w14:ligatures w14:val="standardContextual"/>
        </w:rPr>
        <w:t>/C/</w:t>
      </w:r>
      <w:proofErr w:type="spellStart"/>
      <w:r w:rsidRPr="00DD58C7">
        <w:rPr>
          <w:rFonts w:ascii="Garamond" w:eastAsiaTheme="minorHAnsi" w:hAnsi="Garamond"/>
          <w:color w:val="000000"/>
          <w:sz w:val="24"/>
          <w:szCs w:val="24"/>
          <w14:ligatures w14:val="standardContextual"/>
        </w:rPr>
        <w:t>GC</w:t>
      </w:r>
      <w:proofErr w:type="spellEnd"/>
      <w:r w:rsidRPr="00DD58C7">
        <w:rPr>
          <w:rFonts w:ascii="Garamond" w:eastAsiaTheme="minorHAnsi" w:hAnsi="Garamond"/>
          <w:color w:val="000000"/>
          <w:sz w:val="24"/>
          <w:szCs w:val="24"/>
          <w14:ligatures w14:val="standardContextual"/>
        </w:rPr>
        <w:t xml:space="preserve">/10, 25 </w:t>
      </w:r>
      <w:r w:rsidR="003B05B3">
        <w:rPr>
          <w:rFonts w:ascii="Garamond" w:eastAsiaTheme="minorHAnsi" w:hAnsi="Garamond"/>
          <w:color w:val="000000"/>
          <w:sz w:val="24"/>
          <w:szCs w:val="24"/>
          <w14:ligatures w14:val="standardContextual"/>
        </w:rPr>
        <w:t>p</w:t>
      </w:r>
      <w:r w:rsidRPr="00DD58C7">
        <w:rPr>
          <w:rFonts w:ascii="Garamond" w:eastAsiaTheme="minorHAnsi" w:hAnsi="Garamond"/>
          <w:color w:val="000000"/>
          <w:sz w:val="24"/>
          <w:szCs w:val="24"/>
          <w14:ligatures w14:val="standardContextual"/>
        </w:rPr>
        <w:t xml:space="preserve">rill 2007), Komiteti i Kombeve të Bashkuara për të Drejtat e Fëmijës theksoi se mbrojtjet e garantuara nga Konventa për të Drejtat e Fëmijës në kontekstin e </w:t>
      </w:r>
      <w:r w:rsidRPr="00DD58C7">
        <w:rPr>
          <w:rFonts w:ascii="Garamond" w:eastAsiaTheme="minorHAnsi" w:hAnsi="Garamond"/>
          <w:color w:val="000000"/>
          <w:sz w:val="24"/>
          <w:szCs w:val="24"/>
          <w14:ligatures w14:val="standardContextual"/>
        </w:rPr>
        <w:lastRenderedPageBreak/>
        <w:t>sistemit të drejtësisë penale zbatoheshin për të gjithë ata që ishin nën moshën 18 vjeç në kohën kur është kryer vepra penale. Ai vuri në dukje si më poshtë:</w:t>
      </w:r>
    </w:p>
    <w:p w14:paraId="5B3102E4" w14:textId="456EB83E"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“29. Komiteti u kujton </w:t>
      </w:r>
      <w:r w:rsidR="003B05B3" w:rsidRPr="00DD58C7">
        <w:rPr>
          <w:rFonts w:ascii="Garamond" w:eastAsiaTheme="minorHAnsi" w:hAnsi="Garamond"/>
          <w:color w:val="000000"/>
          <w:sz w:val="24"/>
          <w:szCs w:val="24"/>
          <w14:ligatures w14:val="standardContextual"/>
        </w:rPr>
        <w:t>shteteve p</w:t>
      </w:r>
      <w:r w:rsidRPr="00DD58C7">
        <w:rPr>
          <w:rFonts w:ascii="Garamond" w:eastAsiaTheme="minorHAnsi" w:hAnsi="Garamond"/>
          <w:color w:val="000000"/>
          <w:sz w:val="24"/>
          <w:szCs w:val="24"/>
          <w14:ligatures w14:val="standardContextual"/>
        </w:rPr>
        <w:t xml:space="preserve">alë se, në përputhje me nenin 40 (1) të </w:t>
      </w:r>
      <w:proofErr w:type="spellStart"/>
      <w:r w:rsidRPr="00DD58C7">
        <w:rPr>
          <w:rFonts w:ascii="Garamond" w:eastAsiaTheme="minorHAnsi" w:hAnsi="Garamond"/>
          <w:color w:val="000000"/>
          <w:sz w:val="24"/>
          <w:szCs w:val="24"/>
          <w14:ligatures w14:val="standardContextual"/>
        </w:rPr>
        <w:t>CRC</w:t>
      </w:r>
      <w:proofErr w:type="spellEnd"/>
      <w:r w:rsidRPr="00DD58C7">
        <w:rPr>
          <w:rFonts w:ascii="Garamond" w:eastAsiaTheme="minorHAnsi" w:hAnsi="Garamond"/>
          <w:color w:val="000000"/>
          <w:sz w:val="24"/>
          <w:szCs w:val="24"/>
          <w14:ligatures w14:val="standardContextual"/>
        </w:rPr>
        <w:t xml:space="preserve">-së, </w:t>
      </w:r>
      <w:proofErr w:type="spellStart"/>
      <w:r w:rsidRPr="00DD58C7">
        <w:rPr>
          <w:rFonts w:ascii="Garamond" w:eastAsiaTheme="minorHAnsi" w:hAnsi="Garamond"/>
          <w:color w:val="000000"/>
          <w:sz w:val="24"/>
          <w:szCs w:val="24"/>
          <w14:ligatures w14:val="standardContextual"/>
        </w:rPr>
        <w:t>riintegrimi</w:t>
      </w:r>
      <w:proofErr w:type="spellEnd"/>
      <w:r w:rsidRPr="00DD58C7">
        <w:rPr>
          <w:rFonts w:ascii="Garamond" w:eastAsiaTheme="minorHAnsi" w:hAnsi="Garamond"/>
          <w:color w:val="000000"/>
          <w:sz w:val="24"/>
          <w:szCs w:val="24"/>
          <w14:ligatures w14:val="standardContextual"/>
        </w:rPr>
        <w:t xml:space="preserve"> kërkon që të mos ndërmerren veprime që mund të pengojnë pjesëmarrjen e plotë të fëmijës në komunitetin e tij/saj, siç është stigmatizimi, izolimi social ose publiciteti negativ i fëmijës. Që një fëmijë në konflikt me ligjin të trajtohet në një mënyrë që nxit </w:t>
      </w:r>
      <w:proofErr w:type="spellStart"/>
      <w:r w:rsidRPr="00DD58C7">
        <w:rPr>
          <w:rFonts w:ascii="Garamond" w:eastAsiaTheme="minorHAnsi" w:hAnsi="Garamond"/>
          <w:color w:val="000000"/>
          <w:sz w:val="24"/>
          <w:szCs w:val="24"/>
          <w14:ligatures w14:val="standardContextual"/>
        </w:rPr>
        <w:t>riintegrimin</w:t>
      </w:r>
      <w:proofErr w:type="spellEnd"/>
      <w:r w:rsidRPr="00DD58C7">
        <w:rPr>
          <w:rFonts w:ascii="Garamond" w:eastAsiaTheme="minorHAnsi" w:hAnsi="Garamond"/>
          <w:color w:val="000000"/>
          <w:sz w:val="24"/>
          <w:szCs w:val="24"/>
          <w14:ligatures w14:val="standardContextual"/>
        </w:rPr>
        <w:t>, kërkohet që të gjitha veprimet duhet ta mbështesin fëmijën të bëhet një anëtar i plotë dhe konstruktiv i shoqërisë së tij/saj.”</w:t>
      </w:r>
      <w:r w:rsidR="003B05B3">
        <w:rPr>
          <w:rFonts w:ascii="Garamond" w:eastAsiaTheme="minorHAnsi" w:hAnsi="Garamond"/>
          <w:color w:val="000000"/>
          <w:sz w:val="24"/>
          <w:szCs w:val="24"/>
          <w14:ligatures w14:val="standardContextual"/>
        </w:rPr>
        <w:t>.</w:t>
      </w:r>
    </w:p>
    <w:p w14:paraId="18DDC830" w14:textId="24939696"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Komiteti trajtoi në mënyrë specifike çështjen e të dhënave penale për shkelësit e mitur, duke deklaruar si më poshtë:</w:t>
      </w:r>
    </w:p>
    <w:p w14:paraId="0F559575" w14:textId="177580D0"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“67. Komiteti</w:t>
      </w:r>
      <w:r w:rsidR="003B05B3">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gjithashtu</w:t>
      </w:r>
      <w:r w:rsidR="003B05B3">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rekomandon që </w:t>
      </w:r>
      <w:r w:rsidR="003B05B3">
        <w:rPr>
          <w:rFonts w:ascii="Garamond" w:eastAsiaTheme="minorHAnsi" w:hAnsi="Garamond"/>
          <w:color w:val="000000"/>
          <w:sz w:val="24"/>
          <w:szCs w:val="24"/>
          <w14:ligatures w14:val="standardContextual"/>
        </w:rPr>
        <w:t>s</w:t>
      </w:r>
      <w:r w:rsidRPr="00DD58C7">
        <w:rPr>
          <w:rFonts w:ascii="Garamond" w:eastAsiaTheme="minorHAnsi" w:hAnsi="Garamond"/>
          <w:color w:val="000000"/>
          <w:sz w:val="24"/>
          <w:szCs w:val="24"/>
          <w14:ligatures w14:val="standardContextual"/>
        </w:rPr>
        <w:t>htetet palë të prezantojnë rregulla që do të lejonin heqjen automatike nga regjistrat penalë të emrit të fëmijës që ka kryer një vepër penale me mbushjen e moshës 18 vjeç, ose për disa vepra të kufizuara penale të rënda, ku heqja është e mundur me kërkesë të fëmijës, nëse është e nevojshme në kushte të caktuara (p.sh., të mos ketë kryer një vepër penale brenda dy viteve pas dënimit të fundit).”</w:t>
      </w:r>
      <w:r w:rsidR="003B05B3">
        <w:rPr>
          <w:rFonts w:ascii="Garamond" w:eastAsiaTheme="minorHAnsi" w:hAnsi="Garamond"/>
          <w:color w:val="000000"/>
          <w:sz w:val="24"/>
          <w:szCs w:val="24"/>
          <w14:ligatures w14:val="standardContextual"/>
        </w:rPr>
        <w:t>.</w:t>
      </w:r>
    </w:p>
    <w:p w14:paraId="58FA1A23" w14:textId="11DB7A3E"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Komiteti dha vërejtjet e mëposhtme</w:t>
      </w:r>
      <w:r w:rsidR="003B05B3">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në lidhje me masat në sferën e drejtësisë për të mitur:</w:t>
      </w:r>
    </w:p>
    <w:p w14:paraId="1BF06D54" w14:textId="4002C162"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“71. ... që reagimi ndaj një vepre penale duhet të jetë gjithmonë në përpjesëtim jo vetëm me rrethanat dhe peshën e veprës penale, por edhe me moshën, fajësinë më të vogël, rrethanat dhe nevojat e fëmijës, si dhe me nevojat e ndryshme dhe veçanërisht afatgjata të shoqërisë. Një qasje </w:t>
      </w:r>
      <w:proofErr w:type="spellStart"/>
      <w:r w:rsidRPr="00DD58C7">
        <w:rPr>
          <w:rFonts w:ascii="Garamond" w:eastAsiaTheme="minorHAnsi" w:hAnsi="Garamond"/>
          <w:color w:val="000000"/>
          <w:sz w:val="24"/>
          <w:szCs w:val="24"/>
          <w14:ligatures w14:val="standardContextual"/>
        </w:rPr>
        <w:t>rr</w:t>
      </w:r>
      <w:r w:rsidR="007B4D32">
        <w:rPr>
          <w:rFonts w:ascii="Garamond" w:eastAsiaTheme="minorHAnsi" w:hAnsi="Garamond"/>
          <w:color w:val="000000"/>
          <w:sz w:val="24"/>
          <w:szCs w:val="24"/>
          <w14:ligatures w14:val="standardContextual"/>
        </w:rPr>
        <w:t>eptësisht</w:t>
      </w:r>
      <w:proofErr w:type="spellEnd"/>
      <w:r w:rsidRPr="00DD58C7">
        <w:rPr>
          <w:rFonts w:ascii="Garamond" w:eastAsiaTheme="minorHAnsi" w:hAnsi="Garamond"/>
          <w:color w:val="000000"/>
          <w:sz w:val="24"/>
          <w:szCs w:val="24"/>
          <w14:ligatures w14:val="standardContextual"/>
        </w:rPr>
        <w:t xml:space="preserve"> ndëshkuese nuk është në përputhje me parimet kryesore për drejtësinë për të mitur të përcaktuara në </w:t>
      </w:r>
      <w:r w:rsidR="003B05B3">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 xml:space="preserve">enin 40 § 1 të </w:t>
      </w:r>
      <w:proofErr w:type="spellStart"/>
      <w:r w:rsidRPr="00DD58C7">
        <w:rPr>
          <w:rFonts w:ascii="Garamond" w:eastAsiaTheme="minorHAnsi" w:hAnsi="Garamond"/>
          <w:color w:val="000000"/>
          <w:sz w:val="24"/>
          <w:szCs w:val="24"/>
          <w14:ligatures w14:val="standardContextual"/>
        </w:rPr>
        <w:t>KDF</w:t>
      </w:r>
      <w:proofErr w:type="spellEnd"/>
      <w:r w:rsidRPr="00DD58C7">
        <w:rPr>
          <w:rFonts w:ascii="Garamond" w:eastAsiaTheme="minorHAnsi" w:hAnsi="Garamond"/>
          <w:color w:val="000000"/>
          <w:sz w:val="24"/>
          <w:szCs w:val="24"/>
          <w14:ligatures w14:val="standardContextual"/>
        </w:rPr>
        <w:t xml:space="preserve">-së [Konventa për të Drejtat e Fëmijëve] ... Në rastet e veprave të rënda penale të kryera nga fëmijët, mund të merren në konsideratë masa në përpjesëtim me rrethanat e autorit të veprës penale dhe peshën e veprës penale, duke përfshirë konsideratat e nevojës për siguri publike dhe sanksionet. Në rastin e fëmijëve, konsiderata të tilla duhet të tejkalohen gjithmonë nga nevoja për të mbrojtur mirëqenien dhe interesat më të mira të fëmijës dhe për të promovuar </w:t>
      </w:r>
      <w:proofErr w:type="spellStart"/>
      <w:r w:rsidRPr="00DD58C7">
        <w:rPr>
          <w:rFonts w:ascii="Garamond" w:eastAsiaTheme="minorHAnsi" w:hAnsi="Garamond"/>
          <w:color w:val="000000"/>
          <w:sz w:val="24"/>
          <w:szCs w:val="24"/>
          <w14:ligatures w14:val="standardContextual"/>
        </w:rPr>
        <w:t>riintegrimin</w:t>
      </w:r>
      <w:proofErr w:type="spellEnd"/>
      <w:r w:rsidRPr="00DD58C7">
        <w:rPr>
          <w:rFonts w:ascii="Garamond" w:eastAsiaTheme="minorHAnsi" w:hAnsi="Garamond"/>
          <w:color w:val="000000"/>
          <w:sz w:val="24"/>
          <w:szCs w:val="24"/>
          <w14:ligatures w14:val="standardContextual"/>
        </w:rPr>
        <w:t xml:space="preserve"> e tij/saj.”</w:t>
      </w:r>
      <w:r w:rsidR="003B05B3">
        <w:rPr>
          <w:rFonts w:ascii="Garamond" w:eastAsiaTheme="minorHAnsi" w:hAnsi="Garamond"/>
          <w:color w:val="000000"/>
          <w:sz w:val="24"/>
          <w:szCs w:val="24"/>
          <w14:ligatures w14:val="standardContextual"/>
        </w:rPr>
        <w:t>.</w:t>
      </w:r>
    </w:p>
    <w:p w14:paraId="1F9E4901" w14:textId="3A8A65E4"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LIGJI </w:t>
      </w:r>
    </w:p>
    <w:p w14:paraId="240F9882" w14:textId="6287946C"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I. PRETENDIM PËR SHKELJE TË NENIT 8 TË KONVENTËS</w:t>
      </w:r>
    </w:p>
    <w:p w14:paraId="10A131D2" w14:textId="730D61BC"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26. Kërkuesi u ankua se vendimi për të mos e pranuar atë në Shkollën e Magjistraturës për formimin si prokuror për shkak të një dënimi të vuajtur për të mitur ka shkelur të drejtën e tij</w:t>
      </w:r>
      <w:r w:rsidR="003B05B3">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në mbështetje të </w:t>
      </w:r>
      <w:r w:rsidR="003B05B3">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enit 8 të Konventës</w:t>
      </w:r>
      <w:r w:rsidR="003B05B3">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i cili parashikon si më poshtë: </w:t>
      </w:r>
    </w:p>
    <w:p w14:paraId="3E67A4F3" w14:textId="77777777"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“1. Çdokush ka të drejtën e respektimit të jetës së tij private dhe familjare, banesës dhe korrespondencës së tij. </w:t>
      </w:r>
    </w:p>
    <w:p w14:paraId="31CDC873" w14:textId="2B8A1BF0"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2. Autoriteti publik nuk mund të ndërhyjë në ushtrimin e kësaj të drejte, përveçse në shkallën e parashikuar nga ligji dhe kur është e nevojshme në një shoqëri demokratike, në interes të sigurisë publike, për mbrojtjen e rendit publik, shëndetit ose moralit</w:t>
      </w:r>
      <w:r w:rsidR="003B05B3">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ose për mbrojtjen e të drejtave dhe lirive të </w:t>
      </w:r>
      <w:proofErr w:type="spellStart"/>
      <w:r w:rsidRPr="00DD58C7">
        <w:rPr>
          <w:rFonts w:ascii="Garamond" w:eastAsiaTheme="minorHAnsi" w:hAnsi="Garamond"/>
          <w:color w:val="000000"/>
          <w:sz w:val="24"/>
          <w:szCs w:val="24"/>
          <w14:ligatures w14:val="standardContextual"/>
        </w:rPr>
        <w:t>të</w:t>
      </w:r>
      <w:proofErr w:type="spellEnd"/>
      <w:r w:rsidRPr="00DD58C7">
        <w:rPr>
          <w:rFonts w:ascii="Garamond" w:eastAsiaTheme="minorHAnsi" w:hAnsi="Garamond"/>
          <w:color w:val="000000"/>
          <w:sz w:val="24"/>
          <w:szCs w:val="24"/>
          <w14:ligatures w14:val="standardContextual"/>
        </w:rPr>
        <w:t xml:space="preserve"> tjerëve.”</w:t>
      </w:r>
      <w:r w:rsidR="003B05B3">
        <w:rPr>
          <w:rFonts w:ascii="Garamond" w:eastAsiaTheme="minorHAnsi" w:hAnsi="Garamond"/>
          <w:color w:val="000000"/>
          <w:sz w:val="24"/>
          <w:szCs w:val="24"/>
          <w14:ligatures w14:val="standardContextual"/>
        </w:rPr>
        <w:t>.</w:t>
      </w:r>
    </w:p>
    <w:p w14:paraId="07CDA772" w14:textId="29690CDF" w:rsidR="0007274E" w:rsidRPr="00DD58C7" w:rsidRDefault="0007274E" w:rsidP="0007274E">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DD58C7">
        <w:rPr>
          <w:rFonts w:ascii="Garamond" w:eastAsiaTheme="minorHAnsi" w:hAnsi="Garamond"/>
          <w:b/>
          <w:bCs/>
          <w:color w:val="000000"/>
          <w:sz w:val="24"/>
          <w:szCs w:val="24"/>
          <w14:ligatures w14:val="standardContextual"/>
        </w:rPr>
        <w:t xml:space="preserve">A. </w:t>
      </w:r>
      <w:proofErr w:type="spellStart"/>
      <w:r w:rsidRPr="00DD58C7">
        <w:rPr>
          <w:rFonts w:ascii="Garamond" w:eastAsiaTheme="minorHAnsi" w:hAnsi="Garamond"/>
          <w:b/>
          <w:bCs/>
          <w:color w:val="000000"/>
          <w:sz w:val="24"/>
          <w:szCs w:val="24"/>
          <w14:ligatures w14:val="standardContextual"/>
        </w:rPr>
        <w:t>Pranueshmëria</w:t>
      </w:r>
      <w:proofErr w:type="spellEnd"/>
    </w:p>
    <w:p w14:paraId="7E19A5F1" w14:textId="0CA34BC8"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27. Qeveria vuri në dukje punën e mëparshme të kërkuesit si avokat në sektorin privat dhe rolin e tij aktual si oficer i policisë gjyqësore në një prokurori, duke argumentuar se refuzimi i pranimit të tij në Shkollën e Magjistraturës nuk kishte arritur pragun e seriozitetit të kërkuar që të zbatohej </w:t>
      </w:r>
      <w:r w:rsidR="00340728">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 xml:space="preserve">eni 8. Sipas tyre, ai ende kishte të drejtë të punonte si avokat diku tjetër. Nëse ai do të ishte pranuar në </w:t>
      </w:r>
      <w:r w:rsidR="00340728">
        <w:rPr>
          <w:rFonts w:ascii="Garamond" w:eastAsiaTheme="minorHAnsi" w:hAnsi="Garamond"/>
          <w:color w:val="000000"/>
          <w:sz w:val="24"/>
          <w:szCs w:val="24"/>
          <w14:ligatures w14:val="standardContextual"/>
        </w:rPr>
        <w:t>programin tre</w:t>
      </w:r>
      <w:r w:rsidRPr="00DD58C7">
        <w:rPr>
          <w:rFonts w:ascii="Garamond" w:eastAsiaTheme="minorHAnsi" w:hAnsi="Garamond"/>
          <w:color w:val="000000"/>
          <w:sz w:val="24"/>
          <w:szCs w:val="24"/>
          <w14:ligatures w14:val="standardContextual"/>
        </w:rPr>
        <w:t>vjeçar të formimit fillestar të Shkollës së Magjistraturës, shpërblimi i tij gjatë periudhës së formimit do të kishte qenë më i ulët se paga e tij si ofice</w:t>
      </w:r>
      <w:r w:rsidR="00340728">
        <w:rPr>
          <w:rFonts w:ascii="Garamond" w:eastAsiaTheme="minorHAnsi" w:hAnsi="Garamond"/>
          <w:color w:val="000000"/>
          <w:sz w:val="24"/>
          <w:szCs w:val="24"/>
          <w14:ligatures w14:val="standardContextual"/>
        </w:rPr>
        <w:t>r i policisë gjyqësore.</w:t>
      </w:r>
    </w:p>
    <w:p w14:paraId="52F7EBC9" w14:textId="6F9EFDB6"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28. Kërkuesi deklaroi se masa ishte zbatuar në bazë të një dënimi të kaluar si i mitur</w:t>
      </w:r>
      <w:r w:rsidR="00340728">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në lidhje me një vepër penale të kryer në rininë e tij për shkak të papjekurisë. Kjo ia kishte bllokuar përgjithmonë dhe në mënyrë të pakthyeshme rrugën për t’u bërë magjistrat (konkretisht prokuror), një karrierë që ai e kishte ndjekur me përkushtim përmes arsimit ligjor, trajnimit, praktikës profesionale dhe pjesëmarrjes në procedurat konkurruese të përzgjedhjes për Shkollën e Magjistraturës, për të cilën ai ishte përgatitur dhe i kishte përmbushur të gjitha kriteret.</w:t>
      </w:r>
    </w:p>
    <w:p w14:paraId="389D288B" w14:textId="1F951992"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29. Gjykata përsërit se, ndërsa asnjë e drejtë e përgjithshme për punësim, as e drejta për </w:t>
      </w:r>
      <w:proofErr w:type="spellStart"/>
      <w:r w:rsidRPr="00DD58C7">
        <w:rPr>
          <w:rFonts w:ascii="Garamond" w:eastAsiaTheme="minorHAnsi" w:hAnsi="Garamond"/>
          <w:color w:val="000000"/>
          <w:sz w:val="24"/>
          <w:szCs w:val="24"/>
          <w14:ligatures w14:val="standardContextual"/>
        </w:rPr>
        <w:t>akses</w:t>
      </w:r>
      <w:proofErr w:type="spellEnd"/>
      <w:r w:rsidRPr="00DD58C7">
        <w:rPr>
          <w:rFonts w:ascii="Garamond" w:eastAsiaTheme="minorHAnsi" w:hAnsi="Garamond"/>
          <w:color w:val="000000"/>
          <w:sz w:val="24"/>
          <w:szCs w:val="24"/>
          <w14:ligatures w14:val="standardContextual"/>
        </w:rPr>
        <w:t xml:space="preserve"> në shërbimin civil apo e drejta për të zgjedhur një profesion të caktuar, nuk mund të nxirret nga </w:t>
      </w:r>
      <w:r w:rsidR="00340728">
        <w:rPr>
          <w:rFonts w:ascii="Garamond" w:eastAsiaTheme="minorHAnsi" w:hAnsi="Garamond"/>
          <w:color w:val="000000"/>
          <w:sz w:val="24"/>
          <w:szCs w:val="24"/>
          <w14:ligatures w14:val="standardContextual"/>
        </w:rPr>
        <w:lastRenderedPageBreak/>
        <w:t>n</w:t>
      </w:r>
      <w:r w:rsidRPr="00DD58C7">
        <w:rPr>
          <w:rFonts w:ascii="Garamond" w:eastAsiaTheme="minorHAnsi" w:hAnsi="Garamond"/>
          <w:color w:val="000000"/>
          <w:sz w:val="24"/>
          <w:szCs w:val="24"/>
          <w14:ligatures w14:val="standardContextual"/>
        </w:rPr>
        <w:t xml:space="preserve">eni 8, nocioni i “jetës private”, si një term i gjerë, nuk përjashton në parim aktivitetet me natyrë profesionale ose biznesi. Në fund të fundit, është gjatë jetës së tyre të punës që shumica e njerëzve kanë një mundësi të konsiderueshme për të zhvilluar marrëdhënie me botën e jashtme (shih </w:t>
      </w:r>
      <w:proofErr w:type="spellStart"/>
      <w:r w:rsidRPr="00DD58C7">
        <w:rPr>
          <w:rFonts w:ascii="Garamond" w:eastAsiaTheme="minorHAnsi" w:hAnsi="Garamond"/>
          <w:i/>
          <w:iCs/>
          <w:color w:val="000000"/>
          <w:sz w:val="24"/>
          <w:szCs w:val="24"/>
          <w14:ligatures w14:val="standardContextual"/>
        </w:rPr>
        <w:t>Denisov</w:t>
      </w:r>
      <w:proofErr w:type="spellEnd"/>
      <w:r w:rsidRPr="00DD58C7">
        <w:rPr>
          <w:rFonts w:ascii="Garamond" w:eastAsiaTheme="minorHAnsi" w:hAnsi="Garamond"/>
          <w:i/>
          <w:iCs/>
          <w:color w:val="000000"/>
          <w:sz w:val="24"/>
          <w:szCs w:val="24"/>
          <w14:ligatures w14:val="standardContextual"/>
        </w:rPr>
        <w:t xml:space="preserve"> kundër Ukrainës</w:t>
      </w:r>
      <w:r w:rsidRPr="00DD58C7">
        <w:rPr>
          <w:rFonts w:ascii="Garamond" w:eastAsiaTheme="minorHAnsi" w:hAnsi="Garamond"/>
          <w:color w:val="000000"/>
          <w:sz w:val="24"/>
          <w:szCs w:val="24"/>
          <w14:ligatures w14:val="standardContextual"/>
        </w:rPr>
        <w:t xml:space="preserve"> [</w:t>
      </w:r>
      <w:proofErr w:type="spellStart"/>
      <w:r w:rsidRPr="00DD58C7">
        <w:rPr>
          <w:rFonts w:ascii="Garamond" w:eastAsiaTheme="minorHAnsi" w:hAnsi="Garamond"/>
          <w:color w:val="000000"/>
          <w:sz w:val="24"/>
          <w:szCs w:val="24"/>
          <w14:ligatures w14:val="standardContextual"/>
        </w:rPr>
        <w:t>GC</w:t>
      </w:r>
      <w:proofErr w:type="spellEnd"/>
      <w:r w:rsidRPr="00DD58C7">
        <w:rPr>
          <w:rFonts w:ascii="Garamond" w:eastAsiaTheme="minorHAnsi" w:hAnsi="Garamond"/>
          <w:color w:val="000000"/>
          <w:sz w:val="24"/>
          <w:szCs w:val="24"/>
          <w14:ligatures w14:val="standardContextual"/>
        </w:rPr>
        <w:t xml:space="preserve">], nr. 76639/11, § 100, 25 </w:t>
      </w:r>
      <w:r w:rsidR="00340728">
        <w:rPr>
          <w:rFonts w:ascii="Garamond" w:eastAsiaTheme="minorHAnsi" w:hAnsi="Garamond"/>
          <w:color w:val="000000"/>
          <w:sz w:val="24"/>
          <w:szCs w:val="24"/>
          <w14:ligatures w14:val="standardContextual"/>
        </w:rPr>
        <w:t>s</w:t>
      </w:r>
      <w:r w:rsidRPr="00DD58C7">
        <w:rPr>
          <w:rFonts w:ascii="Garamond" w:eastAsiaTheme="minorHAnsi" w:hAnsi="Garamond"/>
          <w:color w:val="000000"/>
          <w:sz w:val="24"/>
          <w:szCs w:val="24"/>
          <w14:ligatures w14:val="standardContextual"/>
        </w:rPr>
        <w:t xml:space="preserve">htator 2018). Kufizimet në jetën profesionale të një individi mund të jenë nën </w:t>
      </w:r>
      <w:r w:rsidR="00340728">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enin 8</w:t>
      </w:r>
      <w:r w:rsidR="00340728">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kur ato kanë pasoja në mënyrën se si ai ose ajo ndërton identitetin e tij ose të saj shoqëror duke zhvilluar marrëdhënie me të tjerët. Për më tepër, jeta profesionale shpesh është e lidhur ngushtë me jetën private, veçanërisht nëse faktorët që lidhen me jetën private, në kuptimin e ngushtë të termit, konsiderohen si kritere kualifikuese për një profesion të caktuar (shih </w:t>
      </w:r>
      <w:proofErr w:type="spellStart"/>
      <w:r w:rsidRPr="00DD58C7">
        <w:rPr>
          <w:rFonts w:ascii="Garamond" w:eastAsiaTheme="minorHAnsi" w:hAnsi="Garamond"/>
          <w:i/>
          <w:iCs/>
          <w:color w:val="000000"/>
          <w:sz w:val="24"/>
          <w:szCs w:val="24"/>
          <w14:ligatures w14:val="standardContextual"/>
        </w:rPr>
        <w:t>Pişkin</w:t>
      </w:r>
      <w:proofErr w:type="spellEnd"/>
      <w:r w:rsidRPr="00DD58C7">
        <w:rPr>
          <w:rFonts w:ascii="Garamond" w:eastAsiaTheme="minorHAnsi" w:hAnsi="Garamond"/>
          <w:i/>
          <w:iCs/>
          <w:color w:val="000000"/>
          <w:sz w:val="24"/>
          <w:szCs w:val="24"/>
          <w14:ligatures w14:val="standardContextual"/>
        </w:rPr>
        <w:t xml:space="preserve"> kundër Turqisë</w:t>
      </w:r>
      <w:r w:rsidRPr="00DD58C7">
        <w:rPr>
          <w:rFonts w:ascii="Garamond" w:eastAsiaTheme="minorHAnsi" w:hAnsi="Garamond"/>
          <w:color w:val="000000"/>
          <w:sz w:val="24"/>
          <w:szCs w:val="24"/>
          <w14:ligatures w14:val="standardContextual"/>
        </w:rPr>
        <w:t>, nr. 33399/18, §§ 172</w:t>
      </w:r>
      <w:r w:rsidR="00340728">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78, 15 </w:t>
      </w:r>
      <w:r w:rsidR="00340728">
        <w:rPr>
          <w:rFonts w:ascii="Garamond" w:eastAsiaTheme="minorHAnsi" w:hAnsi="Garamond"/>
          <w:color w:val="000000"/>
          <w:sz w:val="24"/>
          <w:szCs w:val="24"/>
          <w14:ligatures w14:val="standardContextual"/>
        </w:rPr>
        <w:t>d</w:t>
      </w:r>
      <w:r w:rsidRPr="00DD58C7">
        <w:rPr>
          <w:rFonts w:ascii="Garamond" w:eastAsiaTheme="minorHAnsi" w:hAnsi="Garamond"/>
          <w:color w:val="000000"/>
          <w:sz w:val="24"/>
          <w:szCs w:val="24"/>
          <w14:ligatures w14:val="standardContextual"/>
        </w:rPr>
        <w:t xml:space="preserve">hjetor 2020, me referenca të mëtejshme, dhe </w:t>
      </w:r>
      <w:proofErr w:type="spellStart"/>
      <w:r w:rsidRPr="00DD58C7">
        <w:rPr>
          <w:rFonts w:ascii="Garamond" w:eastAsiaTheme="minorHAnsi" w:hAnsi="Garamond"/>
          <w:i/>
          <w:iCs/>
          <w:color w:val="000000"/>
          <w:sz w:val="24"/>
          <w:szCs w:val="24"/>
          <w14:ligatures w14:val="standardContextual"/>
        </w:rPr>
        <w:t>Özpınar</w:t>
      </w:r>
      <w:proofErr w:type="spellEnd"/>
      <w:r w:rsidRPr="00DD58C7">
        <w:rPr>
          <w:rFonts w:ascii="Garamond" w:eastAsiaTheme="minorHAnsi" w:hAnsi="Garamond"/>
          <w:i/>
          <w:iCs/>
          <w:color w:val="000000"/>
          <w:sz w:val="24"/>
          <w:szCs w:val="24"/>
          <w14:ligatures w14:val="standardContextual"/>
        </w:rPr>
        <w:t xml:space="preserve"> kundër Turqisë</w:t>
      </w:r>
      <w:r w:rsidRPr="00DD58C7">
        <w:rPr>
          <w:rFonts w:ascii="Garamond" w:eastAsiaTheme="minorHAnsi" w:hAnsi="Garamond"/>
          <w:color w:val="000000"/>
          <w:sz w:val="24"/>
          <w:szCs w:val="24"/>
          <w14:ligatures w14:val="standardContextual"/>
        </w:rPr>
        <w:t>, nr. 20999/04, §§ 45</w:t>
      </w:r>
      <w:r w:rsidR="00340728">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48, 19 </w:t>
      </w:r>
      <w:r w:rsidR="00340728">
        <w:rPr>
          <w:rFonts w:ascii="Garamond" w:eastAsiaTheme="minorHAnsi" w:hAnsi="Garamond"/>
          <w:color w:val="000000"/>
          <w:sz w:val="24"/>
          <w:szCs w:val="24"/>
          <w14:ligatures w14:val="standardContextual"/>
        </w:rPr>
        <w:t>t</w:t>
      </w:r>
      <w:r w:rsidRPr="00DD58C7">
        <w:rPr>
          <w:rFonts w:ascii="Garamond" w:eastAsiaTheme="minorHAnsi" w:hAnsi="Garamond"/>
          <w:color w:val="000000"/>
          <w:sz w:val="24"/>
          <w:szCs w:val="24"/>
          <w14:ligatures w14:val="standardContextual"/>
        </w:rPr>
        <w:t xml:space="preserve">etor 2010). Për këtë arsye, jeta profesionale është pjesë e zonës së ndërveprimit midis një personi dhe të tjerëve, e cila, edhe në një kontekst publik, mund të jetë nën fushëveprimin e “jetës private” (shih </w:t>
      </w:r>
      <w:proofErr w:type="spellStart"/>
      <w:r w:rsidRPr="00DD58C7">
        <w:rPr>
          <w:rFonts w:ascii="Garamond" w:eastAsiaTheme="minorHAnsi" w:hAnsi="Garamond"/>
          <w:i/>
          <w:iCs/>
          <w:color w:val="000000"/>
          <w:sz w:val="24"/>
          <w:szCs w:val="24"/>
          <w14:ligatures w14:val="standardContextual"/>
        </w:rPr>
        <w:t>Fernández</w:t>
      </w:r>
      <w:proofErr w:type="spellEnd"/>
      <w:r w:rsidRPr="00DD58C7">
        <w:rPr>
          <w:rFonts w:ascii="Garamond" w:eastAsiaTheme="minorHAnsi" w:hAnsi="Garamond"/>
          <w:i/>
          <w:iCs/>
          <w:color w:val="000000"/>
          <w:sz w:val="24"/>
          <w:szCs w:val="24"/>
          <w14:ligatures w14:val="standardContextual"/>
        </w:rPr>
        <w:t xml:space="preserve"> </w:t>
      </w:r>
      <w:proofErr w:type="spellStart"/>
      <w:r w:rsidRPr="00DD58C7">
        <w:rPr>
          <w:rFonts w:ascii="Garamond" w:eastAsiaTheme="minorHAnsi" w:hAnsi="Garamond"/>
          <w:i/>
          <w:iCs/>
          <w:color w:val="000000"/>
          <w:sz w:val="24"/>
          <w:szCs w:val="24"/>
          <w14:ligatures w14:val="standardContextual"/>
        </w:rPr>
        <w:t>Martínez</w:t>
      </w:r>
      <w:proofErr w:type="spellEnd"/>
      <w:r w:rsidRPr="00DD58C7">
        <w:rPr>
          <w:rFonts w:ascii="Garamond" w:eastAsiaTheme="minorHAnsi" w:hAnsi="Garamond"/>
          <w:i/>
          <w:iCs/>
          <w:color w:val="000000"/>
          <w:sz w:val="24"/>
          <w:szCs w:val="24"/>
          <w14:ligatures w14:val="standardContextual"/>
        </w:rPr>
        <w:t xml:space="preserve"> kundër Spanjës</w:t>
      </w:r>
      <w:r w:rsidRPr="00DD58C7">
        <w:rPr>
          <w:rFonts w:ascii="Garamond" w:eastAsiaTheme="minorHAnsi" w:hAnsi="Garamond"/>
          <w:color w:val="000000"/>
          <w:sz w:val="24"/>
          <w:szCs w:val="24"/>
          <w14:ligatures w14:val="standardContextual"/>
        </w:rPr>
        <w:t xml:space="preserve"> [</w:t>
      </w:r>
      <w:proofErr w:type="spellStart"/>
      <w:r w:rsidRPr="00DD58C7">
        <w:rPr>
          <w:rFonts w:ascii="Garamond" w:eastAsiaTheme="minorHAnsi" w:hAnsi="Garamond"/>
          <w:color w:val="000000"/>
          <w:sz w:val="24"/>
          <w:szCs w:val="24"/>
          <w14:ligatures w14:val="standardContextual"/>
        </w:rPr>
        <w:t>DHM</w:t>
      </w:r>
      <w:proofErr w:type="spellEnd"/>
      <w:r w:rsidRPr="00DD58C7">
        <w:rPr>
          <w:rFonts w:ascii="Garamond" w:eastAsiaTheme="minorHAnsi" w:hAnsi="Garamond"/>
          <w:color w:val="000000"/>
          <w:sz w:val="24"/>
          <w:szCs w:val="24"/>
          <w14:ligatures w14:val="standardContextual"/>
        </w:rPr>
        <w:t>], nr. 56030/07, §§ 109</w:t>
      </w:r>
      <w:r w:rsidR="00340728">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10, </w:t>
      </w:r>
      <w:proofErr w:type="spellStart"/>
      <w:r w:rsidRPr="00DD58C7">
        <w:rPr>
          <w:rFonts w:ascii="Garamond" w:eastAsiaTheme="minorHAnsi" w:hAnsi="Garamond"/>
          <w:color w:val="000000"/>
          <w:sz w:val="24"/>
          <w:szCs w:val="24"/>
          <w14:ligatures w14:val="standardContextual"/>
        </w:rPr>
        <w:t>GJEDNJ</w:t>
      </w:r>
      <w:proofErr w:type="spellEnd"/>
      <w:r w:rsidRPr="00DD58C7">
        <w:rPr>
          <w:rFonts w:ascii="Garamond" w:eastAsiaTheme="minorHAnsi" w:hAnsi="Garamond"/>
          <w:color w:val="000000"/>
          <w:sz w:val="24"/>
          <w:szCs w:val="24"/>
          <w14:ligatures w14:val="standardContextual"/>
        </w:rPr>
        <w:t xml:space="preserve"> 2014 (fragmente)).</w:t>
      </w:r>
    </w:p>
    <w:p w14:paraId="46D26299" w14:textId="6A5D0869"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30. Ekzistojnë disa aspekte tipike të jetës private të cilat mund të preken në mosmarrëveshjet që lidhen me punësimin nga shkarkimi, ulja në detyrë, mospranimi në një profesion ose masa të tjera të ngjashme të pafavorshme. Këto aspekte përfshijnë</w:t>
      </w:r>
      <w:r w:rsidR="00340728">
        <w:rPr>
          <w:rFonts w:ascii="Garamond" w:eastAsiaTheme="minorHAnsi" w:hAnsi="Garamond"/>
          <w:color w:val="000000"/>
          <w:sz w:val="24"/>
          <w:szCs w:val="24"/>
          <w14:ligatures w14:val="standardContextual"/>
        </w:rPr>
        <w:t>: i.</w:t>
      </w:r>
      <w:r w:rsidRPr="00DD58C7">
        <w:rPr>
          <w:rFonts w:ascii="Garamond" w:eastAsiaTheme="minorHAnsi" w:hAnsi="Garamond"/>
          <w:color w:val="000000"/>
          <w:sz w:val="24"/>
          <w:szCs w:val="24"/>
          <w14:ligatures w14:val="standardContextual"/>
        </w:rPr>
        <w:t xml:space="preserve"> “rrethin e ngushtë” të kërkuesi</w:t>
      </w:r>
      <w:r w:rsidR="008B33DC">
        <w:rPr>
          <w:rFonts w:ascii="Garamond" w:eastAsiaTheme="minorHAnsi" w:hAnsi="Garamond"/>
          <w:color w:val="000000"/>
          <w:sz w:val="24"/>
          <w:szCs w:val="24"/>
          <w14:ligatures w14:val="standardContextual"/>
        </w:rPr>
        <w:t xml:space="preserve">t; </w:t>
      </w:r>
      <w:proofErr w:type="spellStart"/>
      <w:r w:rsidR="008B33DC">
        <w:rPr>
          <w:rFonts w:ascii="Garamond" w:eastAsiaTheme="minorHAnsi" w:hAnsi="Garamond"/>
          <w:color w:val="000000"/>
          <w:sz w:val="24"/>
          <w:szCs w:val="24"/>
          <w14:ligatures w14:val="standardContextual"/>
        </w:rPr>
        <w:t>ii</w:t>
      </w:r>
      <w:proofErr w:type="spellEnd"/>
      <w:r w:rsidR="008B33DC">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mundësinë e kërkuesit për të krijuar dhe zhvilluar marrëdhënie me të tjerët</w:t>
      </w:r>
      <w:r w:rsidR="008B33DC">
        <w:rPr>
          <w:rFonts w:ascii="Garamond" w:eastAsiaTheme="minorHAnsi" w:hAnsi="Garamond"/>
          <w:color w:val="000000"/>
          <w:sz w:val="24"/>
          <w:szCs w:val="24"/>
          <w14:ligatures w14:val="standardContextual"/>
        </w:rPr>
        <w:t xml:space="preserve">; dhe </w:t>
      </w:r>
      <w:proofErr w:type="spellStart"/>
      <w:r w:rsidR="008B33DC">
        <w:rPr>
          <w:rFonts w:ascii="Garamond" w:eastAsiaTheme="minorHAnsi" w:hAnsi="Garamond"/>
          <w:color w:val="000000"/>
          <w:sz w:val="24"/>
          <w:szCs w:val="24"/>
          <w14:ligatures w14:val="standardContextual"/>
        </w:rPr>
        <w:t>iii</w:t>
      </w:r>
      <w:proofErr w:type="spellEnd"/>
      <w:r w:rsidR="008B33DC">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reputacionin shoqëror dhe profesional të kërkuesit. Ekzistojnë dy mënyra se si zakonisht do të lindte një çështje e jetës private në një mosmarrëveshje të tillë: ose për shkak të arsyeve themelore për masën e kontestuar (në këtë rast Gjykata përdor qasjen e bazuar në arsye) ose </w:t>
      </w:r>
      <w:r w:rsidR="008B33DC">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në raste të caktuara </w:t>
      </w:r>
      <w:r w:rsidR="008B33DC">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për shkak të pasojave për jetën private (në këtë rast Gjykata përdor qasjen e bazuar në pasoja). Megjithatë, kjo ndarje nuk përjashton rastet në të cilat Gjykata mund ta gjykojë të përshtatshme të përdorë të dyja qasjet në kombinim, duke shqyrtuar nëse ekziston një çështje e jetës private në arsyet themelore për masën e kontestuar dhe, përveç kësaj, duke analizuar pasojat e masës (shih </w:t>
      </w:r>
      <w:proofErr w:type="spellStart"/>
      <w:r w:rsidRPr="00DD58C7">
        <w:rPr>
          <w:rFonts w:ascii="Garamond" w:eastAsiaTheme="minorHAnsi" w:hAnsi="Garamond"/>
          <w:i/>
          <w:iCs/>
          <w:color w:val="000000"/>
          <w:sz w:val="24"/>
          <w:szCs w:val="24"/>
          <w14:ligatures w14:val="standardContextual"/>
        </w:rPr>
        <w:t>Denisov</w:t>
      </w:r>
      <w:proofErr w:type="spellEnd"/>
      <w:r w:rsidRPr="00DD58C7">
        <w:rPr>
          <w:rFonts w:ascii="Garamond" w:eastAsiaTheme="minorHAnsi" w:hAnsi="Garamond"/>
          <w:color w:val="000000"/>
          <w:sz w:val="24"/>
          <w:szCs w:val="24"/>
          <w14:ligatures w14:val="standardContextual"/>
        </w:rPr>
        <w:t xml:space="preserve">, i cituar më sipër, §§ 115 dhe 109, dhe </w:t>
      </w:r>
      <w:proofErr w:type="spellStart"/>
      <w:r w:rsidRPr="00DD58C7">
        <w:rPr>
          <w:rFonts w:ascii="Garamond" w:eastAsiaTheme="minorHAnsi" w:hAnsi="Garamond"/>
          <w:i/>
          <w:iCs/>
          <w:color w:val="000000"/>
          <w:sz w:val="24"/>
          <w:szCs w:val="24"/>
          <w14:ligatures w14:val="standardContextual"/>
        </w:rPr>
        <w:t>Guliyev</w:t>
      </w:r>
      <w:proofErr w:type="spellEnd"/>
      <w:r w:rsidRPr="00DD58C7">
        <w:rPr>
          <w:rFonts w:ascii="Garamond" w:eastAsiaTheme="minorHAnsi" w:hAnsi="Garamond"/>
          <w:i/>
          <w:iCs/>
          <w:color w:val="000000"/>
          <w:sz w:val="24"/>
          <w:szCs w:val="24"/>
          <w14:ligatures w14:val="standardContextual"/>
        </w:rPr>
        <w:t xml:space="preserve"> kundër Azerbajxhanit</w:t>
      </w:r>
      <w:r w:rsidRPr="00DD58C7">
        <w:rPr>
          <w:rFonts w:ascii="Garamond" w:eastAsiaTheme="minorHAnsi" w:hAnsi="Garamond"/>
          <w:color w:val="000000"/>
          <w:sz w:val="24"/>
          <w:szCs w:val="24"/>
          <w14:ligatures w14:val="standardContextual"/>
        </w:rPr>
        <w:t xml:space="preserve">, nr. 54588/13, § 43, 6 </w:t>
      </w:r>
      <w:r w:rsidR="008B33DC">
        <w:rPr>
          <w:rFonts w:ascii="Garamond" w:eastAsiaTheme="minorHAnsi" w:hAnsi="Garamond"/>
          <w:color w:val="000000"/>
          <w:sz w:val="24"/>
          <w:szCs w:val="24"/>
          <w14:ligatures w14:val="standardContextual"/>
        </w:rPr>
        <w:t>k</w:t>
      </w:r>
      <w:r w:rsidRPr="00DD58C7">
        <w:rPr>
          <w:rFonts w:ascii="Garamond" w:eastAsiaTheme="minorHAnsi" w:hAnsi="Garamond"/>
          <w:color w:val="000000"/>
          <w:sz w:val="24"/>
          <w:szCs w:val="24"/>
          <w14:ligatures w14:val="standardContextual"/>
        </w:rPr>
        <w:t xml:space="preserve">orrik 2023). Nëse është në rrezik qasja e bazuar në pasoja, pragu i ashpërsisë merr rëndësi vendimtare. Një prag i tillë duhet të vlerësohet duke krahasuar jetën e kërkuesit para dhe pas masës në fjalë, në mënyrë që perceptimet subjektive të kërkuesit të merren në konsideratë në kuadrin e rrethanave objektive që ekzistojnë në rastin e veçantë, si materiale ashtu edhe </w:t>
      </w:r>
      <w:proofErr w:type="spellStart"/>
      <w:r w:rsidRPr="00DD58C7">
        <w:rPr>
          <w:rFonts w:ascii="Garamond" w:eastAsiaTheme="minorHAnsi" w:hAnsi="Garamond"/>
          <w:color w:val="000000"/>
          <w:sz w:val="24"/>
          <w:szCs w:val="24"/>
          <w14:ligatures w14:val="standardContextual"/>
        </w:rPr>
        <w:t>jomateriale</w:t>
      </w:r>
      <w:proofErr w:type="spellEnd"/>
      <w:r w:rsidRPr="00DD58C7">
        <w:rPr>
          <w:rFonts w:ascii="Garamond" w:eastAsiaTheme="minorHAnsi" w:hAnsi="Garamond"/>
          <w:color w:val="000000"/>
          <w:sz w:val="24"/>
          <w:szCs w:val="24"/>
          <w14:ligatures w14:val="standardContextual"/>
        </w:rPr>
        <w:t xml:space="preserve"> (shih </w:t>
      </w:r>
      <w:proofErr w:type="spellStart"/>
      <w:r w:rsidRPr="00DD58C7">
        <w:rPr>
          <w:rFonts w:ascii="Garamond" w:eastAsiaTheme="minorHAnsi" w:hAnsi="Garamond"/>
          <w:i/>
          <w:iCs/>
          <w:color w:val="000000"/>
          <w:sz w:val="24"/>
          <w:szCs w:val="24"/>
          <w14:ligatures w14:val="standardContextual"/>
        </w:rPr>
        <w:t>Denisov</w:t>
      </w:r>
      <w:proofErr w:type="spellEnd"/>
      <w:r w:rsidRPr="00DD58C7">
        <w:rPr>
          <w:rFonts w:ascii="Garamond" w:eastAsiaTheme="minorHAnsi" w:hAnsi="Garamond"/>
          <w:color w:val="000000"/>
          <w:sz w:val="24"/>
          <w:szCs w:val="24"/>
          <w14:ligatures w14:val="standardContextual"/>
        </w:rPr>
        <w:t>, i cituar më sipër, §§ 116</w:t>
      </w:r>
      <w:r w:rsidR="008B33DC">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117).</w:t>
      </w:r>
    </w:p>
    <w:p w14:paraId="29ED87BF" w14:textId="2503E675"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31. Gjykata vlerëson se të dyja qasjet kanë lidhje me rastin aktual. Sa i përket arsyes për masën e kontestuar, ajo kishte të bënte me dënimin e kërkuesit 14 vjet para refuzimit të pranimit të tij në një program trajnimi që i mundësonte atij të ndiqte një karrierë si magjistrat (prokuror). Gjykata ka vendosur më parë se, ndërsa një dënim mbetet në të shkuarën, ai bëhet pjesë e jetës private të personit e cila duhet të respektohet (shih </w:t>
      </w:r>
      <w:r w:rsidRPr="00DD58C7">
        <w:rPr>
          <w:rFonts w:ascii="Garamond" w:eastAsiaTheme="minorHAnsi" w:hAnsi="Garamond"/>
          <w:i/>
          <w:iCs/>
          <w:color w:val="000000"/>
          <w:sz w:val="24"/>
          <w:szCs w:val="24"/>
          <w14:ligatures w14:val="standardContextual"/>
        </w:rPr>
        <w:t>M.</w:t>
      </w:r>
      <w:r w:rsidR="00187579">
        <w:rPr>
          <w:rFonts w:ascii="Garamond" w:eastAsiaTheme="minorHAnsi" w:hAnsi="Garamond"/>
          <w:i/>
          <w:iCs/>
          <w:color w:val="000000"/>
          <w:sz w:val="24"/>
          <w:szCs w:val="24"/>
          <w14:ligatures w14:val="standardContextual"/>
        </w:rPr>
        <w:t xml:space="preserve"> </w:t>
      </w:r>
      <w:r w:rsidRPr="00DD58C7">
        <w:rPr>
          <w:rFonts w:ascii="Garamond" w:eastAsiaTheme="minorHAnsi" w:hAnsi="Garamond"/>
          <w:i/>
          <w:iCs/>
          <w:color w:val="000000"/>
          <w:sz w:val="24"/>
          <w:szCs w:val="24"/>
          <w14:ligatures w14:val="standardContextual"/>
        </w:rPr>
        <w:t>M. kundër Mbretërisë së Bashkuar</w:t>
      </w:r>
      <w:r w:rsidRPr="00DD58C7">
        <w:rPr>
          <w:rFonts w:ascii="Garamond" w:eastAsiaTheme="minorHAnsi" w:hAnsi="Garamond"/>
          <w:color w:val="000000"/>
          <w:sz w:val="24"/>
          <w:szCs w:val="24"/>
          <w14:ligatures w14:val="standardContextual"/>
        </w:rPr>
        <w:t xml:space="preserve">, nr. 24029/07, § 188, 13 </w:t>
      </w:r>
      <w:r w:rsidR="00187579">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 xml:space="preserve">ëntor 2012, dhe </w:t>
      </w:r>
      <w:proofErr w:type="spellStart"/>
      <w:r w:rsidRPr="00DD58C7">
        <w:rPr>
          <w:rFonts w:ascii="Garamond" w:eastAsiaTheme="minorHAnsi" w:hAnsi="Garamond"/>
          <w:i/>
          <w:iCs/>
          <w:color w:val="000000"/>
          <w:sz w:val="24"/>
          <w:szCs w:val="24"/>
          <w14:ligatures w14:val="standardContextual"/>
        </w:rPr>
        <w:t>Rotaru</w:t>
      </w:r>
      <w:proofErr w:type="spellEnd"/>
      <w:r w:rsidRPr="00DD58C7">
        <w:rPr>
          <w:rFonts w:ascii="Garamond" w:eastAsiaTheme="minorHAnsi" w:hAnsi="Garamond"/>
          <w:i/>
          <w:iCs/>
          <w:color w:val="000000"/>
          <w:sz w:val="24"/>
          <w:szCs w:val="24"/>
          <w14:ligatures w14:val="standardContextual"/>
        </w:rPr>
        <w:t xml:space="preserve"> kundër Rumanisë</w:t>
      </w:r>
      <w:r w:rsidRPr="00DD58C7">
        <w:rPr>
          <w:rFonts w:ascii="Garamond" w:eastAsiaTheme="minorHAnsi" w:hAnsi="Garamond"/>
          <w:color w:val="000000"/>
          <w:sz w:val="24"/>
          <w:szCs w:val="24"/>
          <w14:ligatures w14:val="standardContextual"/>
        </w:rPr>
        <w:t xml:space="preserve"> [</w:t>
      </w:r>
      <w:proofErr w:type="spellStart"/>
      <w:r w:rsidRPr="00DD58C7">
        <w:rPr>
          <w:rFonts w:ascii="Garamond" w:eastAsiaTheme="minorHAnsi" w:hAnsi="Garamond"/>
          <w:color w:val="000000"/>
          <w:sz w:val="24"/>
          <w:szCs w:val="24"/>
          <w14:ligatures w14:val="standardContextual"/>
        </w:rPr>
        <w:t>DHM</w:t>
      </w:r>
      <w:proofErr w:type="spellEnd"/>
      <w:r w:rsidRPr="00DD58C7">
        <w:rPr>
          <w:rFonts w:ascii="Garamond" w:eastAsiaTheme="minorHAnsi" w:hAnsi="Garamond"/>
          <w:color w:val="000000"/>
          <w:sz w:val="24"/>
          <w:szCs w:val="24"/>
          <w14:ligatures w14:val="standardContextual"/>
        </w:rPr>
        <w:t>], nr. 28341/95, §§ 43</w:t>
      </w:r>
      <w:r w:rsidR="00187579">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44, </w:t>
      </w:r>
      <w:proofErr w:type="spellStart"/>
      <w:r w:rsidRPr="00DD58C7">
        <w:rPr>
          <w:rFonts w:ascii="Garamond" w:eastAsiaTheme="minorHAnsi" w:hAnsi="Garamond"/>
          <w:color w:val="000000"/>
          <w:sz w:val="24"/>
          <w:szCs w:val="24"/>
          <w14:ligatures w14:val="standardContextual"/>
        </w:rPr>
        <w:t>GJEDNJ</w:t>
      </w:r>
      <w:proofErr w:type="spellEnd"/>
      <w:r w:rsidRPr="00DD58C7">
        <w:rPr>
          <w:rFonts w:ascii="Garamond" w:eastAsiaTheme="minorHAnsi" w:hAnsi="Garamond"/>
          <w:color w:val="000000"/>
          <w:sz w:val="24"/>
          <w:szCs w:val="24"/>
          <w14:ligatures w14:val="standardContextual"/>
        </w:rPr>
        <w:t xml:space="preserve"> 2000-V). Është e vërtetë që vetë kërkuesi zbuloi informacion</w:t>
      </w:r>
      <w:r w:rsidR="00187579">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në lidhje me dënimin e tij në aplikimin e tij në Shkollën e Magjistraturës dhe në </w:t>
      </w:r>
      <w:proofErr w:type="spellStart"/>
      <w:r w:rsidRPr="00DD58C7">
        <w:rPr>
          <w:rFonts w:ascii="Garamond" w:eastAsiaTheme="minorHAnsi" w:hAnsi="Garamond"/>
          <w:color w:val="000000"/>
          <w:sz w:val="24"/>
          <w:szCs w:val="24"/>
          <w14:ligatures w14:val="standardContextual"/>
        </w:rPr>
        <w:t>vetëdeklarimin</w:t>
      </w:r>
      <w:proofErr w:type="spellEnd"/>
      <w:r w:rsidRPr="00DD58C7">
        <w:rPr>
          <w:rFonts w:ascii="Garamond" w:eastAsiaTheme="minorHAnsi" w:hAnsi="Garamond"/>
          <w:color w:val="000000"/>
          <w:sz w:val="24"/>
          <w:szCs w:val="24"/>
          <w14:ligatures w14:val="standardContextual"/>
        </w:rPr>
        <w:t xml:space="preserve"> e kërkuar për procesin e verifikimit të pranimit, në të cilin iu kërkuan detaje mbi historinë e tij të dënimit dhe ai i dha ato sipas kërkesës. Kërkuesi ishte i detyruar të zbulonte të dhëna të tilla plotësisht dhe me vërtetësi, duke iu nënshtruar një dënimi për dëshmi të rreme, sipas formularit të </w:t>
      </w:r>
      <w:proofErr w:type="spellStart"/>
      <w:r w:rsidRPr="00DD58C7">
        <w:rPr>
          <w:rFonts w:ascii="Garamond" w:eastAsiaTheme="minorHAnsi" w:hAnsi="Garamond"/>
          <w:color w:val="000000"/>
          <w:sz w:val="24"/>
          <w:szCs w:val="24"/>
          <w14:ligatures w14:val="standardContextual"/>
        </w:rPr>
        <w:t>vetëdeklarimit</w:t>
      </w:r>
      <w:proofErr w:type="spellEnd"/>
      <w:r w:rsidRPr="00DD58C7">
        <w:rPr>
          <w:rFonts w:ascii="Garamond" w:eastAsiaTheme="minorHAnsi" w:hAnsi="Garamond"/>
          <w:color w:val="000000"/>
          <w:sz w:val="24"/>
          <w:szCs w:val="24"/>
          <w14:ligatures w14:val="standardContextual"/>
        </w:rPr>
        <w:t xml:space="preserve"> të kërkuar nga Ligji i </w:t>
      </w:r>
      <w:proofErr w:type="spellStart"/>
      <w:r w:rsidRPr="00DD58C7">
        <w:rPr>
          <w:rFonts w:ascii="Garamond" w:eastAsiaTheme="minorHAnsi" w:hAnsi="Garamond"/>
          <w:color w:val="000000"/>
          <w:sz w:val="24"/>
          <w:szCs w:val="24"/>
          <w14:ligatures w14:val="standardContextual"/>
        </w:rPr>
        <w:t>Dekriminalizimit</w:t>
      </w:r>
      <w:proofErr w:type="spellEnd"/>
      <w:r w:rsidRPr="00DD58C7">
        <w:rPr>
          <w:rFonts w:ascii="Garamond" w:eastAsiaTheme="minorHAnsi" w:hAnsi="Garamond"/>
          <w:color w:val="000000"/>
          <w:sz w:val="24"/>
          <w:szCs w:val="24"/>
          <w14:ligatures w14:val="standardContextual"/>
        </w:rPr>
        <w:t xml:space="preserve"> dhe, me sa duket, pavarësisht nga rehabilitimi i tij (shih paragrafin 16 më sipër). Kjo, në çdo rast, nuk e privon atë nga mbrojtja e ofruar nga Konventa (shih </w:t>
      </w:r>
      <w:r w:rsidRPr="00DD58C7">
        <w:rPr>
          <w:rFonts w:ascii="Garamond" w:eastAsiaTheme="minorHAnsi" w:hAnsi="Garamond"/>
          <w:i/>
          <w:iCs/>
          <w:color w:val="000000"/>
          <w:sz w:val="24"/>
          <w:szCs w:val="24"/>
          <w14:ligatures w14:val="standardContextual"/>
        </w:rPr>
        <w:t>M.</w:t>
      </w:r>
      <w:r w:rsidR="00187579">
        <w:rPr>
          <w:rFonts w:ascii="Garamond" w:eastAsiaTheme="minorHAnsi" w:hAnsi="Garamond"/>
          <w:i/>
          <w:iCs/>
          <w:color w:val="000000"/>
          <w:sz w:val="24"/>
          <w:szCs w:val="24"/>
          <w14:ligatures w14:val="standardContextual"/>
        </w:rPr>
        <w:t xml:space="preserve"> </w:t>
      </w:r>
      <w:r w:rsidRPr="00DD58C7">
        <w:rPr>
          <w:rFonts w:ascii="Garamond" w:eastAsiaTheme="minorHAnsi" w:hAnsi="Garamond"/>
          <w:i/>
          <w:iCs/>
          <w:color w:val="000000"/>
          <w:sz w:val="24"/>
          <w:szCs w:val="24"/>
          <w14:ligatures w14:val="standardContextual"/>
        </w:rPr>
        <w:t>M. kundër Mbretërisë së Bashkuar</w:t>
      </w:r>
      <w:r w:rsidRPr="00DD58C7">
        <w:rPr>
          <w:rFonts w:ascii="Garamond" w:eastAsiaTheme="minorHAnsi" w:hAnsi="Garamond"/>
          <w:color w:val="000000"/>
          <w:sz w:val="24"/>
          <w:szCs w:val="24"/>
          <w14:ligatures w14:val="standardContextual"/>
        </w:rPr>
        <w:t>, cituar më sipër, § 189).</w:t>
      </w:r>
    </w:p>
    <w:p w14:paraId="6B93ACD5" w14:textId="3D9EF3E4"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32. Gjithashtu, kërkuesi e kreu veprën penale në fjalë në moshën 15 vjeç, kur ai konsiderohej i mitur sipas ligjit vendas dhe si fëmijë sipas Konventës së Kombeve të Bashkuara për të Drejtat e Fëmijëve </w:t>
      </w:r>
      <w:r w:rsidR="00187579">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të dy</w:t>
      </w:r>
      <w:r w:rsidR="00187579">
        <w:rPr>
          <w:rFonts w:ascii="Garamond" w:eastAsiaTheme="minorHAnsi" w:hAnsi="Garamond"/>
          <w:color w:val="000000"/>
          <w:sz w:val="24"/>
          <w:szCs w:val="24"/>
          <w14:ligatures w14:val="standardContextual"/>
        </w:rPr>
        <w:t>ja</w:t>
      </w:r>
      <w:r w:rsidRPr="00DD58C7">
        <w:rPr>
          <w:rFonts w:ascii="Garamond" w:eastAsiaTheme="minorHAnsi" w:hAnsi="Garamond"/>
          <w:color w:val="000000"/>
          <w:sz w:val="24"/>
          <w:szCs w:val="24"/>
          <w14:ligatures w14:val="standardContextual"/>
        </w:rPr>
        <w:t xml:space="preserve"> termat nënkuptojnë një person nën 18 vjeç (shih paragrafët 19 dhe 24 më sipër). Për këtë arsye, duke pasur parasysh moshën e tij në kohën përkatëse, ai nuk mund të konsiderohej si person me aftësi për të parashikuar plotësisht pasojat e veprimeve të tij (shih, </w:t>
      </w:r>
      <w:proofErr w:type="spellStart"/>
      <w:r w:rsidRPr="00DD58C7">
        <w:rPr>
          <w:rFonts w:ascii="Garamond" w:eastAsiaTheme="minorHAnsi" w:hAnsi="Garamond"/>
          <w:i/>
          <w:iCs/>
          <w:color w:val="000000"/>
          <w:sz w:val="24"/>
          <w:szCs w:val="24"/>
          <w14:ligatures w14:val="standardContextual"/>
        </w:rPr>
        <w:t>mutatis</w:t>
      </w:r>
      <w:proofErr w:type="spellEnd"/>
      <w:r w:rsidRPr="00DD58C7">
        <w:rPr>
          <w:rFonts w:ascii="Garamond" w:eastAsiaTheme="minorHAnsi" w:hAnsi="Garamond"/>
          <w:i/>
          <w:iCs/>
          <w:color w:val="000000"/>
          <w:sz w:val="24"/>
          <w:szCs w:val="24"/>
          <w14:ligatures w14:val="standardContextual"/>
        </w:rPr>
        <w:t xml:space="preserve"> </w:t>
      </w:r>
      <w:proofErr w:type="spellStart"/>
      <w:r w:rsidRPr="00DD58C7">
        <w:rPr>
          <w:rFonts w:ascii="Garamond" w:eastAsiaTheme="minorHAnsi" w:hAnsi="Garamond"/>
          <w:i/>
          <w:iCs/>
          <w:color w:val="000000"/>
          <w:sz w:val="24"/>
          <w:szCs w:val="24"/>
          <w14:ligatures w14:val="standardContextual"/>
        </w:rPr>
        <w:t>mutandis</w:t>
      </w:r>
      <w:proofErr w:type="spellEnd"/>
      <w:r w:rsidRPr="00DD58C7">
        <w:rPr>
          <w:rFonts w:ascii="Garamond" w:eastAsiaTheme="minorHAnsi" w:hAnsi="Garamond"/>
          <w:i/>
          <w:iCs/>
          <w:color w:val="000000"/>
          <w:sz w:val="24"/>
          <w:szCs w:val="24"/>
          <w14:ligatures w14:val="standardContextual"/>
        </w:rPr>
        <w:t>, F.</w:t>
      </w:r>
      <w:r w:rsidR="00187579">
        <w:rPr>
          <w:rFonts w:ascii="Garamond" w:eastAsiaTheme="minorHAnsi" w:hAnsi="Garamond"/>
          <w:i/>
          <w:iCs/>
          <w:color w:val="000000"/>
          <w:sz w:val="24"/>
          <w:szCs w:val="24"/>
          <w14:ligatures w14:val="standardContextual"/>
        </w:rPr>
        <w:t xml:space="preserve"> </w:t>
      </w:r>
      <w:r w:rsidRPr="00DD58C7">
        <w:rPr>
          <w:rFonts w:ascii="Garamond" w:eastAsiaTheme="minorHAnsi" w:hAnsi="Garamond"/>
          <w:i/>
          <w:iCs/>
          <w:color w:val="000000"/>
          <w:sz w:val="24"/>
          <w:szCs w:val="24"/>
          <w14:ligatures w14:val="standardContextual"/>
        </w:rPr>
        <w:t>M. dhe të tjerë kundër Rusisë</w:t>
      </w:r>
      <w:r w:rsidRPr="00DD58C7">
        <w:rPr>
          <w:rFonts w:ascii="Garamond" w:eastAsiaTheme="minorHAnsi" w:hAnsi="Garamond"/>
          <w:color w:val="000000"/>
          <w:sz w:val="24"/>
          <w:szCs w:val="24"/>
          <w14:ligatures w14:val="standardContextual"/>
        </w:rPr>
        <w:t xml:space="preserve">, nr. 71671/16 dhe 40190/18, §§ 284, 181 dhe 175, 10 </w:t>
      </w:r>
      <w:r w:rsidR="00187579">
        <w:rPr>
          <w:rFonts w:ascii="Garamond" w:eastAsiaTheme="minorHAnsi" w:hAnsi="Garamond"/>
          <w:color w:val="000000"/>
          <w:sz w:val="24"/>
          <w:szCs w:val="24"/>
          <w14:ligatures w14:val="standardContextual"/>
        </w:rPr>
        <w:t>d</w:t>
      </w:r>
      <w:r w:rsidRPr="00DD58C7">
        <w:rPr>
          <w:rFonts w:ascii="Garamond" w:eastAsiaTheme="minorHAnsi" w:hAnsi="Garamond"/>
          <w:color w:val="000000"/>
          <w:sz w:val="24"/>
          <w:szCs w:val="24"/>
          <w14:ligatures w14:val="standardContextual"/>
        </w:rPr>
        <w:t>hjetor 2024</w:t>
      </w:r>
      <w:r w:rsidR="00187579">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në lidhje me aftësinë e fëmijëve për të dhënë pëlqimin).</w:t>
      </w:r>
    </w:p>
    <w:p w14:paraId="3D99912C" w14:textId="2FC3814D"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lastRenderedPageBreak/>
        <w:t xml:space="preserve">33. Lidhur me pasojën e masës së kontestuar, ajo e pengoi përgjithmonë kërkuesin të ndiqte një karrierë si magjistrat, konkretisht si prokuror (shih, </w:t>
      </w:r>
      <w:proofErr w:type="spellStart"/>
      <w:r w:rsidRPr="00DD58C7">
        <w:rPr>
          <w:rFonts w:ascii="Garamond" w:eastAsiaTheme="minorHAnsi" w:hAnsi="Garamond"/>
          <w:i/>
          <w:iCs/>
          <w:color w:val="000000"/>
          <w:sz w:val="24"/>
          <w:szCs w:val="24"/>
          <w14:ligatures w14:val="standardContextual"/>
        </w:rPr>
        <w:t>mutatis</w:t>
      </w:r>
      <w:proofErr w:type="spellEnd"/>
      <w:r w:rsidRPr="00DD58C7">
        <w:rPr>
          <w:rFonts w:ascii="Garamond" w:eastAsiaTheme="minorHAnsi" w:hAnsi="Garamond"/>
          <w:i/>
          <w:iCs/>
          <w:color w:val="000000"/>
          <w:sz w:val="24"/>
          <w:szCs w:val="24"/>
          <w14:ligatures w14:val="standardContextual"/>
        </w:rPr>
        <w:t xml:space="preserve"> </w:t>
      </w:r>
      <w:proofErr w:type="spellStart"/>
      <w:r w:rsidRPr="00DD58C7">
        <w:rPr>
          <w:rFonts w:ascii="Garamond" w:eastAsiaTheme="minorHAnsi" w:hAnsi="Garamond"/>
          <w:i/>
          <w:iCs/>
          <w:color w:val="000000"/>
          <w:sz w:val="24"/>
          <w:szCs w:val="24"/>
          <w14:ligatures w14:val="standardContextual"/>
        </w:rPr>
        <w:t>mutandis</w:t>
      </w:r>
      <w:proofErr w:type="spellEnd"/>
      <w:r w:rsidRPr="00DD58C7">
        <w:rPr>
          <w:rFonts w:ascii="Garamond" w:eastAsiaTheme="minorHAnsi" w:hAnsi="Garamond"/>
          <w:i/>
          <w:iCs/>
          <w:color w:val="000000"/>
          <w:sz w:val="24"/>
          <w:szCs w:val="24"/>
          <w14:ligatures w14:val="standardContextual"/>
        </w:rPr>
        <w:t xml:space="preserve">, </w:t>
      </w:r>
      <w:proofErr w:type="spellStart"/>
      <w:r w:rsidRPr="00DD58C7">
        <w:rPr>
          <w:rFonts w:ascii="Garamond" w:eastAsiaTheme="minorHAnsi" w:hAnsi="Garamond"/>
          <w:i/>
          <w:iCs/>
          <w:color w:val="000000"/>
          <w:sz w:val="24"/>
          <w:szCs w:val="24"/>
          <w14:ligatures w14:val="standardContextual"/>
        </w:rPr>
        <w:t>Farhad</w:t>
      </w:r>
      <w:proofErr w:type="spellEnd"/>
      <w:r w:rsidRPr="00DD58C7">
        <w:rPr>
          <w:rFonts w:ascii="Garamond" w:eastAsiaTheme="minorHAnsi" w:hAnsi="Garamond"/>
          <w:i/>
          <w:iCs/>
          <w:color w:val="000000"/>
          <w:sz w:val="24"/>
          <w:szCs w:val="24"/>
          <w14:ligatures w14:val="standardContextual"/>
        </w:rPr>
        <w:t xml:space="preserve"> </w:t>
      </w:r>
      <w:proofErr w:type="spellStart"/>
      <w:r w:rsidRPr="00DD58C7">
        <w:rPr>
          <w:rFonts w:ascii="Garamond" w:eastAsiaTheme="minorHAnsi" w:hAnsi="Garamond"/>
          <w:i/>
          <w:iCs/>
          <w:color w:val="000000"/>
          <w:sz w:val="24"/>
          <w:szCs w:val="24"/>
          <w14:ligatures w14:val="standardContextual"/>
        </w:rPr>
        <w:t>Mehdiyev</w:t>
      </w:r>
      <w:proofErr w:type="spellEnd"/>
      <w:r w:rsidRPr="00DD58C7">
        <w:rPr>
          <w:rFonts w:ascii="Garamond" w:eastAsiaTheme="minorHAnsi" w:hAnsi="Garamond"/>
          <w:i/>
          <w:iCs/>
          <w:color w:val="000000"/>
          <w:sz w:val="24"/>
          <w:szCs w:val="24"/>
          <w14:ligatures w14:val="standardContextual"/>
        </w:rPr>
        <w:t xml:space="preserve"> kundër Azerbajxhanit</w:t>
      </w:r>
      <w:r w:rsidRPr="00DD58C7">
        <w:rPr>
          <w:rFonts w:ascii="Garamond" w:eastAsiaTheme="minorHAnsi" w:hAnsi="Garamond"/>
          <w:color w:val="000000"/>
          <w:sz w:val="24"/>
          <w:szCs w:val="24"/>
          <w14:ligatures w14:val="standardContextual"/>
        </w:rPr>
        <w:t xml:space="preserve">, nr. 36057/18, § 39, 18 </w:t>
      </w:r>
      <w:r w:rsidR="00187579">
        <w:rPr>
          <w:rFonts w:ascii="Garamond" w:eastAsiaTheme="minorHAnsi" w:hAnsi="Garamond"/>
          <w:color w:val="000000"/>
          <w:sz w:val="24"/>
          <w:szCs w:val="24"/>
          <w14:ligatures w14:val="standardContextual"/>
        </w:rPr>
        <w:t>m</w:t>
      </w:r>
      <w:r w:rsidRPr="00DD58C7">
        <w:rPr>
          <w:rFonts w:ascii="Garamond" w:eastAsiaTheme="minorHAnsi" w:hAnsi="Garamond"/>
          <w:color w:val="000000"/>
          <w:sz w:val="24"/>
          <w:szCs w:val="24"/>
          <w14:ligatures w14:val="standardContextual"/>
        </w:rPr>
        <w:t xml:space="preserve">ars 2025; krahaso dhe bëj dallimin në </w:t>
      </w:r>
      <w:proofErr w:type="spellStart"/>
      <w:r w:rsidRPr="00DD58C7">
        <w:rPr>
          <w:rFonts w:ascii="Garamond" w:eastAsiaTheme="minorHAnsi" w:hAnsi="Garamond"/>
          <w:i/>
          <w:iCs/>
          <w:color w:val="000000"/>
          <w:sz w:val="24"/>
          <w:szCs w:val="24"/>
          <w14:ligatures w14:val="standardContextual"/>
        </w:rPr>
        <w:t>Ballıktaş</w:t>
      </w:r>
      <w:proofErr w:type="spellEnd"/>
      <w:r w:rsidRPr="00DD58C7">
        <w:rPr>
          <w:rFonts w:ascii="Garamond" w:eastAsiaTheme="minorHAnsi" w:hAnsi="Garamond"/>
          <w:i/>
          <w:iCs/>
          <w:color w:val="000000"/>
          <w:sz w:val="24"/>
          <w:szCs w:val="24"/>
          <w14:ligatures w14:val="standardContextual"/>
        </w:rPr>
        <w:t xml:space="preserve"> </w:t>
      </w:r>
      <w:proofErr w:type="spellStart"/>
      <w:r w:rsidRPr="00DD58C7">
        <w:rPr>
          <w:rFonts w:ascii="Garamond" w:eastAsiaTheme="minorHAnsi" w:hAnsi="Garamond"/>
          <w:i/>
          <w:iCs/>
          <w:color w:val="000000"/>
          <w:sz w:val="24"/>
          <w:szCs w:val="24"/>
          <w14:ligatures w14:val="standardContextual"/>
        </w:rPr>
        <w:t>Bingöllü</w:t>
      </w:r>
      <w:proofErr w:type="spellEnd"/>
      <w:r w:rsidRPr="00DD58C7">
        <w:rPr>
          <w:rFonts w:ascii="Garamond" w:eastAsiaTheme="minorHAnsi" w:hAnsi="Garamond"/>
          <w:color w:val="000000"/>
          <w:sz w:val="24"/>
          <w:szCs w:val="24"/>
          <w14:ligatures w14:val="standardContextual"/>
        </w:rPr>
        <w:t xml:space="preserve"> kundër Turqisë, nr. 76730/12, § 60, 22 </w:t>
      </w:r>
      <w:r w:rsidR="00187579">
        <w:rPr>
          <w:rFonts w:ascii="Garamond" w:eastAsiaTheme="minorHAnsi" w:hAnsi="Garamond"/>
          <w:color w:val="000000"/>
          <w:sz w:val="24"/>
          <w:szCs w:val="24"/>
          <w14:ligatures w14:val="standardContextual"/>
        </w:rPr>
        <w:t>q</w:t>
      </w:r>
      <w:r w:rsidRPr="00DD58C7">
        <w:rPr>
          <w:rFonts w:ascii="Garamond" w:eastAsiaTheme="minorHAnsi" w:hAnsi="Garamond"/>
          <w:color w:val="000000"/>
          <w:sz w:val="24"/>
          <w:szCs w:val="24"/>
          <w14:ligatures w14:val="standardContextual"/>
        </w:rPr>
        <w:t xml:space="preserve">ershor 2021, dhe </w:t>
      </w:r>
      <w:proofErr w:type="spellStart"/>
      <w:r w:rsidRPr="00DD58C7">
        <w:rPr>
          <w:rFonts w:ascii="Garamond" w:eastAsiaTheme="minorHAnsi" w:hAnsi="Garamond"/>
          <w:i/>
          <w:iCs/>
          <w:color w:val="000000"/>
          <w:sz w:val="24"/>
          <w:szCs w:val="24"/>
          <w14:ligatures w14:val="standardContextual"/>
        </w:rPr>
        <w:t>Angerjärv</w:t>
      </w:r>
      <w:proofErr w:type="spellEnd"/>
      <w:r w:rsidRPr="00DD58C7">
        <w:rPr>
          <w:rFonts w:ascii="Garamond" w:eastAsiaTheme="minorHAnsi" w:hAnsi="Garamond"/>
          <w:i/>
          <w:iCs/>
          <w:color w:val="000000"/>
          <w:sz w:val="24"/>
          <w:szCs w:val="24"/>
          <w14:ligatures w14:val="standardContextual"/>
        </w:rPr>
        <w:t xml:space="preserve"> dhe </w:t>
      </w:r>
      <w:proofErr w:type="spellStart"/>
      <w:r w:rsidRPr="00DD58C7">
        <w:rPr>
          <w:rFonts w:ascii="Garamond" w:eastAsiaTheme="minorHAnsi" w:hAnsi="Garamond"/>
          <w:i/>
          <w:iCs/>
          <w:color w:val="000000"/>
          <w:sz w:val="24"/>
          <w:szCs w:val="24"/>
          <w14:ligatures w14:val="standardContextual"/>
        </w:rPr>
        <w:t>Greinoman</w:t>
      </w:r>
      <w:proofErr w:type="spellEnd"/>
      <w:r w:rsidRPr="00DD58C7">
        <w:rPr>
          <w:rFonts w:ascii="Garamond" w:eastAsiaTheme="minorHAnsi" w:hAnsi="Garamond"/>
          <w:i/>
          <w:iCs/>
          <w:color w:val="000000"/>
          <w:sz w:val="24"/>
          <w:szCs w:val="24"/>
          <w14:ligatures w14:val="standardContextual"/>
        </w:rPr>
        <w:t xml:space="preserve"> kundër </w:t>
      </w:r>
      <w:proofErr w:type="spellStart"/>
      <w:r w:rsidRPr="00DD58C7">
        <w:rPr>
          <w:rFonts w:ascii="Garamond" w:eastAsiaTheme="minorHAnsi" w:hAnsi="Garamond"/>
          <w:i/>
          <w:iCs/>
          <w:color w:val="000000"/>
          <w:sz w:val="24"/>
          <w:szCs w:val="24"/>
          <w14:ligatures w14:val="standardContextual"/>
        </w:rPr>
        <w:t>Estonisë</w:t>
      </w:r>
      <w:proofErr w:type="spellEnd"/>
      <w:r w:rsidRPr="00DD58C7">
        <w:rPr>
          <w:rFonts w:ascii="Garamond" w:eastAsiaTheme="minorHAnsi" w:hAnsi="Garamond"/>
          <w:color w:val="000000"/>
          <w:sz w:val="24"/>
          <w:szCs w:val="24"/>
          <w14:ligatures w14:val="standardContextual"/>
        </w:rPr>
        <w:t xml:space="preserve">, nr. 16358/18 dhe 34964/18, § 125, 4 </w:t>
      </w:r>
      <w:r w:rsidR="00187579">
        <w:rPr>
          <w:rFonts w:ascii="Garamond" w:eastAsiaTheme="minorHAnsi" w:hAnsi="Garamond"/>
          <w:color w:val="000000"/>
          <w:sz w:val="24"/>
          <w:szCs w:val="24"/>
          <w14:ligatures w14:val="standardContextual"/>
        </w:rPr>
        <w:t>t</w:t>
      </w:r>
      <w:r w:rsidRPr="00DD58C7">
        <w:rPr>
          <w:rFonts w:ascii="Garamond" w:eastAsiaTheme="minorHAnsi" w:hAnsi="Garamond"/>
          <w:color w:val="000000"/>
          <w:sz w:val="24"/>
          <w:szCs w:val="24"/>
          <w14:ligatures w14:val="standardContextual"/>
        </w:rPr>
        <w:t xml:space="preserve">etor 2022; krahaso dhe bëj dallimin edhe me </w:t>
      </w:r>
      <w:r w:rsidRPr="00DD58C7">
        <w:rPr>
          <w:rFonts w:ascii="Garamond" w:eastAsiaTheme="minorHAnsi" w:hAnsi="Garamond"/>
          <w:i/>
          <w:iCs/>
          <w:color w:val="000000"/>
          <w:sz w:val="24"/>
          <w:szCs w:val="24"/>
          <w14:ligatures w14:val="standardContextual"/>
        </w:rPr>
        <w:t>Bala kundër Shqipërisë</w:t>
      </w:r>
      <w:r w:rsidRPr="00DD58C7">
        <w:rPr>
          <w:rFonts w:ascii="Garamond" w:eastAsiaTheme="minorHAnsi" w:hAnsi="Garamond"/>
          <w:color w:val="000000"/>
          <w:sz w:val="24"/>
          <w:szCs w:val="24"/>
          <w14:ligatures w14:val="standardContextual"/>
        </w:rPr>
        <w:t xml:space="preserve"> (vendim), nr. 21141/20, §§ 60</w:t>
      </w:r>
      <w:r w:rsidR="00187579">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66, 9 </w:t>
      </w:r>
      <w:r w:rsidR="00187579">
        <w:rPr>
          <w:rFonts w:ascii="Garamond" w:eastAsiaTheme="minorHAnsi" w:hAnsi="Garamond"/>
          <w:color w:val="000000"/>
          <w:sz w:val="24"/>
          <w:szCs w:val="24"/>
          <w14:ligatures w14:val="standardContextual"/>
        </w:rPr>
        <w:t>p</w:t>
      </w:r>
      <w:r w:rsidRPr="00DD58C7">
        <w:rPr>
          <w:rFonts w:ascii="Garamond" w:eastAsiaTheme="minorHAnsi" w:hAnsi="Garamond"/>
          <w:color w:val="000000"/>
          <w:sz w:val="24"/>
          <w:szCs w:val="24"/>
          <w14:ligatures w14:val="standardContextual"/>
        </w:rPr>
        <w:t xml:space="preserve">rill 2024, i cili kishte të bënte me </w:t>
      </w:r>
      <w:proofErr w:type="spellStart"/>
      <w:r w:rsidRPr="00DD58C7">
        <w:rPr>
          <w:rFonts w:ascii="Garamond" w:eastAsiaTheme="minorHAnsi" w:hAnsi="Garamond"/>
          <w:color w:val="000000"/>
          <w:sz w:val="24"/>
          <w:szCs w:val="24"/>
          <w14:ligatures w14:val="standardContextual"/>
        </w:rPr>
        <w:t>aksesin</w:t>
      </w:r>
      <w:proofErr w:type="spellEnd"/>
      <w:r w:rsidRPr="00DD58C7">
        <w:rPr>
          <w:rFonts w:ascii="Garamond" w:eastAsiaTheme="minorHAnsi" w:hAnsi="Garamond"/>
          <w:color w:val="000000"/>
          <w:sz w:val="24"/>
          <w:szCs w:val="24"/>
          <w14:ligatures w14:val="standardContextual"/>
        </w:rPr>
        <w:t xml:space="preserve"> në një numër të vogël pozicionesh të nivelit të lartë në sektorin e drejtësisë). Masa nënkuptonte</w:t>
      </w:r>
      <w:r w:rsidR="00187579">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gjithashtu</w:t>
      </w:r>
      <w:r w:rsidR="00187579">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se ai potencialisht ishte i ndaluar nga një gamë e tërë rrugësh karriere përtej asaj të prokurorit ose gjyqtarit, në veçanti pozicione si asistent ligjor, këshilltar ligjor në gjykatat e larta dhe Avokat i Shtetit, role për të cilat trajnimi në Shkollën e Magjistraturës i ofronte </w:t>
      </w:r>
      <w:proofErr w:type="spellStart"/>
      <w:r w:rsidRPr="00DD58C7">
        <w:rPr>
          <w:rFonts w:ascii="Garamond" w:eastAsiaTheme="minorHAnsi" w:hAnsi="Garamond"/>
          <w:color w:val="000000"/>
          <w:sz w:val="24"/>
          <w:szCs w:val="24"/>
          <w14:ligatures w14:val="standardContextual"/>
        </w:rPr>
        <w:t>akses</w:t>
      </w:r>
      <w:proofErr w:type="spellEnd"/>
      <w:r w:rsidRPr="00DD58C7">
        <w:rPr>
          <w:rFonts w:ascii="Garamond" w:eastAsiaTheme="minorHAnsi" w:hAnsi="Garamond"/>
          <w:color w:val="000000"/>
          <w:sz w:val="24"/>
          <w:szCs w:val="24"/>
          <w14:ligatures w14:val="standardContextual"/>
        </w:rPr>
        <w:t xml:space="preserve"> (shih paragrafin 15 më sipër).</w:t>
      </w:r>
    </w:p>
    <w:p w14:paraId="116DA267" w14:textId="3A1A902D"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34. Gjykata ka konstatuar se një kufizim në </w:t>
      </w:r>
      <w:proofErr w:type="spellStart"/>
      <w:r w:rsidRPr="00DD58C7">
        <w:rPr>
          <w:rFonts w:ascii="Garamond" w:eastAsiaTheme="minorHAnsi" w:hAnsi="Garamond"/>
          <w:color w:val="000000"/>
          <w:sz w:val="24"/>
          <w:szCs w:val="24"/>
          <w14:ligatures w14:val="standardContextual"/>
        </w:rPr>
        <w:t>aksesin</w:t>
      </w:r>
      <w:proofErr w:type="spellEnd"/>
      <w:r w:rsidRPr="00DD58C7">
        <w:rPr>
          <w:rFonts w:ascii="Garamond" w:eastAsiaTheme="minorHAnsi" w:hAnsi="Garamond"/>
          <w:color w:val="000000"/>
          <w:sz w:val="24"/>
          <w:szCs w:val="24"/>
          <w14:ligatures w14:val="standardContextual"/>
        </w:rPr>
        <w:t xml:space="preserve"> në pozicione që i shërbejnë interesit publik mund të ndikojë në gëzimin e së drejtës për respektimin e “jetës private” brenda interpretimit të </w:t>
      </w:r>
      <w:r w:rsidR="00187579">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 xml:space="preserve">enit 8, për aq sa e pengon individin në fjalë të ndjekë një profesion që korrespondon me kualifikimet e tij ose të saj profesionale (shih </w:t>
      </w:r>
      <w:proofErr w:type="spellStart"/>
      <w:r w:rsidRPr="00DD58C7">
        <w:rPr>
          <w:rFonts w:ascii="Garamond" w:eastAsiaTheme="minorHAnsi" w:hAnsi="Garamond"/>
          <w:i/>
          <w:iCs/>
          <w:color w:val="000000"/>
          <w:sz w:val="24"/>
          <w:szCs w:val="24"/>
          <w14:ligatures w14:val="standardContextual"/>
        </w:rPr>
        <w:t>Naidin</w:t>
      </w:r>
      <w:proofErr w:type="spellEnd"/>
      <w:r w:rsidRPr="00DD58C7">
        <w:rPr>
          <w:rFonts w:ascii="Garamond" w:eastAsiaTheme="minorHAnsi" w:hAnsi="Garamond"/>
          <w:i/>
          <w:iCs/>
          <w:color w:val="000000"/>
          <w:sz w:val="24"/>
          <w:szCs w:val="24"/>
          <w14:ligatures w14:val="standardContextual"/>
        </w:rPr>
        <w:t xml:space="preserve"> kundër Rumanisë</w:t>
      </w:r>
      <w:r w:rsidRPr="00DD58C7">
        <w:rPr>
          <w:rFonts w:ascii="Garamond" w:eastAsiaTheme="minorHAnsi" w:hAnsi="Garamond"/>
          <w:color w:val="000000"/>
          <w:sz w:val="24"/>
          <w:szCs w:val="24"/>
          <w14:ligatures w14:val="standardContextual"/>
        </w:rPr>
        <w:t xml:space="preserve">, nr. 38162/07, § 32, 21 </w:t>
      </w:r>
      <w:r w:rsidR="00187579">
        <w:rPr>
          <w:rFonts w:ascii="Garamond" w:eastAsiaTheme="minorHAnsi" w:hAnsi="Garamond"/>
          <w:color w:val="000000"/>
          <w:sz w:val="24"/>
          <w:szCs w:val="24"/>
          <w14:ligatures w14:val="standardContextual"/>
        </w:rPr>
        <w:t>t</w:t>
      </w:r>
      <w:r w:rsidRPr="00DD58C7">
        <w:rPr>
          <w:rFonts w:ascii="Garamond" w:eastAsiaTheme="minorHAnsi" w:hAnsi="Garamond"/>
          <w:color w:val="000000"/>
          <w:sz w:val="24"/>
          <w:szCs w:val="24"/>
          <w14:ligatures w14:val="standardContextual"/>
        </w:rPr>
        <w:t xml:space="preserve">etor 2014, në të cilin </w:t>
      </w:r>
      <w:r w:rsidR="00187579">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eni 8 u gjet i zbatueshëm).</w:t>
      </w:r>
    </w:p>
    <w:p w14:paraId="562C797A" w14:textId="7AB5DFFD"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35. Në përgjithësi, gjatë shqyrtimit të rasteve të </w:t>
      </w:r>
      <w:r w:rsidR="00187579">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enit 8 që kanë të bëjnë me profesionet juridike dhe profesione të tjera, Gjykata ka vendosur se kufizimet ligjore</w:t>
      </w:r>
      <w:r w:rsidR="00187579">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në lidhje me personat e deklaruar të dështuar në ushtrimin e aktiviteteve të tyre profesionale dhe të drejtave civile, në veçanti për të mos u regjistruar si anëtarë të profesioneve të caktuara, siç është avokati ose noteri, preknin mundësitë e kërkueseve për të zhvilluar marrëdhënie me botën e jashtme dhe padyshim janë brenda sferës së jetës private, duke e bërë </w:t>
      </w:r>
      <w:r w:rsidR="00187579">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 xml:space="preserve">enin 8 të zbatueshëm (shih </w:t>
      </w:r>
      <w:proofErr w:type="spellStart"/>
      <w:r w:rsidRPr="00DD58C7">
        <w:rPr>
          <w:rFonts w:ascii="Garamond" w:eastAsiaTheme="minorHAnsi" w:hAnsi="Garamond"/>
          <w:i/>
          <w:iCs/>
          <w:color w:val="000000"/>
          <w:sz w:val="24"/>
          <w:szCs w:val="24"/>
          <w14:ligatures w14:val="standardContextual"/>
        </w:rPr>
        <w:t>Campagnano</w:t>
      </w:r>
      <w:proofErr w:type="spellEnd"/>
      <w:r w:rsidRPr="00DD58C7">
        <w:rPr>
          <w:rFonts w:ascii="Garamond" w:eastAsiaTheme="minorHAnsi" w:hAnsi="Garamond"/>
          <w:i/>
          <w:iCs/>
          <w:color w:val="000000"/>
          <w:sz w:val="24"/>
          <w:szCs w:val="24"/>
          <w14:ligatures w14:val="standardContextual"/>
        </w:rPr>
        <w:t xml:space="preserve"> kundër Italisë</w:t>
      </w:r>
      <w:r w:rsidRPr="00DD58C7">
        <w:rPr>
          <w:rFonts w:ascii="Garamond" w:eastAsiaTheme="minorHAnsi" w:hAnsi="Garamond"/>
          <w:color w:val="000000"/>
          <w:sz w:val="24"/>
          <w:szCs w:val="24"/>
          <w14:ligatures w14:val="standardContextual"/>
        </w:rPr>
        <w:t xml:space="preserve">, nr. 77955/01, § 54, </w:t>
      </w:r>
      <w:proofErr w:type="spellStart"/>
      <w:r w:rsidRPr="00DD58C7">
        <w:rPr>
          <w:rFonts w:ascii="Garamond" w:eastAsiaTheme="minorHAnsi" w:hAnsi="Garamond"/>
          <w:color w:val="000000"/>
          <w:sz w:val="24"/>
          <w:szCs w:val="24"/>
          <w14:ligatures w14:val="standardContextual"/>
        </w:rPr>
        <w:t>GJEDNJ</w:t>
      </w:r>
      <w:proofErr w:type="spellEnd"/>
      <w:r w:rsidRPr="00DD58C7">
        <w:rPr>
          <w:rFonts w:ascii="Garamond" w:eastAsiaTheme="minorHAnsi" w:hAnsi="Garamond"/>
          <w:color w:val="000000"/>
          <w:sz w:val="24"/>
          <w:szCs w:val="24"/>
          <w14:ligatures w14:val="standardContextual"/>
        </w:rPr>
        <w:t xml:space="preserve"> 2006-IV). Një ndalim i gjerë për punësimin në sektorin privat është konstatuar</w:t>
      </w:r>
      <w:r w:rsidR="00187579">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gjithashtu</w:t>
      </w:r>
      <w:r w:rsidR="00187579">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se ndikon në “jetën private” (shih </w:t>
      </w:r>
      <w:proofErr w:type="spellStart"/>
      <w:r w:rsidRPr="00DD58C7">
        <w:rPr>
          <w:rFonts w:ascii="Garamond" w:eastAsiaTheme="minorHAnsi" w:hAnsi="Garamond"/>
          <w:i/>
          <w:iCs/>
          <w:color w:val="000000"/>
          <w:sz w:val="24"/>
          <w:szCs w:val="24"/>
          <w14:ligatures w14:val="standardContextual"/>
        </w:rPr>
        <w:t>Sidabras</w:t>
      </w:r>
      <w:proofErr w:type="spellEnd"/>
      <w:r w:rsidRPr="00DD58C7">
        <w:rPr>
          <w:rFonts w:ascii="Garamond" w:eastAsiaTheme="minorHAnsi" w:hAnsi="Garamond"/>
          <w:i/>
          <w:iCs/>
          <w:color w:val="000000"/>
          <w:sz w:val="24"/>
          <w:szCs w:val="24"/>
          <w14:ligatures w14:val="standardContextual"/>
        </w:rPr>
        <w:t xml:space="preserve"> dhe </w:t>
      </w:r>
      <w:proofErr w:type="spellStart"/>
      <w:r w:rsidRPr="00DD58C7">
        <w:rPr>
          <w:rFonts w:ascii="Garamond" w:eastAsiaTheme="minorHAnsi" w:hAnsi="Garamond"/>
          <w:i/>
          <w:iCs/>
          <w:color w:val="000000"/>
          <w:sz w:val="24"/>
          <w:szCs w:val="24"/>
          <w14:ligatures w14:val="standardContextual"/>
        </w:rPr>
        <w:t>Džiautas</w:t>
      </w:r>
      <w:proofErr w:type="spellEnd"/>
      <w:r w:rsidRPr="00DD58C7">
        <w:rPr>
          <w:rFonts w:ascii="Garamond" w:eastAsiaTheme="minorHAnsi" w:hAnsi="Garamond"/>
          <w:i/>
          <w:iCs/>
          <w:color w:val="000000"/>
          <w:sz w:val="24"/>
          <w:szCs w:val="24"/>
          <w14:ligatures w14:val="standardContextual"/>
        </w:rPr>
        <w:t xml:space="preserve"> kundër Lituanisë</w:t>
      </w:r>
      <w:r w:rsidRPr="00DD58C7">
        <w:rPr>
          <w:rFonts w:ascii="Garamond" w:eastAsiaTheme="minorHAnsi" w:hAnsi="Garamond"/>
          <w:color w:val="000000"/>
          <w:sz w:val="24"/>
          <w:szCs w:val="24"/>
          <w14:ligatures w14:val="standardContextual"/>
        </w:rPr>
        <w:t>, nr. 55480/00</w:t>
      </w:r>
      <w:r w:rsidR="00B374C8">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 xml:space="preserve">dhe 59330/00, § 47, </w:t>
      </w:r>
      <w:proofErr w:type="spellStart"/>
      <w:r w:rsidRPr="00DD58C7">
        <w:rPr>
          <w:rFonts w:ascii="Garamond" w:eastAsiaTheme="minorHAnsi" w:hAnsi="Garamond"/>
          <w:color w:val="000000"/>
          <w:sz w:val="24"/>
          <w:szCs w:val="24"/>
          <w14:ligatures w14:val="standardContextual"/>
        </w:rPr>
        <w:t>GJEDNJ</w:t>
      </w:r>
      <w:proofErr w:type="spellEnd"/>
      <w:r w:rsidRPr="00DD58C7">
        <w:rPr>
          <w:rFonts w:ascii="Garamond" w:eastAsiaTheme="minorHAnsi" w:hAnsi="Garamond"/>
          <w:color w:val="000000"/>
          <w:sz w:val="24"/>
          <w:szCs w:val="24"/>
          <w14:ligatures w14:val="standardContextual"/>
        </w:rPr>
        <w:t xml:space="preserve"> 2004-VIII). </w:t>
      </w:r>
    </w:p>
    <w:p w14:paraId="5F97F1CD" w14:textId="3CD5404F"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36. Bllokimi i </w:t>
      </w:r>
      <w:proofErr w:type="spellStart"/>
      <w:r w:rsidRPr="00DD58C7">
        <w:rPr>
          <w:rFonts w:ascii="Garamond" w:eastAsiaTheme="minorHAnsi" w:hAnsi="Garamond"/>
          <w:color w:val="000000"/>
          <w:sz w:val="24"/>
          <w:szCs w:val="24"/>
          <w14:ligatures w14:val="standardContextual"/>
        </w:rPr>
        <w:t>aksesit</w:t>
      </w:r>
      <w:proofErr w:type="spellEnd"/>
      <w:r w:rsidRPr="00DD58C7">
        <w:rPr>
          <w:rFonts w:ascii="Garamond" w:eastAsiaTheme="minorHAnsi" w:hAnsi="Garamond"/>
          <w:color w:val="000000"/>
          <w:sz w:val="24"/>
          <w:szCs w:val="24"/>
          <w14:ligatures w14:val="standardContextual"/>
        </w:rPr>
        <w:t xml:space="preserve"> në trajnim që çon në një rrugë të caktuar karriere mund të jetë</w:t>
      </w:r>
      <w:r w:rsidR="00187579">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gjithashtu</w:t>
      </w:r>
      <w:r w:rsidR="00187579">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brenda fushëveprimit të </w:t>
      </w:r>
      <w:r w:rsidR="00187579">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 xml:space="preserve">enit 8. Në një rast të mëparshëm, Gjykata vendosi që vendimi për të hequr një kërkues nga një listë avokatësh praktikantë ndikoi në aftësinë e tij për të ndjekur aktivitetin e tij profesional dhe shkaktoi efekte pasuese në gëzimin e të drejtës së tij për respektimin e jetës së tij private sipas kuptimit të </w:t>
      </w:r>
      <w:r w:rsidR="00187579">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 xml:space="preserve">enit 8 (shih </w:t>
      </w:r>
      <w:proofErr w:type="spellStart"/>
      <w:r w:rsidRPr="00DD58C7">
        <w:rPr>
          <w:rFonts w:ascii="Garamond" w:eastAsiaTheme="minorHAnsi" w:hAnsi="Garamond"/>
          <w:i/>
          <w:iCs/>
          <w:color w:val="000000"/>
          <w:sz w:val="24"/>
          <w:szCs w:val="24"/>
          <w14:ligatures w14:val="standardContextual"/>
        </w:rPr>
        <w:t>Jankauskas</w:t>
      </w:r>
      <w:proofErr w:type="spellEnd"/>
      <w:r w:rsidRPr="00DD58C7">
        <w:rPr>
          <w:rFonts w:ascii="Garamond" w:eastAsiaTheme="minorHAnsi" w:hAnsi="Garamond"/>
          <w:i/>
          <w:iCs/>
          <w:color w:val="000000"/>
          <w:sz w:val="24"/>
          <w:szCs w:val="24"/>
          <w14:ligatures w14:val="standardContextual"/>
        </w:rPr>
        <w:t xml:space="preserve"> kundër Lituanisë</w:t>
      </w:r>
      <w:r w:rsidRPr="00DD58C7">
        <w:rPr>
          <w:rFonts w:ascii="Garamond" w:eastAsiaTheme="minorHAnsi" w:hAnsi="Garamond"/>
          <w:color w:val="000000"/>
          <w:sz w:val="24"/>
          <w:szCs w:val="24"/>
          <w14:ligatures w14:val="standardContextual"/>
        </w:rPr>
        <w:t xml:space="preserve"> (nr. 2), nr. 50446/09, § 58, 27 </w:t>
      </w:r>
      <w:r w:rsidR="00187579">
        <w:rPr>
          <w:rFonts w:ascii="Garamond" w:eastAsiaTheme="minorHAnsi" w:hAnsi="Garamond"/>
          <w:color w:val="000000"/>
          <w:sz w:val="24"/>
          <w:szCs w:val="24"/>
          <w14:ligatures w14:val="standardContextual"/>
        </w:rPr>
        <w:t>q</w:t>
      </w:r>
      <w:r w:rsidRPr="00DD58C7">
        <w:rPr>
          <w:rFonts w:ascii="Garamond" w:eastAsiaTheme="minorHAnsi" w:hAnsi="Garamond"/>
          <w:color w:val="000000"/>
          <w:sz w:val="24"/>
          <w:szCs w:val="24"/>
          <w14:ligatures w14:val="standardContextual"/>
        </w:rPr>
        <w:t xml:space="preserve">ershor 2017). Në një rast tjetër, Gjykata vendosi që refuzimi për të lejuar një kërkuese të jepte provimin e avokatisë pas përfundimit të praktikës së saj si avokate ishte brenda fushëveprimit të </w:t>
      </w:r>
      <w:r w:rsidR="00187579">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enit 8</w:t>
      </w:r>
      <w:r w:rsidR="00187579">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sepse ndikoi në zgjedhjen e saj personale</w:t>
      </w:r>
      <w:r w:rsidR="00187579">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në lidhje me mënyrën se si dëshironte të ndiqte jetën e saj profesionale dhe private (shih </w:t>
      </w:r>
      <w:proofErr w:type="spellStart"/>
      <w:r w:rsidRPr="00DD58C7">
        <w:rPr>
          <w:rFonts w:ascii="Garamond" w:eastAsiaTheme="minorHAnsi" w:hAnsi="Garamond"/>
          <w:i/>
          <w:iCs/>
          <w:color w:val="000000"/>
          <w:sz w:val="24"/>
          <w:szCs w:val="24"/>
          <w14:ligatures w14:val="standardContextual"/>
        </w:rPr>
        <w:t>Bigaeva</w:t>
      </w:r>
      <w:proofErr w:type="spellEnd"/>
      <w:r w:rsidRPr="00DD58C7">
        <w:rPr>
          <w:rFonts w:ascii="Garamond" w:eastAsiaTheme="minorHAnsi" w:hAnsi="Garamond"/>
          <w:i/>
          <w:iCs/>
          <w:color w:val="000000"/>
          <w:sz w:val="24"/>
          <w:szCs w:val="24"/>
          <w14:ligatures w14:val="standardContextual"/>
        </w:rPr>
        <w:t xml:space="preserve"> kundër Greqisë</w:t>
      </w:r>
      <w:r w:rsidRPr="00DD58C7">
        <w:rPr>
          <w:rFonts w:ascii="Garamond" w:eastAsiaTheme="minorHAnsi" w:hAnsi="Garamond"/>
          <w:color w:val="000000"/>
          <w:sz w:val="24"/>
          <w:szCs w:val="24"/>
          <w14:ligatures w14:val="standardContextual"/>
        </w:rPr>
        <w:t xml:space="preserve">, nr. 26713/05, §§ 24 dhe 25, 28 </w:t>
      </w:r>
      <w:r w:rsidR="00187579">
        <w:rPr>
          <w:rFonts w:ascii="Garamond" w:eastAsiaTheme="minorHAnsi" w:hAnsi="Garamond"/>
          <w:color w:val="000000"/>
          <w:sz w:val="24"/>
          <w:szCs w:val="24"/>
          <w14:ligatures w14:val="standardContextual"/>
        </w:rPr>
        <w:t>m</w:t>
      </w:r>
      <w:r w:rsidRPr="00DD58C7">
        <w:rPr>
          <w:rFonts w:ascii="Garamond" w:eastAsiaTheme="minorHAnsi" w:hAnsi="Garamond"/>
          <w:color w:val="000000"/>
          <w:sz w:val="24"/>
          <w:szCs w:val="24"/>
          <w14:ligatures w14:val="standardContextual"/>
        </w:rPr>
        <w:t>aj 2009).</w:t>
      </w:r>
    </w:p>
    <w:p w14:paraId="269A7D96" w14:textId="6F00ED79"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37. Në rastin konkret, refuzimi i pranimit të kërkuesit në Shkollën e Magjistraturës nuk lidhej me mungesën e kualifikimeve të kërkuara profesionale. Përkundrazi, ai ishte trajnuar dhe kishte punuar si avokat përpara se të bëhej oficer i policisë gjyqësore në një prokurori dhe kishte kaluar provimin e pranimit për formimin fillestar të magjistratëve. Arsyeja e vetme për ndalimin ishte dënimi i tij i mëparshëm për një vepër penale të kryer si i mitur, 14 vjet më parë </w:t>
      </w:r>
      <w:r w:rsidR="00187579">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një dënim për të cilin ai ishte rehabilituar ligjërisht dhe i cili ishte fshirë nga dosja e tij penale. Ndalimi absolut dhe i përhershëm i pranimit të tij në Shkollën e Magjistraturës, dhe rrjedhimisht i ndjekjes së një karriere si prokuror në një fazë të hershme të zhvillimit të tij profesional, pati një ndikim të qartë dhe serioz në zgjedhjen e tij personale</w:t>
      </w:r>
      <w:r w:rsidR="00187579">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në lidhje me mënyrën se si ai dëshironte të ndiqte jetën e tij profesionale dhe private, të formonte identitetin e tij shoqëror dhe të zhvillonte marrëdhënie me të tjerët. Për këtë arsye, </w:t>
      </w:r>
      <w:r w:rsidR="00187579">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eni 8 është i zbatueshëm.</w:t>
      </w:r>
    </w:p>
    <w:p w14:paraId="2B1EED81" w14:textId="3EA87FA3"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38. Gjykata vëren se kjo ankesë nuk është as haptazi e pabazuar dhe as e papranueshme për ndonjë arsye tjetër të listuar në </w:t>
      </w:r>
      <w:r w:rsidR="00187579">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enin 35 të Konventës. Prandaj, ajo duhet të shpallet e pranueshme.</w:t>
      </w:r>
    </w:p>
    <w:p w14:paraId="0091CA69" w14:textId="5BD29ABD" w:rsidR="0007274E" w:rsidRPr="00DD58C7" w:rsidRDefault="0007274E" w:rsidP="0007274E">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DD58C7">
        <w:rPr>
          <w:rFonts w:ascii="Garamond" w:eastAsiaTheme="minorHAnsi" w:hAnsi="Garamond"/>
          <w:b/>
          <w:bCs/>
          <w:color w:val="000000"/>
          <w:sz w:val="24"/>
          <w:szCs w:val="24"/>
          <w14:ligatures w14:val="standardContextual"/>
        </w:rPr>
        <w:t>B. Meritat</w:t>
      </w:r>
    </w:p>
    <w:p w14:paraId="7495B493" w14:textId="14475106" w:rsidR="0007274E" w:rsidRPr="00DD58C7" w:rsidRDefault="0007274E" w:rsidP="0007274E">
      <w:pPr>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DD58C7">
        <w:rPr>
          <w:rFonts w:ascii="Garamond" w:eastAsiaTheme="minorHAnsi" w:hAnsi="Garamond"/>
          <w:i/>
          <w:iCs/>
          <w:color w:val="000000"/>
          <w:sz w:val="24"/>
          <w:szCs w:val="24"/>
          <w14:ligatures w14:val="standardContextual"/>
        </w:rPr>
        <w:t>1. Parashtrimet e palëve</w:t>
      </w:r>
    </w:p>
    <w:p w14:paraId="51618C71" w14:textId="0F1FEE78"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39. Kërkuesi deklaroi se, në përputhje me </w:t>
      </w:r>
      <w:r w:rsidR="00187579">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 xml:space="preserve">enin 62 të Kodit Penal (shih paragrafin 18 më sipër), dënimi i tij si i mitur ishte shuar plotësisht dhe konsiderohej se nuk kishte ekzistuar, dhe se, në çdo </w:t>
      </w:r>
      <w:r w:rsidRPr="00DD58C7">
        <w:rPr>
          <w:rFonts w:ascii="Garamond" w:eastAsiaTheme="minorHAnsi" w:hAnsi="Garamond"/>
          <w:color w:val="000000"/>
          <w:sz w:val="24"/>
          <w:szCs w:val="24"/>
          <w14:ligatures w14:val="standardContextual"/>
        </w:rPr>
        <w:lastRenderedPageBreak/>
        <w:t xml:space="preserve">rast, ai ishte rehabilituar sipas </w:t>
      </w:r>
      <w:r w:rsidR="00187579">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enit 69 të Kodit Penal (</w:t>
      </w:r>
      <w:proofErr w:type="spellStart"/>
      <w:r w:rsidRPr="00DD58C7">
        <w:rPr>
          <w:rFonts w:ascii="Garamond" w:eastAsiaTheme="minorHAnsi" w:hAnsi="Garamond"/>
          <w:i/>
          <w:iCs/>
          <w:color w:val="000000"/>
          <w:sz w:val="24"/>
          <w:szCs w:val="24"/>
          <w14:ligatures w14:val="standardContextual"/>
        </w:rPr>
        <w:t>ibid</w:t>
      </w:r>
      <w:proofErr w:type="spellEnd"/>
      <w:r w:rsidRPr="00DD58C7">
        <w:rPr>
          <w:rFonts w:ascii="Garamond" w:eastAsiaTheme="minorHAnsi" w:hAnsi="Garamond"/>
          <w:color w:val="000000"/>
          <w:sz w:val="24"/>
          <w:szCs w:val="24"/>
          <w14:ligatures w14:val="standardContextual"/>
        </w:rPr>
        <w:t xml:space="preserve">.), me dënimin që ishte fshirë nga dosja e tij penale. Masa e kontestuar ishte arbitrare, stigmatizuese dhe ndëshkuese, e ngjashme me një dënim penal shtesë përtej kufijve të dënimit fillestar, dhe nuk mund të konsiderohej një pasojë e parashikueshme e veprimeve që ai kishte kryer si i mitur. Autoritetet vendase në thelb kishin zbatuar nenin e ndryshuar 28(d) të Ligjit për Statusin e Gjyqtarëve dhe Prokurorëve në mënyrë retroaktive, duke demonstruar kështu cilësinë e mangët të ligjit vendas. Masa ishte një ndalim absolut i zbatuar automatikisht, pa asnjë vlerësim individual të rrethanave të tij specifike, siç është mungesa e ndonjë sjelljeje devijuese që nga vepra penale e kryer në rininë e tij për shkak të papjekurisë dhe, për rrjedhojë, mungesa e ndonjë rreziku për integritetin moral të sistemit të drejtësisë. Autoritetet vendase i kishin atribuuar dënimit të shuar një pasojë të përhershme ligjore, duke shpërfillur rëndësinë e rehabilitimit dhe </w:t>
      </w:r>
      <w:proofErr w:type="spellStart"/>
      <w:r w:rsidRPr="00DD58C7">
        <w:rPr>
          <w:rFonts w:ascii="Garamond" w:eastAsiaTheme="minorHAnsi" w:hAnsi="Garamond"/>
          <w:color w:val="000000"/>
          <w:sz w:val="24"/>
          <w:szCs w:val="24"/>
          <w14:ligatures w14:val="standardContextual"/>
        </w:rPr>
        <w:t>riintegrimit</w:t>
      </w:r>
      <w:proofErr w:type="spellEnd"/>
      <w:r w:rsidRPr="00DD58C7">
        <w:rPr>
          <w:rFonts w:ascii="Garamond" w:eastAsiaTheme="minorHAnsi" w:hAnsi="Garamond"/>
          <w:color w:val="000000"/>
          <w:sz w:val="24"/>
          <w:szCs w:val="24"/>
          <w14:ligatures w14:val="standardContextual"/>
        </w:rPr>
        <w:t xml:space="preserve"> të tij në shoqëri dhe duke shkelur të drejtat e tij për zhvillim personal dhe profesional dhe dinjitet njerëzor. Për më tepër, masa ishte në kundërshtim me zhvillimet e rëndësishme në të drejtën penale vendase, veçanërisht hyrjen në fuqi të Kodit të Drejtësisë për të Mitur, sipas të cilit veprimet e kërkuesit të kryera si i mitur nuk do të ishin as subjekt i ndjekjes penale, e jo më të ndëshkoheshin dhe stigmatizoheshin përjetë me ndalimin për t’u bërë magjistrat. Në përputhje me standardet moderne, një sjellje e tillë do të adresohej përmes masave edukative dhe rehabilituese që synojnë </w:t>
      </w:r>
      <w:proofErr w:type="spellStart"/>
      <w:r w:rsidRPr="00DD58C7">
        <w:rPr>
          <w:rFonts w:ascii="Garamond" w:eastAsiaTheme="minorHAnsi" w:hAnsi="Garamond"/>
          <w:color w:val="000000"/>
          <w:sz w:val="24"/>
          <w:szCs w:val="24"/>
          <w14:ligatures w14:val="standardContextual"/>
        </w:rPr>
        <w:t>riintegrimin</w:t>
      </w:r>
      <w:proofErr w:type="spellEnd"/>
      <w:r w:rsidRPr="00DD58C7">
        <w:rPr>
          <w:rFonts w:ascii="Garamond" w:eastAsiaTheme="minorHAnsi" w:hAnsi="Garamond"/>
          <w:color w:val="000000"/>
          <w:sz w:val="24"/>
          <w:szCs w:val="24"/>
          <w14:ligatures w14:val="standardContextual"/>
        </w:rPr>
        <w:t xml:space="preserve">. Sipas tij, pra, masa ishte e paligjshme dhe </w:t>
      </w:r>
      <w:proofErr w:type="spellStart"/>
      <w:r w:rsidRPr="00DD58C7">
        <w:rPr>
          <w:rFonts w:ascii="Garamond" w:eastAsiaTheme="minorHAnsi" w:hAnsi="Garamond"/>
          <w:color w:val="000000"/>
          <w:sz w:val="24"/>
          <w:szCs w:val="24"/>
          <w14:ligatures w14:val="standardContextual"/>
        </w:rPr>
        <w:t>joproporcionale</w:t>
      </w:r>
      <w:proofErr w:type="spellEnd"/>
      <w:r w:rsidRPr="00DD58C7">
        <w:rPr>
          <w:rFonts w:ascii="Garamond" w:eastAsiaTheme="minorHAnsi" w:hAnsi="Garamond"/>
          <w:color w:val="000000"/>
          <w:sz w:val="24"/>
          <w:szCs w:val="24"/>
          <w14:ligatures w14:val="standardContextual"/>
        </w:rPr>
        <w:t xml:space="preserve">, dhe </w:t>
      </w:r>
      <w:r w:rsidR="00187579">
        <w:rPr>
          <w:rFonts w:ascii="Garamond" w:eastAsiaTheme="minorHAnsi" w:hAnsi="Garamond"/>
          <w:color w:val="000000"/>
          <w:sz w:val="24"/>
          <w:szCs w:val="24"/>
          <w14:ligatures w14:val="standardContextual"/>
        </w:rPr>
        <w:t>s</w:t>
      </w:r>
      <w:r w:rsidRPr="00DD58C7">
        <w:rPr>
          <w:rFonts w:ascii="Garamond" w:eastAsiaTheme="minorHAnsi" w:hAnsi="Garamond"/>
          <w:color w:val="000000"/>
          <w:sz w:val="24"/>
          <w:szCs w:val="24"/>
          <w14:ligatures w14:val="standardContextual"/>
        </w:rPr>
        <w:t>hteti kishte tejkaluar çdo kufi të arsyeshëm vlerësimi.</w:t>
      </w:r>
    </w:p>
    <w:p w14:paraId="7A643CDF" w14:textId="5CFD9DBB"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40. Qeveria deklaroi se, edhe duke supozuar se </w:t>
      </w:r>
      <w:r w:rsidR="00187579">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 xml:space="preserve">eni 8 ishte i zbatueshëm, ndërhyrja ishte në përputhje me ligjin vendas, i cili ishte i qartë dhe i parashikueshëm. Sa i përket domosdoshmërisë dhe </w:t>
      </w:r>
      <w:proofErr w:type="spellStart"/>
      <w:r w:rsidRPr="00DD58C7">
        <w:rPr>
          <w:rFonts w:ascii="Garamond" w:eastAsiaTheme="minorHAnsi" w:hAnsi="Garamond"/>
          <w:color w:val="000000"/>
          <w:sz w:val="24"/>
          <w:szCs w:val="24"/>
          <w14:ligatures w14:val="standardContextual"/>
        </w:rPr>
        <w:t>proporcionalitetit</w:t>
      </w:r>
      <w:proofErr w:type="spellEnd"/>
      <w:r w:rsidRPr="00DD58C7">
        <w:rPr>
          <w:rFonts w:ascii="Garamond" w:eastAsiaTheme="minorHAnsi" w:hAnsi="Garamond"/>
          <w:color w:val="000000"/>
          <w:sz w:val="24"/>
          <w:szCs w:val="24"/>
          <w14:ligatures w14:val="standardContextual"/>
        </w:rPr>
        <w:t>, ajo iu referua jurisprudencës së Gjykatës</w:t>
      </w:r>
      <w:r w:rsidR="00747F02">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në lidhje me rastet e verifikimit në Shqipëri (në veçanti, </w:t>
      </w:r>
      <w:proofErr w:type="spellStart"/>
      <w:r w:rsidRPr="00DD58C7">
        <w:rPr>
          <w:rFonts w:ascii="Garamond" w:eastAsiaTheme="minorHAnsi" w:hAnsi="Garamond"/>
          <w:i/>
          <w:iCs/>
          <w:color w:val="000000"/>
          <w:sz w:val="24"/>
          <w:szCs w:val="24"/>
          <w14:ligatures w14:val="standardContextual"/>
        </w:rPr>
        <w:t>Xhoxhaj</w:t>
      </w:r>
      <w:proofErr w:type="spellEnd"/>
      <w:r w:rsidRPr="00DD58C7">
        <w:rPr>
          <w:rFonts w:ascii="Garamond" w:eastAsiaTheme="minorHAnsi" w:hAnsi="Garamond"/>
          <w:i/>
          <w:iCs/>
          <w:color w:val="000000"/>
          <w:sz w:val="24"/>
          <w:szCs w:val="24"/>
          <w14:ligatures w14:val="standardContextual"/>
        </w:rPr>
        <w:t xml:space="preserve"> kundër Shqipërisë</w:t>
      </w:r>
      <w:r w:rsidRPr="00DD58C7">
        <w:rPr>
          <w:rFonts w:ascii="Garamond" w:eastAsiaTheme="minorHAnsi" w:hAnsi="Garamond"/>
          <w:color w:val="000000"/>
          <w:sz w:val="24"/>
          <w:szCs w:val="24"/>
          <w14:ligatures w14:val="standardContextual"/>
        </w:rPr>
        <w:t xml:space="preserve">, nr. 15227/19, 9 </w:t>
      </w:r>
      <w:r w:rsidR="00747F02">
        <w:rPr>
          <w:rFonts w:ascii="Garamond" w:eastAsiaTheme="minorHAnsi" w:hAnsi="Garamond"/>
          <w:color w:val="000000"/>
          <w:sz w:val="24"/>
          <w:szCs w:val="24"/>
          <w14:ligatures w14:val="standardContextual"/>
        </w:rPr>
        <w:t>s</w:t>
      </w:r>
      <w:r w:rsidRPr="00DD58C7">
        <w:rPr>
          <w:rFonts w:ascii="Garamond" w:eastAsiaTheme="minorHAnsi" w:hAnsi="Garamond"/>
          <w:color w:val="000000"/>
          <w:sz w:val="24"/>
          <w:szCs w:val="24"/>
          <w14:ligatures w14:val="standardContextual"/>
        </w:rPr>
        <w:t>hkurt 2021), duke vënë në dukje se kriteret e rrepta të pranimit për gjyqtarët dhe prokurorët e ardhshëm sipas Ligjit për Statusin e Gjyqtarëve dhe Prokurorëve kishin qenë pjesë e reformës së ndërmarrë në vitin 2016</w:t>
      </w:r>
      <w:r w:rsidR="00747F02">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me qëllim rivendosjen e besimit të publikut në sistemin e drejtësisë. Sipas </w:t>
      </w:r>
      <w:r w:rsidR="00747F02">
        <w:rPr>
          <w:rFonts w:ascii="Garamond" w:eastAsiaTheme="minorHAnsi" w:hAnsi="Garamond"/>
          <w:color w:val="000000"/>
          <w:sz w:val="24"/>
          <w:szCs w:val="24"/>
          <w14:ligatures w14:val="standardContextual"/>
        </w:rPr>
        <w:t>q</w:t>
      </w:r>
      <w:r w:rsidRPr="00DD58C7">
        <w:rPr>
          <w:rFonts w:ascii="Garamond" w:eastAsiaTheme="minorHAnsi" w:hAnsi="Garamond"/>
          <w:color w:val="000000"/>
          <w:sz w:val="24"/>
          <w:szCs w:val="24"/>
          <w14:ligatures w14:val="standardContextual"/>
        </w:rPr>
        <w:t xml:space="preserve">everisë, dënimi i kërkuesit për vjedhje hidhte dyshime mbi integritetin e tij moral dhe marrëdhënien që ai do të kishte me detyrat e tij dhe ligjin, dhe krijonte baza për </w:t>
      </w:r>
      <w:r w:rsidRPr="007F13BB">
        <w:rPr>
          <w:rFonts w:ascii="Garamond" w:eastAsiaTheme="minorHAnsi" w:hAnsi="Garamond"/>
          <w:color w:val="000000"/>
          <w:sz w:val="24"/>
          <w:szCs w:val="24"/>
          <w14:ligatures w14:val="standardContextual"/>
        </w:rPr>
        <w:t>minimin</w:t>
      </w:r>
      <w:bookmarkStart w:id="0" w:name="_GoBack"/>
      <w:bookmarkEnd w:id="0"/>
      <w:r w:rsidRPr="00DD58C7">
        <w:rPr>
          <w:rFonts w:ascii="Garamond" w:eastAsiaTheme="minorHAnsi" w:hAnsi="Garamond"/>
          <w:color w:val="000000"/>
          <w:sz w:val="24"/>
          <w:szCs w:val="24"/>
          <w14:ligatures w14:val="standardContextual"/>
        </w:rPr>
        <w:t xml:space="preserve"> e besimit të publikut në sistemin e drejtësisë. Pozicioni i prokurorit përfaqësonte një nga funksionet më të ndjeshme në sistemin shtetëror, dhe për këtë arsye ishte e arsyeshme të kërkohej një standard më i lartë etik dhe moral për atë rol. Kufizimi në fjalë ishte në përputhje me </w:t>
      </w:r>
      <w:r w:rsidR="00747F02" w:rsidRPr="00DD58C7">
        <w:rPr>
          <w:rFonts w:ascii="Garamond" w:eastAsiaTheme="minorHAnsi" w:hAnsi="Garamond"/>
          <w:color w:val="000000"/>
          <w:sz w:val="24"/>
          <w:szCs w:val="24"/>
          <w14:ligatures w14:val="standardContextual"/>
        </w:rPr>
        <w:t>rekomandimin n</w:t>
      </w:r>
      <w:r w:rsidRPr="00DD58C7">
        <w:rPr>
          <w:rFonts w:ascii="Garamond" w:eastAsiaTheme="minorHAnsi" w:hAnsi="Garamond"/>
          <w:color w:val="000000"/>
          <w:sz w:val="24"/>
          <w:szCs w:val="24"/>
          <w14:ligatures w14:val="standardContextual"/>
        </w:rPr>
        <w:t>r. R (84) 10 të Komitetit të Ministrave (shih paragrafin 20 më sipër).</w:t>
      </w:r>
    </w:p>
    <w:p w14:paraId="39D97E07" w14:textId="74A9976F" w:rsidR="0007274E" w:rsidRPr="00DD58C7" w:rsidRDefault="0007274E" w:rsidP="0007274E">
      <w:pPr>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DD58C7">
        <w:rPr>
          <w:rFonts w:ascii="Garamond" w:eastAsiaTheme="minorHAnsi" w:hAnsi="Garamond"/>
          <w:i/>
          <w:iCs/>
          <w:color w:val="000000"/>
          <w:sz w:val="24"/>
          <w:szCs w:val="24"/>
          <w14:ligatures w14:val="standardContextual"/>
        </w:rPr>
        <w:t>2. Vlerësimi i Gjykatës</w:t>
      </w:r>
    </w:p>
    <w:p w14:paraId="2E6FC638" w14:textId="6CAB2B29" w:rsidR="0007274E" w:rsidRPr="00DD58C7" w:rsidRDefault="0007274E" w:rsidP="0007274E">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DD58C7">
        <w:rPr>
          <w:rFonts w:ascii="Garamond" w:eastAsiaTheme="minorHAnsi" w:hAnsi="Garamond"/>
          <w:b/>
          <w:bCs/>
          <w:color w:val="000000"/>
          <w:sz w:val="24"/>
          <w:szCs w:val="24"/>
          <w14:ligatures w14:val="standardContextual"/>
        </w:rPr>
        <w:t>a) Nëse ka pasur një “ndërhyrje”</w:t>
      </w:r>
    </w:p>
    <w:p w14:paraId="4B4C5723" w14:textId="4DD352FC"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41. Pasi ka konstatuar se </w:t>
      </w:r>
      <w:r w:rsidR="00747F02">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 xml:space="preserve">eni 8 është i zbatueshëm (shih paragrafin 37 më sipër), Gjykata mban qëndrimin se refuzimi i pranimit të kërkuesit në Shkollën e Magjistraturës në bazë të një dënimi në të shkuarën si i mitur mund të konsiderohet një ndërhyrje në të drejtën e tij për respektimin e jetës së tij private. Për të përcaktuar nëse ndërhyrja përbënte shkelje të Konventës, Gjykata duhet të kërkojë të përcaktojë nëse ajo përmbushte kërkesat e </w:t>
      </w:r>
      <w:r w:rsidR="00747F02">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 xml:space="preserve">enit 8 § 2, domethënë nëse ishte “në përputhje me ligjin”, ndiqte një qëllim legjitim sipas asaj dispozite dhe ishte “e nevojshme në një shoqëri demokratike” (shih </w:t>
      </w:r>
      <w:proofErr w:type="spellStart"/>
      <w:r w:rsidRPr="00DD58C7">
        <w:rPr>
          <w:rFonts w:ascii="Garamond" w:eastAsiaTheme="minorHAnsi" w:hAnsi="Garamond"/>
          <w:i/>
          <w:iCs/>
          <w:color w:val="000000"/>
          <w:sz w:val="24"/>
          <w:szCs w:val="24"/>
          <w14:ligatures w14:val="standardContextual"/>
        </w:rPr>
        <w:t>Pişkin</w:t>
      </w:r>
      <w:proofErr w:type="spellEnd"/>
      <w:r w:rsidRPr="00DD58C7">
        <w:rPr>
          <w:rFonts w:ascii="Garamond" w:eastAsiaTheme="minorHAnsi" w:hAnsi="Garamond"/>
          <w:color w:val="000000"/>
          <w:sz w:val="24"/>
          <w:szCs w:val="24"/>
          <w14:ligatures w14:val="standardContextual"/>
        </w:rPr>
        <w:t>, cituar më sipër, § 203).</w:t>
      </w:r>
    </w:p>
    <w:p w14:paraId="05C630DF" w14:textId="4C3C52E5" w:rsidR="0007274E" w:rsidRPr="00DD58C7" w:rsidRDefault="0007274E" w:rsidP="0007274E">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DD58C7">
        <w:rPr>
          <w:rFonts w:ascii="Garamond" w:eastAsiaTheme="minorHAnsi" w:hAnsi="Garamond"/>
          <w:b/>
          <w:bCs/>
          <w:color w:val="000000"/>
          <w:sz w:val="24"/>
          <w:szCs w:val="24"/>
          <w14:ligatures w14:val="standardContextual"/>
        </w:rPr>
        <w:t>b) Nëse ndërhyrja ishte e justifikuar</w:t>
      </w:r>
    </w:p>
    <w:p w14:paraId="7E8DF580" w14:textId="4693FF24" w:rsidR="0007274E" w:rsidRPr="00DD58C7" w:rsidRDefault="00747F02" w:rsidP="0007274E">
      <w:pPr>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Pr>
          <w:rFonts w:ascii="Garamond" w:eastAsiaTheme="minorHAnsi" w:hAnsi="Garamond"/>
          <w:i/>
          <w:iCs/>
          <w:color w:val="000000"/>
          <w:sz w:val="24"/>
          <w:szCs w:val="24"/>
          <w14:ligatures w14:val="standardContextual"/>
        </w:rPr>
        <w:t xml:space="preserve">i. </w:t>
      </w:r>
      <w:r w:rsidR="0007274E" w:rsidRPr="00DD58C7">
        <w:rPr>
          <w:rFonts w:ascii="Garamond" w:eastAsiaTheme="minorHAnsi" w:hAnsi="Garamond"/>
          <w:i/>
          <w:iCs/>
          <w:color w:val="000000"/>
          <w:sz w:val="24"/>
          <w:szCs w:val="24"/>
          <w14:ligatures w14:val="standardContextual"/>
        </w:rPr>
        <w:t>Nëse ndërhyrja ishte “në përputhje me ligjin”</w:t>
      </w:r>
    </w:p>
    <w:p w14:paraId="53A50118" w14:textId="69437271"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42. Formulimi “në përputhje me ligjin” kërkon që masa e kontestuar të ketë një bazë në ligjin e brendshëm. Ligji duhet të jetë i </w:t>
      </w:r>
      <w:proofErr w:type="spellStart"/>
      <w:r w:rsidRPr="00DD58C7">
        <w:rPr>
          <w:rFonts w:ascii="Garamond" w:eastAsiaTheme="minorHAnsi" w:hAnsi="Garamond"/>
          <w:color w:val="000000"/>
          <w:sz w:val="24"/>
          <w:szCs w:val="24"/>
          <w14:ligatures w14:val="standardContextual"/>
        </w:rPr>
        <w:t>aksesueshëm</w:t>
      </w:r>
      <w:proofErr w:type="spellEnd"/>
      <w:r w:rsidRPr="00DD58C7">
        <w:rPr>
          <w:rFonts w:ascii="Garamond" w:eastAsiaTheme="minorHAnsi" w:hAnsi="Garamond"/>
          <w:color w:val="000000"/>
          <w:sz w:val="24"/>
          <w:szCs w:val="24"/>
          <w14:ligatures w14:val="standardContextual"/>
        </w:rPr>
        <w:t xml:space="preserve"> për personin e interesuar dhe i parashikueshëm për sa i përket efekteve të tij (shih </w:t>
      </w:r>
      <w:r w:rsidRPr="00DD58C7">
        <w:rPr>
          <w:rFonts w:ascii="Garamond" w:eastAsiaTheme="minorHAnsi" w:hAnsi="Garamond"/>
          <w:i/>
          <w:iCs/>
          <w:color w:val="000000"/>
          <w:sz w:val="24"/>
          <w:szCs w:val="24"/>
          <w14:ligatures w14:val="standardContextual"/>
        </w:rPr>
        <w:t xml:space="preserve">S. dhe </w:t>
      </w:r>
      <w:proofErr w:type="spellStart"/>
      <w:r w:rsidRPr="00DD58C7">
        <w:rPr>
          <w:rFonts w:ascii="Garamond" w:eastAsiaTheme="minorHAnsi" w:hAnsi="Garamond"/>
          <w:i/>
          <w:iCs/>
          <w:color w:val="000000"/>
          <w:sz w:val="24"/>
          <w:szCs w:val="24"/>
          <w14:ligatures w14:val="standardContextual"/>
        </w:rPr>
        <w:t>Marper</w:t>
      </w:r>
      <w:proofErr w:type="spellEnd"/>
      <w:r w:rsidRPr="00DD58C7">
        <w:rPr>
          <w:rFonts w:ascii="Garamond" w:eastAsiaTheme="minorHAnsi" w:hAnsi="Garamond"/>
          <w:i/>
          <w:iCs/>
          <w:color w:val="000000"/>
          <w:sz w:val="24"/>
          <w:szCs w:val="24"/>
          <w14:ligatures w14:val="standardContextual"/>
        </w:rPr>
        <w:t xml:space="preserve"> kundër Mbretërisë së Bashkuar</w:t>
      </w:r>
      <w:r w:rsidRPr="00DD58C7">
        <w:rPr>
          <w:rFonts w:ascii="Garamond" w:eastAsiaTheme="minorHAnsi" w:hAnsi="Garamond"/>
          <w:color w:val="000000"/>
          <w:sz w:val="24"/>
          <w:szCs w:val="24"/>
          <w14:ligatures w14:val="standardContextual"/>
        </w:rPr>
        <w:t xml:space="preserve"> [</w:t>
      </w:r>
      <w:proofErr w:type="spellStart"/>
      <w:r w:rsidRPr="00DD58C7">
        <w:rPr>
          <w:rFonts w:ascii="Garamond" w:eastAsiaTheme="minorHAnsi" w:hAnsi="Garamond"/>
          <w:color w:val="000000"/>
          <w:sz w:val="24"/>
          <w:szCs w:val="24"/>
          <w14:ligatures w14:val="standardContextual"/>
        </w:rPr>
        <w:t>DHM</w:t>
      </w:r>
      <w:proofErr w:type="spellEnd"/>
      <w:r w:rsidRPr="00DD58C7">
        <w:rPr>
          <w:rFonts w:ascii="Garamond" w:eastAsiaTheme="minorHAnsi" w:hAnsi="Garamond"/>
          <w:color w:val="000000"/>
          <w:sz w:val="24"/>
          <w:szCs w:val="24"/>
          <w14:ligatures w14:val="standardContextual"/>
        </w:rPr>
        <w:t xml:space="preserve">], nr. 30562/04 dhe 30566/04, § 95, </w:t>
      </w:r>
      <w:proofErr w:type="spellStart"/>
      <w:r w:rsidRPr="00DD58C7">
        <w:rPr>
          <w:rFonts w:ascii="Garamond" w:eastAsiaTheme="minorHAnsi" w:hAnsi="Garamond"/>
          <w:color w:val="000000"/>
          <w:sz w:val="24"/>
          <w:szCs w:val="24"/>
          <w14:ligatures w14:val="standardContextual"/>
        </w:rPr>
        <w:t>GJEDNJ</w:t>
      </w:r>
      <w:proofErr w:type="spellEnd"/>
      <w:r w:rsidRPr="00DD58C7">
        <w:rPr>
          <w:rFonts w:ascii="Garamond" w:eastAsiaTheme="minorHAnsi" w:hAnsi="Garamond"/>
          <w:color w:val="000000"/>
          <w:sz w:val="24"/>
          <w:szCs w:val="24"/>
          <w14:ligatures w14:val="standardContextual"/>
        </w:rPr>
        <w:t xml:space="preserve"> 2008). Ndalimi i pranimit të kërkuesit në Shkollën e Magjistraturës bazohej në nenin 28(d) të Ligjit për Statusin e Gjyqtarëve dhe Prokurorëve. Për këtë arsye, Gjykata pranon se ndërhyrja kishte një bazë ligjore në ligjin e brendshëm.</w:t>
      </w:r>
    </w:p>
    <w:p w14:paraId="767586ED" w14:textId="133034EB"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43. Për sa i përket pretendimit të kërkuesit se ligji vendas nuk përmbushte kërkesën e “cilësisë së ligjit”, Gjykata vëren se, siç njihet nga gjykatat vendase, versioni i nenit 28(d) që ishte në fuqi në kohën kur masa e kontestuar u vendos kundër tij, nuk specifikonte se çfarë roli duhet të luante rehabilitimi në zbatimin e tij. Duke pasur parasysh parimin e përgjithshëm se individët nuk duhet </w:t>
      </w:r>
      <w:r w:rsidRPr="00DD58C7">
        <w:rPr>
          <w:rFonts w:ascii="Garamond" w:eastAsiaTheme="minorHAnsi" w:hAnsi="Garamond"/>
          <w:color w:val="000000"/>
          <w:sz w:val="24"/>
          <w:szCs w:val="24"/>
          <w14:ligatures w14:val="standardContextual"/>
        </w:rPr>
        <w:lastRenderedPageBreak/>
        <w:t>të vazhdojnë të vuajnë pasojat e një dënimi pas rehabilitimit (shih nenin 69 të Kodit Penal në paragrafin 18 më sipër), konstatohet se kërkuesi kishte të drejtë të priste që dënimi i tij në të shkuarën në kohën e aplikimit në Shkollën e Magjistraturës nuk do të is</w:t>
      </w:r>
      <w:r w:rsidR="00747F02">
        <w:rPr>
          <w:rFonts w:ascii="Garamond" w:eastAsiaTheme="minorHAnsi" w:hAnsi="Garamond"/>
          <w:color w:val="000000"/>
          <w:sz w:val="24"/>
          <w:szCs w:val="24"/>
          <w14:ligatures w14:val="standardContextual"/>
        </w:rPr>
        <w:t>hte pengesë për pranimin e tij.</w:t>
      </w:r>
    </w:p>
    <w:p w14:paraId="2879886F" w14:textId="7D25D945"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44. Megjithatë, gjykatat vendase duket se kanë ndjekur logjikën e versionit të ri të nenit 28(d), ndryshuar në vitin 2021, ndërsa çështja e kërkuesit ishte në pritje të gjykimit para Gjykatës së Lartë, e cila i dha vetëm peshë të kufizuar rehabilitimit dhe i dha përparësi natyrës së veprës penale dhe ndikimit të saj në imazhin publik të magjistratëve, duke krijuar kështu përshtypjen e një zbatimi prapaveprues të asaj dispozite në rastin aktual.</w:t>
      </w:r>
    </w:p>
    <w:p w14:paraId="4C55C454" w14:textId="3B6ADBF6"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45. Gjithashtu, Gjykata vëren se kërkuesi duhej të plotësonte dhe të dorëzonte një formular </w:t>
      </w:r>
      <w:proofErr w:type="spellStart"/>
      <w:r w:rsidRPr="00DD58C7">
        <w:rPr>
          <w:rFonts w:ascii="Garamond" w:eastAsiaTheme="minorHAnsi" w:hAnsi="Garamond"/>
          <w:color w:val="000000"/>
          <w:sz w:val="24"/>
          <w:szCs w:val="24"/>
          <w14:ligatures w14:val="standardContextual"/>
        </w:rPr>
        <w:t>vetëdeklarimi</w:t>
      </w:r>
      <w:proofErr w:type="spellEnd"/>
      <w:r w:rsidRPr="00DD58C7">
        <w:rPr>
          <w:rFonts w:ascii="Garamond" w:eastAsiaTheme="minorHAnsi" w:hAnsi="Garamond"/>
          <w:color w:val="000000"/>
          <w:sz w:val="24"/>
          <w:szCs w:val="24"/>
          <w14:ligatures w14:val="standardContextual"/>
        </w:rPr>
        <w:t xml:space="preserve"> sipas Ligjit të </w:t>
      </w:r>
      <w:proofErr w:type="spellStart"/>
      <w:r w:rsidRPr="00DD58C7">
        <w:rPr>
          <w:rFonts w:ascii="Garamond" w:eastAsiaTheme="minorHAnsi" w:hAnsi="Garamond"/>
          <w:color w:val="000000"/>
          <w:sz w:val="24"/>
          <w:szCs w:val="24"/>
          <w14:ligatures w14:val="standardContextual"/>
        </w:rPr>
        <w:t>Dekriminalizimit</w:t>
      </w:r>
      <w:proofErr w:type="spellEnd"/>
      <w:r w:rsidRPr="00DD58C7">
        <w:rPr>
          <w:rFonts w:ascii="Garamond" w:eastAsiaTheme="minorHAnsi" w:hAnsi="Garamond"/>
          <w:color w:val="000000"/>
          <w:sz w:val="24"/>
          <w:szCs w:val="24"/>
          <w14:ligatures w14:val="standardContextual"/>
        </w:rPr>
        <w:t>, i cili kërkonte që kërkuesit për pozicione të ndryshme në sektorin publik të zbulonin historinë e tyre të plotë kriminale, edhe nëse ishin rehabilituar (shih paragrafët 16 dhe 17 më sipër). Ky aspekt shtoi konfuzionin</w:t>
      </w:r>
      <w:r w:rsidR="00747F02">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në lidhje me standardet ligjore të zbatueshme për kandidatët për pozicione </w:t>
      </w:r>
      <w:proofErr w:type="spellStart"/>
      <w:r w:rsidRPr="00DD58C7">
        <w:rPr>
          <w:rFonts w:ascii="Garamond" w:eastAsiaTheme="minorHAnsi" w:hAnsi="Garamond"/>
          <w:color w:val="000000"/>
          <w:sz w:val="24"/>
          <w:szCs w:val="24"/>
          <w14:ligatures w14:val="standardContextual"/>
        </w:rPr>
        <w:t>magjistrate</w:t>
      </w:r>
      <w:proofErr w:type="spellEnd"/>
      <w:r w:rsidRPr="00DD58C7">
        <w:rPr>
          <w:rFonts w:ascii="Garamond" w:eastAsiaTheme="minorHAnsi" w:hAnsi="Garamond"/>
          <w:color w:val="000000"/>
          <w:sz w:val="24"/>
          <w:szCs w:val="24"/>
          <w14:ligatures w14:val="standardContextual"/>
        </w:rPr>
        <w:t xml:space="preserve"> si kërkuesi.</w:t>
      </w:r>
    </w:p>
    <w:p w14:paraId="5446B057" w14:textId="1AAF9A3D"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46. Duke pasur parasysh sa më sipër, Gjykata ka dyshime nëse ligji përkatës ishte i parashikueshëm për kërkuesin. Megjithatë, në rrethanat e çështjes aktuale nuk është e nevojshme të thellohemi më tej në këtë çështje, sepse Gjykata vlerëson se, edhe duke supozuar se ndërhyrja ishte e ligjshme, ajo nuk ishte “e nevojshme në një shoqëri demokratike”, për arsyet e detajuara më poshtë (shih paragrafët 48</w:t>
      </w:r>
      <w:r w:rsidR="00747F02">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59 më poshtë).</w:t>
      </w:r>
    </w:p>
    <w:p w14:paraId="4FDCEDC3" w14:textId="2C0049AE" w:rsidR="0007274E" w:rsidRPr="00DD58C7" w:rsidRDefault="00747F02" w:rsidP="0007274E">
      <w:pPr>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proofErr w:type="spellStart"/>
      <w:r>
        <w:rPr>
          <w:rFonts w:ascii="Garamond" w:eastAsiaTheme="minorHAnsi" w:hAnsi="Garamond"/>
          <w:i/>
          <w:iCs/>
          <w:color w:val="000000"/>
          <w:sz w:val="24"/>
          <w:szCs w:val="24"/>
          <w14:ligatures w14:val="standardContextual"/>
        </w:rPr>
        <w:t>ii</w:t>
      </w:r>
      <w:proofErr w:type="spellEnd"/>
      <w:r>
        <w:rPr>
          <w:rFonts w:ascii="Garamond" w:eastAsiaTheme="minorHAnsi" w:hAnsi="Garamond"/>
          <w:i/>
          <w:iCs/>
          <w:color w:val="000000"/>
          <w:sz w:val="24"/>
          <w:szCs w:val="24"/>
          <w14:ligatures w14:val="standardContextual"/>
        </w:rPr>
        <w:t>.</w:t>
      </w:r>
      <w:r w:rsidR="0007274E" w:rsidRPr="00DD58C7">
        <w:rPr>
          <w:rFonts w:ascii="Garamond" w:eastAsiaTheme="minorHAnsi" w:hAnsi="Garamond"/>
          <w:i/>
          <w:iCs/>
          <w:color w:val="000000"/>
          <w:sz w:val="24"/>
          <w:szCs w:val="24"/>
          <w14:ligatures w14:val="standardContextual"/>
        </w:rPr>
        <w:t xml:space="preserve"> Nëse ndërhyrja ndoqi një qëllim legjitim</w:t>
      </w:r>
    </w:p>
    <w:p w14:paraId="5B147DAC" w14:textId="7959B8F2"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47. Gjykata vëren arsyetimin e Gjykatës Kushtetuese se ndalimi i pranimit të kërkuesit në Shkollën e Magjistraturës kishte për qëllim garantimin e integritetit të kandidatëve për karrierë si magjistrat për të mbrojtur pavarësinë e shtetit, rendin demokratik dhe sigurinë kombëtare (shih paragrafin 9 më sipër). Duke pasur parasysh edhe pretendimet e </w:t>
      </w:r>
      <w:r w:rsidR="00747F02" w:rsidRPr="00DD58C7">
        <w:rPr>
          <w:rFonts w:ascii="Garamond" w:eastAsiaTheme="minorHAnsi" w:hAnsi="Garamond"/>
          <w:color w:val="000000"/>
          <w:sz w:val="24"/>
          <w:szCs w:val="24"/>
          <w14:ligatures w14:val="standardContextual"/>
        </w:rPr>
        <w:t xml:space="preserve">qeverisë </w:t>
      </w:r>
      <w:r w:rsidRPr="00DD58C7">
        <w:rPr>
          <w:rFonts w:ascii="Garamond" w:eastAsiaTheme="minorHAnsi" w:hAnsi="Garamond"/>
          <w:color w:val="000000"/>
          <w:sz w:val="24"/>
          <w:szCs w:val="24"/>
          <w14:ligatures w14:val="standardContextual"/>
        </w:rPr>
        <w:t xml:space="preserve">se ndërhyrja ndoqi qëllimin e rivendosjes së besimit publik në sistemin e drejtësisë (shih paragrafin 40 më sipër), Gjykata pranon se ndërhyrja në të drejtën e kërkuesit për respektimin e jetës së tij private ndoqi qëllimet legjitime të mbrojtjes së sigurisë kombëtare, sigurisë publike dhe të drejtave dhe lirive të </w:t>
      </w:r>
      <w:proofErr w:type="spellStart"/>
      <w:r w:rsidRPr="00DD58C7">
        <w:rPr>
          <w:rFonts w:ascii="Garamond" w:eastAsiaTheme="minorHAnsi" w:hAnsi="Garamond"/>
          <w:color w:val="000000"/>
          <w:sz w:val="24"/>
          <w:szCs w:val="24"/>
          <w14:ligatures w14:val="standardContextual"/>
        </w:rPr>
        <w:t>të</w:t>
      </w:r>
      <w:proofErr w:type="spellEnd"/>
      <w:r w:rsidRPr="00DD58C7">
        <w:rPr>
          <w:rFonts w:ascii="Garamond" w:eastAsiaTheme="minorHAnsi" w:hAnsi="Garamond"/>
          <w:color w:val="000000"/>
          <w:sz w:val="24"/>
          <w:szCs w:val="24"/>
          <w14:ligatures w14:val="standardContextual"/>
        </w:rPr>
        <w:t xml:space="preserve"> tjerëve sipas interpretimit të </w:t>
      </w:r>
      <w:r w:rsidR="00747F02" w:rsidRPr="00DD58C7">
        <w:rPr>
          <w:rFonts w:ascii="Garamond" w:eastAsiaTheme="minorHAnsi" w:hAnsi="Garamond"/>
          <w:color w:val="000000"/>
          <w:sz w:val="24"/>
          <w:szCs w:val="24"/>
          <w14:ligatures w14:val="standardContextual"/>
        </w:rPr>
        <w:t xml:space="preserve">nenit </w:t>
      </w:r>
      <w:r w:rsidRPr="00DD58C7">
        <w:rPr>
          <w:rFonts w:ascii="Garamond" w:eastAsiaTheme="minorHAnsi" w:hAnsi="Garamond"/>
          <w:color w:val="000000"/>
          <w:sz w:val="24"/>
          <w:szCs w:val="24"/>
          <w14:ligatures w14:val="standardContextual"/>
        </w:rPr>
        <w:t xml:space="preserve">8 § 2 (shih </w:t>
      </w:r>
      <w:proofErr w:type="spellStart"/>
      <w:r w:rsidRPr="00DD58C7">
        <w:rPr>
          <w:rFonts w:ascii="Garamond" w:eastAsiaTheme="minorHAnsi" w:hAnsi="Garamond"/>
          <w:i/>
          <w:iCs/>
          <w:color w:val="000000"/>
          <w:sz w:val="24"/>
          <w:szCs w:val="24"/>
          <w14:ligatures w14:val="standardContextual"/>
        </w:rPr>
        <w:t>Xhoxhaj</w:t>
      </w:r>
      <w:proofErr w:type="spellEnd"/>
      <w:r w:rsidRPr="00DD58C7">
        <w:rPr>
          <w:rFonts w:ascii="Garamond" w:eastAsiaTheme="minorHAnsi" w:hAnsi="Garamond"/>
          <w:color w:val="000000"/>
          <w:sz w:val="24"/>
          <w:szCs w:val="24"/>
          <w14:ligatures w14:val="standardContextual"/>
        </w:rPr>
        <w:t>, i cituar më sipër, §§ 391</w:t>
      </w:r>
      <w:r w:rsidR="00747F02">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93).</w:t>
      </w:r>
    </w:p>
    <w:p w14:paraId="1F090FBC" w14:textId="299495A5" w:rsidR="0007274E" w:rsidRPr="00DD58C7" w:rsidRDefault="00747F02" w:rsidP="0007274E">
      <w:pPr>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proofErr w:type="spellStart"/>
      <w:r>
        <w:rPr>
          <w:rFonts w:ascii="Garamond" w:eastAsiaTheme="minorHAnsi" w:hAnsi="Garamond"/>
          <w:i/>
          <w:iCs/>
          <w:color w:val="000000"/>
          <w:sz w:val="24"/>
          <w:szCs w:val="24"/>
          <w14:ligatures w14:val="standardContextual"/>
        </w:rPr>
        <w:t>iii</w:t>
      </w:r>
      <w:proofErr w:type="spellEnd"/>
      <w:r>
        <w:rPr>
          <w:rFonts w:ascii="Garamond" w:eastAsiaTheme="minorHAnsi" w:hAnsi="Garamond"/>
          <w:i/>
          <w:iCs/>
          <w:color w:val="000000"/>
          <w:sz w:val="24"/>
          <w:szCs w:val="24"/>
          <w14:ligatures w14:val="standardContextual"/>
        </w:rPr>
        <w:t>.</w:t>
      </w:r>
      <w:r w:rsidR="0007274E" w:rsidRPr="00DD58C7">
        <w:rPr>
          <w:rFonts w:ascii="Garamond" w:eastAsiaTheme="minorHAnsi" w:hAnsi="Garamond"/>
          <w:i/>
          <w:iCs/>
          <w:color w:val="000000"/>
          <w:sz w:val="24"/>
          <w:szCs w:val="24"/>
          <w14:ligatures w14:val="standardContextual"/>
        </w:rPr>
        <w:t xml:space="preserve"> Nëse ndërhyrja ishte “e nevojshme në një shoqëri demokratike”</w:t>
      </w:r>
    </w:p>
    <w:p w14:paraId="4A9AB899" w14:textId="0E756C85"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α) Parime të përgjithshme</w:t>
      </w:r>
    </w:p>
    <w:p w14:paraId="40A85FD5" w14:textId="518176EE"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48. Për të përcaktuar nëse masa e kontestuar ishte “e nevojshme në një shoqëri demokratike”, Gjykata duhet të shqyrtojë nëse, në rastin e çështjes në tërësi, arsyet e paraqitura për të justifikuar masën ishin relevante dhe të mjaftueshme</w:t>
      </w:r>
      <w:r w:rsidR="00B17DB5">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dhe nëse ajo ishte në proporcion me qëllimet legjitime të ndjekura (shih </w:t>
      </w:r>
      <w:proofErr w:type="spellStart"/>
      <w:r w:rsidRPr="00DD58C7">
        <w:rPr>
          <w:rFonts w:ascii="Garamond" w:eastAsiaTheme="minorHAnsi" w:hAnsi="Garamond"/>
          <w:i/>
          <w:iCs/>
          <w:color w:val="000000"/>
          <w:sz w:val="24"/>
          <w:szCs w:val="24"/>
          <w14:ligatures w14:val="standardContextual"/>
        </w:rPr>
        <w:t>Pişkin</w:t>
      </w:r>
      <w:proofErr w:type="spellEnd"/>
      <w:r w:rsidRPr="00DD58C7">
        <w:rPr>
          <w:rFonts w:ascii="Garamond" w:eastAsiaTheme="minorHAnsi" w:hAnsi="Garamond"/>
          <w:color w:val="000000"/>
          <w:sz w:val="24"/>
          <w:szCs w:val="24"/>
          <w14:ligatures w14:val="standardContextual"/>
        </w:rPr>
        <w:t>, i cituar më sipër, § 212).</w:t>
      </w:r>
    </w:p>
    <w:p w14:paraId="49280A8B" w14:textId="75DEE183"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49. Në këtë kontekst, Gjykata përsërit rëndësinë themelore të detyrimit për të deklaruar arsyen për aktet administrative që prekin interesat individuale (shih, ndër autoritetet e fundit, </w:t>
      </w:r>
      <w:proofErr w:type="spellStart"/>
      <w:r w:rsidRPr="00DD58C7">
        <w:rPr>
          <w:rFonts w:ascii="Garamond" w:eastAsiaTheme="minorHAnsi" w:hAnsi="Garamond"/>
          <w:i/>
          <w:iCs/>
          <w:color w:val="000000"/>
          <w:sz w:val="24"/>
          <w:szCs w:val="24"/>
          <w14:ligatures w14:val="standardContextual"/>
        </w:rPr>
        <w:t>Versaci</w:t>
      </w:r>
      <w:proofErr w:type="spellEnd"/>
      <w:r w:rsidRPr="00DD58C7">
        <w:rPr>
          <w:rFonts w:ascii="Garamond" w:eastAsiaTheme="minorHAnsi" w:hAnsi="Garamond"/>
          <w:i/>
          <w:iCs/>
          <w:color w:val="000000"/>
          <w:sz w:val="24"/>
          <w:szCs w:val="24"/>
          <w14:ligatures w14:val="standardContextual"/>
        </w:rPr>
        <w:t xml:space="preserve"> kundër Italisë</w:t>
      </w:r>
      <w:r w:rsidRPr="00DD58C7">
        <w:rPr>
          <w:rFonts w:ascii="Garamond" w:eastAsiaTheme="minorHAnsi" w:hAnsi="Garamond"/>
          <w:color w:val="000000"/>
          <w:sz w:val="24"/>
          <w:szCs w:val="24"/>
          <w14:ligatures w14:val="standardContextual"/>
        </w:rPr>
        <w:t xml:space="preserve">, nr. 3795/22, § 141, 15 </w:t>
      </w:r>
      <w:r w:rsidR="00B17DB5">
        <w:rPr>
          <w:rFonts w:ascii="Garamond" w:eastAsiaTheme="minorHAnsi" w:hAnsi="Garamond"/>
          <w:color w:val="000000"/>
          <w:sz w:val="24"/>
          <w:szCs w:val="24"/>
          <w14:ligatures w14:val="standardContextual"/>
        </w:rPr>
        <w:t>m</w:t>
      </w:r>
      <w:r w:rsidRPr="00DD58C7">
        <w:rPr>
          <w:rFonts w:ascii="Garamond" w:eastAsiaTheme="minorHAnsi" w:hAnsi="Garamond"/>
          <w:color w:val="000000"/>
          <w:sz w:val="24"/>
          <w:szCs w:val="24"/>
          <w14:ligatures w14:val="standardContextual"/>
        </w:rPr>
        <w:t xml:space="preserve">aj 2025). Megjithatë, teksa u takon autoriteteve kombëtare të bëjnë vlerësimin fillestar të domosdoshmërisë, vlerësimi përfundimtar nëse arsyet e cituara për ndërhyrje janë relevante dhe të mjaftueshme mbetet subjekt i shqyrtimit nga Gjykata për përputhshmëri me kërkesat e Konventës. Gjykata duhet të sigurohet që autoritetet vendase kanë zbatuar standarde që ishin në përputhje me parimet e përfshira në Konventë dhe, për më tepër, se ato i kanë mbështetur vendimet e tyre në një vlerësim të pranueshëm të fakteve përkatëse. Lidhur me shqyrtimin e kryer nga gjykatat vendase, duhet theksuar se, teksa </w:t>
      </w:r>
      <w:r w:rsidR="00F10911">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eni 8 nuk përmban kërkesa të qarta procedurale, Gjykata nuk mund të vlerësojë në mënyrë të kënaqshme nëse arsyet e paraqitura nga autoritetet vendase për të justifikuar vendimet e tyre ishin “të mjaftueshme”</w:t>
      </w:r>
      <w:r w:rsidR="00F10911">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për qëllimet e </w:t>
      </w:r>
      <w:r w:rsidR="00F10911">
        <w:rPr>
          <w:rFonts w:ascii="Garamond" w:eastAsiaTheme="minorHAnsi" w:hAnsi="Garamond"/>
          <w:color w:val="000000"/>
          <w:sz w:val="24"/>
          <w:szCs w:val="24"/>
          <w14:ligatures w14:val="standardContextual"/>
        </w:rPr>
        <w:t>nenit 8 §</w:t>
      </w:r>
      <w:r w:rsidRPr="00DD58C7">
        <w:rPr>
          <w:rFonts w:ascii="Garamond" w:eastAsiaTheme="minorHAnsi" w:hAnsi="Garamond"/>
          <w:color w:val="000000"/>
          <w:sz w:val="24"/>
          <w:szCs w:val="24"/>
          <w14:ligatures w14:val="standardContextual"/>
        </w:rPr>
        <w:t xml:space="preserve">2 pa përcaktuar në të njëjtën kohë nëse procesi i vendimmarrjes, i parë në tërësi, i siguroi kërkuesit mbrojtjen e nevojshme të interesave të tij, siç mbrohet nga ai </w:t>
      </w:r>
      <w:r w:rsidR="00F10911">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en (</w:t>
      </w:r>
      <w:proofErr w:type="spellStart"/>
      <w:r w:rsidRPr="00DD58C7">
        <w:rPr>
          <w:rFonts w:ascii="Garamond" w:eastAsiaTheme="minorHAnsi" w:hAnsi="Garamond"/>
          <w:i/>
          <w:iCs/>
          <w:color w:val="000000"/>
          <w:sz w:val="24"/>
          <w:szCs w:val="24"/>
          <w14:ligatures w14:val="standardContextual"/>
        </w:rPr>
        <w:t>ibid</w:t>
      </w:r>
      <w:proofErr w:type="spellEnd"/>
      <w:r w:rsidRPr="00DD58C7">
        <w:rPr>
          <w:rFonts w:ascii="Garamond" w:eastAsiaTheme="minorHAnsi" w:hAnsi="Garamond"/>
          <w:color w:val="000000"/>
          <w:sz w:val="24"/>
          <w:szCs w:val="24"/>
          <w14:ligatures w14:val="standardContextual"/>
        </w:rPr>
        <w:t>., §§ 141</w:t>
      </w:r>
      <w:r w:rsidR="00F10911">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43).</w:t>
      </w:r>
    </w:p>
    <w:p w14:paraId="706E5A65" w14:textId="1A1FC54C"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50. Edhe pse në një kontekst të ndryshëm, Gjykata ka vendosur tashmë se autoritetet vendase mund të marrin në mënyrë legjitime masa që pengojnë individë të caktuar të ushtrojnë profesione të caktuara të ndjeshme, megjithatë me kusht që të përmbushen një numër kërkesash (shih </w:t>
      </w:r>
      <w:r w:rsidRPr="00DD58C7">
        <w:rPr>
          <w:rFonts w:ascii="Garamond" w:eastAsiaTheme="minorHAnsi" w:hAnsi="Garamond"/>
          <w:i/>
          <w:iCs/>
          <w:color w:val="000000"/>
          <w:sz w:val="24"/>
          <w:szCs w:val="24"/>
          <w14:ligatures w14:val="standardContextual"/>
        </w:rPr>
        <w:t>Opinionin këshillimor nëse një individi mund t’i mohohet autorizimi për të punuar si roje sigurie ose oficer për shkak të afërsisë ose përkatësisë së tij në një lëvizje fetare</w:t>
      </w:r>
      <w:r w:rsidRPr="00DD58C7">
        <w:rPr>
          <w:rFonts w:ascii="Garamond" w:eastAsiaTheme="minorHAnsi" w:hAnsi="Garamond"/>
          <w:color w:val="000000"/>
          <w:sz w:val="24"/>
          <w:szCs w:val="24"/>
          <w14:ligatures w14:val="standardContextual"/>
        </w:rPr>
        <w:t xml:space="preserve"> [</w:t>
      </w:r>
      <w:proofErr w:type="spellStart"/>
      <w:r w:rsidRPr="00DD58C7">
        <w:rPr>
          <w:rFonts w:ascii="Garamond" w:eastAsiaTheme="minorHAnsi" w:hAnsi="Garamond"/>
          <w:color w:val="000000"/>
          <w:sz w:val="24"/>
          <w:szCs w:val="24"/>
          <w14:ligatures w14:val="standardContextual"/>
        </w:rPr>
        <w:t>DHM</w:t>
      </w:r>
      <w:proofErr w:type="spellEnd"/>
      <w:r w:rsidRPr="00DD58C7">
        <w:rPr>
          <w:rFonts w:ascii="Garamond" w:eastAsiaTheme="minorHAnsi" w:hAnsi="Garamond"/>
          <w:color w:val="000000"/>
          <w:sz w:val="24"/>
          <w:szCs w:val="24"/>
          <w14:ligatures w14:val="standardContextual"/>
        </w:rPr>
        <w:t xml:space="preserve">], kërkesa nr. P16-2023-001, </w:t>
      </w:r>
      <w:r w:rsidRPr="00DD58C7">
        <w:rPr>
          <w:rFonts w:ascii="Garamond" w:eastAsiaTheme="minorHAnsi" w:hAnsi="Garamond"/>
          <w:i/>
          <w:iCs/>
          <w:color w:val="000000"/>
          <w:sz w:val="24"/>
          <w:szCs w:val="24"/>
          <w14:ligatures w14:val="standardContextual"/>
        </w:rPr>
        <w:t>Këshilli i Shtetit</w:t>
      </w:r>
      <w:r w:rsidRPr="00DD58C7">
        <w:rPr>
          <w:rFonts w:ascii="Garamond" w:eastAsiaTheme="minorHAnsi" w:hAnsi="Garamond"/>
          <w:color w:val="000000"/>
          <w:sz w:val="24"/>
          <w:szCs w:val="24"/>
          <w14:ligatures w14:val="standardContextual"/>
        </w:rPr>
        <w:t xml:space="preserve"> i Belgjikës, §§ </w:t>
      </w:r>
      <w:r w:rsidRPr="00DD58C7">
        <w:rPr>
          <w:rFonts w:ascii="Garamond" w:eastAsiaTheme="minorHAnsi" w:hAnsi="Garamond"/>
          <w:color w:val="000000"/>
          <w:sz w:val="24"/>
          <w:szCs w:val="24"/>
          <w14:ligatures w14:val="standardContextual"/>
        </w:rPr>
        <w:lastRenderedPageBreak/>
        <w:t>84</w:t>
      </w:r>
      <w:r w:rsidR="002419D9">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85 dhe 92, 14 </w:t>
      </w:r>
      <w:r w:rsidR="002419D9">
        <w:rPr>
          <w:rFonts w:ascii="Garamond" w:eastAsiaTheme="minorHAnsi" w:hAnsi="Garamond"/>
          <w:color w:val="000000"/>
          <w:sz w:val="24"/>
          <w:szCs w:val="24"/>
          <w14:ligatures w14:val="standardContextual"/>
        </w:rPr>
        <w:t>d</w:t>
      </w:r>
      <w:r w:rsidRPr="00DD58C7">
        <w:rPr>
          <w:rFonts w:ascii="Garamond" w:eastAsiaTheme="minorHAnsi" w:hAnsi="Garamond"/>
          <w:color w:val="000000"/>
          <w:sz w:val="24"/>
          <w:szCs w:val="24"/>
          <w14:ligatures w14:val="standardContextual"/>
        </w:rPr>
        <w:t>hjetor 2023). Në veçanti, Gjykata ka vendosur se analiza e riskut që autoritetet vendase duhet të kryejnë</w:t>
      </w:r>
      <w:r w:rsidR="002419D9">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duhet të marrë parasysh natyrën e rolit specifik në fjalë (</w:t>
      </w:r>
      <w:proofErr w:type="spellStart"/>
      <w:r w:rsidRPr="00DD58C7">
        <w:rPr>
          <w:rFonts w:ascii="Garamond" w:eastAsiaTheme="minorHAnsi" w:hAnsi="Garamond"/>
          <w:i/>
          <w:iCs/>
          <w:color w:val="000000"/>
          <w:sz w:val="24"/>
          <w:szCs w:val="24"/>
          <w14:ligatures w14:val="standardContextual"/>
        </w:rPr>
        <w:t>ibid</w:t>
      </w:r>
      <w:proofErr w:type="spellEnd"/>
      <w:r w:rsidRPr="00DD58C7">
        <w:rPr>
          <w:rFonts w:ascii="Garamond" w:eastAsiaTheme="minorHAnsi" w:hAnsi="Garamond"/>
          <w:color w:val="000000"/>
          <w:sz w:val="24"/>
          <w:szCs w:val="24"/>
          <w14:ligatures w14:val="standardContextual"/>
        </w:rPr>
        <w:t>., § 93), dhe se rreziku duhet të jetë subjekt i një vlerësimi individual dhe të detajuar të kryer sipas situatës personale të individit në fjalë (</w:t>
      </w:r>
      <w:proofErr w:type="spellStart"/>
      <w:r w:rsidRPr="00DD58C7">
        <w:rPr>
          <w:rFonts w:ascii="Garamond" w:eastAsiaTheme="minorHAnsi" w:hAnsi="Garamond"/>
          <w:i/>
          <w:iCs/>
          <w:color w:val="000000"/>
          <w:sz w:val="24"/>
          <w:szCs w:val="24"/>
          <w14:ligatures w14:val="standardContextual"/>
        </w:rPr>
        <w:t>ibid</w:t>
      </w:r>
      <w:proofErr w:type="spellEnd"/>
      <w:r w:rsidRPr="00DD58C7">
        <w:rPr>
          <w:rFonts w:ascii="Garamond" w:eastAsiaTheme="minorHAnsi" w:hAnsi="Garamond"/>
          <w:color w:val="000000"/>
          <w:sz w:val="24"/>
          <w:szCs w:val="24"/>
          <w14:ligatures w14:val="standardContextual"/>
        </w:rPr>
        <w:t>., § 100), megjithëse pa shpërfillur plotësisht kontekstin e përgjithshëm (</w:t>
      </w:r>
      <w:proofErr w:type="spellStart"/>
      <w:r w:rsidRPr="00DD58C7">
        <w:rPr>
          <w:rFonts w:ascii="Garamond" w:eastAsiaTheme="minorHAnsi" w:hAnsi="Garamond"/>
          <w:i/>
          <w:iCs/>
          <w:color w:val="000000"/>
          <w:sz w:val="24"/>
          <w:szCs w:val="24"/>
          <w14:ligatures w14:val="standardContextual"/>
        </w:rPr>
        <w:t>ibid</w:t>
      </w:r>
      <w:proofErr w:type="spellEnd"/>
      <w:r w:rsidRPr="00DD58C7">
        <w:rPr>
          <w:rFonts w:ascii="Garamond" w:eastAsiaTheme="minorHAnsi" w:hAnsi="Garamond"/>
          <w:color w:val="000000"/>
          <w:sz w:val="24"/>
          <w:szCs w:val="24"/>
          <w14:ligatures w14:val="standardContextual"/>
        </w:rPr>
        <w:t xml:space="preserve">., § 101). Gjykata ka sqaruar më tej se, pavarësisht nga natyra e së drejtës ose interesit që një masë parandaluese kërkon të mbrojë, duhet të ketë një rrezik real, me fjalë të tjera një rrezik që është i përcaktuar mjaftueshëm. Përmbajtja e një rreziku të thjeshtë spekulativ, i paraqitur si një masë parandaluese për mbrojtjen e demokracisë dhe vlerave të saj, nuk mund të shihet si përmbushje e një nevoje urgjente shoqërore. Që miratimi i masave parandaluese të jetë i ligjshëm, mund të jetë e nevojshme që autoritetet të bëjnë vlerësime specifike të shkallës së mundshme të pasojave që do të sillte përmbushja e rrezikut nëse nuk do të eliminohej në kohë. Përveç kësaj, </w:t>
      </w:r>
      <w:r w:rsidR="002419D9">
        <w:rPr>
          <w:rFonts w:ascii="Garamond" w:eastAsiaTheme="minorHAnsi" w:hAnsi="Garamond"/>
          <w:color w:val="000000"/>
          <w:sz w:val="24"/>
          <w:szCs w:val="24"/>
          <w14:ligatures w14:val="standardContextual"/>
        </w:rPr>
        <w:t>rreziku që veprimi parandalues</w:t>
      </w:r>
      <w:r w:rsidRPr="00DD58C7">
        <w:rPr>
          <w:rFonts w:ascii="Garamond" w:eastAsiaTheme="minorHAnsi" w:hAnsi="Garamond"/>
          <w:color w:val="000000"/>
          <w:sz w:val="24"/>
          <w:szCs w:val="24"/>
          <w14:ligatures w14:val="standardContextual"/>
        </w:rPr>
        <w:t xml:space="preserve"> i autoriteteve kërkon të shmangë duhet të jetë serioz dhe madje të ketë një rëndësi të caktuar, pa të cilën çdo kufizim i të drejtave dhe lirive të </w:t>
      </w:r>
      <w:proofErr w:type="spellStart"/>
      <w:r w:rsidRPr="00DD58C7">
        <w:rPr>
          <w:rFonts w:ascii="Garamond" w:eastAsiaTheme="minorHAnsi" w:hAnsi="Garamond"/>
          <w:color w:val="000000"/>
          <w:sz w:val="24"/>
          <w:szCs w:val="24"/>
          <w14:ligatures w14:val="standardContextual"/>
        </w:rPr>
        <w:t>të</w:t>
      </w:r>
      <w:proofErr w:type="spellEnd"/>
      <w:r w:rsidRPr="00DD58C7">
        <w:rPr>
          <w:rFonts w:ascii="Garamond" w:eastAsiaTheme="minorHAnsi" w:hAnsi="Garamond"/>
          <w:color w:val="000000"/>
          <w:sz w:val="24"/>
          <w:szCs w:val="24"/>
          <w14:ligatures w14:val="standardContextual"/>
        </w:rPr>
        <w:t xml:space="preserve"> tjerëve mund të mos jetë i ligjshëm (</w:t>
      </w:r>
      <w:proofErr w:type="spellStart"/>
      <w:r w:rsidRPr="00DD58C7">
        <w:rPr>
          <w:rFonts w:ascii="Garamond" w:eastAsiaTheme="minorHAnsi" w:hAnsi="Garamond"/>
          <w:i/>
          <w:iCs/>
          <w:color w:val="000000"/>
          <w:sz w:val="24"/>
          <w:szCs w:val="24"/>
          <w14:ligatures w14:val="standardContextual"/>
        </w:rPr>
        <w:t>ibid</w:t>
      </w:r>
      <w:proofErr w:type="spellEnd"/>
      <w:r w:rsidRPr="00DD58C7">
        <w:rPr>
          <w:rFonts w:ascii="Garamond" w:eastAsiaTheme="minorHAnsi" w:hAnsi="Garamond"/>
          <w:color w:val="000000"/>
          <w:sz w:val="24"/>
          <w:szCs w:val="24"/>
          <w14:ligatures w14:val="standardContextual"/>
        </w:rPr>
        <w:t>., §§ 103</w:t>
      </w:r>
      <w:r w:rsidR="002419D9">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04). Së fundmi, Gjykata ka vendosur se si vlerësimi i personalizuar i ekzistencës së një rreziku ashtu edhe vlerësimi i realitetit dhe shkallës së atij rreziku nga autoritetet përkatëse kombëtare duhet t’i nënshtrohen shqyrtimit nga një autoritet gjyqësor i pavarur (</w:t>
      </w:r>
      <w:proofErr w:type="spellStart"/>
      <w:r w:rsidRPr="00DD58C7">
        <w:rPr>
          <w:rFonts w:ascii="Garamond" w:eastAsiaTheme="minorHAnsi" w:hAnsi="Garamond"/>
          <w:i/>
          <w:iCs/>
          <w:color w:val="000000"/>
          <w:sz w:val="24"/>
          <w:szCs w:val="24"/>
          <w14:ligatures w14:val="standardContextual"/>
        </w:rPr>
        <w:t>ibid</w:t>
      </w:r>
      <w:proofErr w:type="spellEnd"/>
      <w:r w:rsidRPr="00DD58C7">
        <w:rPr>
          <w:rFonts w:ascii="Garamond" w:eastAsiaTheme="minorHAnsi" w:hAnsi="Garamond"/>
          <w:color w:val="000000"/>
          <w:sz w:val="24"/>
          <w:szCs w:val="24"/>
          <w14:ligatures w14:val="standardContextual"/>
        </w:rPr>
        <w:t>., §§ 101 dhe 105). Një autoritet i tillë duhet të jetë në gjendje të kryejë një shqyrtim efektiv të masës së kontestuar, dhe ky shqyrtim, për të përmbushur kërkesat e Konventës, duhet të ketë të bëjë me realitetin e rrezikut të identifikuar, shkallën e tij, natyrën dhe urgjencën e tij (</w:t>
      </w:r>
      <w:proofErr w:type="spellStart"/>
      <w:r w:rsidRPr="00DD58C7">
        <w:rPr>
          <w:rFonts w:ascii="Garamond" w:eastAsiaTheme="minorHAnsi" w:hAnsi="Garamond"/>
          <w:i/>
          <w:iCs/>
          <w:color w:val="000000"/>
          <w:sz w:val="24"/>
          <w:szCs w:val="24"/>
          <w14:ligatures w14:val="standardContextual"/>
        </w:rPr>
        <w:t>ibid</w:t>
      </w:r>
      <w:proofErr w:type="spellEnd"/>
      <w:r w:rsidRPr="00DD58C7">
        <w:rPr>
          <w:rFonts w:ascii="Garamond" w:eastAsiaTheme="minorHAnsi" w:hAnsi="Garamond"/>
          <w:color w:val="000000"/>
          <w:sz w:val="24"/>
          <w:szCs w:val="24"/>
          <w14:ligatures w14:val="standardContextual"/>
        </w:rPr>
        <w:t>., § 112).</w:t>
      </w:r>
    </w:p>
    <w:p w14:paraId="5C33EC46" w14:textId="5A7F7EAE" w:rsidR="0007274E" w:rsidRPr="00DD58C7" w:rsidRDefault="0007274E" w:rsidP="0007274E">
      <w:pPr>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DD58C7">
        <w:rPr>
          <w:rFonts w:ascii="Garamond" w:eastAsiaTheme="minorHAnsi" w:hAnsi="Garamond"/>
          <w:i/>
          <w:iCs/>
          <w:color w:val="000000"/>
          <w:sz w:val="24"/>
          <w:szCs w:val="24"/>
          <w14:ligatures w14:val="standardContextual"/>
        </w:rPr>
        <w:t>β) Zbatimi i parimeve të mësipërme në rastin aktual</w:t>
      </w:r>
    </w:p>
    <w:p w14:paraId="7660F8A8" w14:textId="10871BCC"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51. Gjykata vëren se prokurorët, ashtu si gjyqtarët, duhet të përmbushin standarde të larta integriteti në kryerjen e detyrave të tyre profesionale dhe çështjeve të tyre private jashtë detyrës, me qëllim ruajtjen e besimit të publikut në integritetin e sistemit të drejtësisë (shih </w:t>
      </w:r>
      <w:proofErr w:type="spellStart"/>
      <w:r w:rsidRPr="00DD58C7">
        <w:rPr>
          <w:rFonts w:ascii="Garamond" w:eastAsiaTheme="minorHAnsi" w:hAnsi="Garamond"/>
          <w:i/>
          <w:iCs/>
          <w:color w:val="000000"/>
          <w:sz w:val="24"/>
          <w:szCs w:val="24"/>
          <w14:ligatures w14:val="standardContextual"/>
        </w:rPr>
        <w:t>Sevdari</w:t>
      </w:r>
      <w:proofErr w:type="spellEnd"/>
      <w:r w:rsidRPr="00DD58C7">
        <w:rPr>
          <w:rFonts w:ascii="Garamond" w:eastAsiaTheme="minorHAnsi" w:hAnsi="Garamond"/>
          <w:i/>
          <w:iCs/>
          <w:color w:val="000000"/>
          <w:sz w:val="24"/>
          <w:szCs w:val="24"/>
          <w14:ligatures w14:val="standardContextual"/>
        </w:rPr>
        <w:t xml:space="preserve"> kundër Shqipërisë</w:t>
      </w:r>
      <w:r w:rsidRPr="00DD58C7">
        <w:rPr>
          <w:rFonts w:ascii="Garamond" w:eastAsiaTheme="minorHAnsi" w:hAnsi="Garamond"/>
          <w:color w:val="000000"/>
          <w:sz w:val="24"/>
          <w:szCs w:val="24"/>
          <w14:ligatures w14:val="standardContextual"/>
        </w:rPr>
        <w:t xml:space="preserve">, nr. 40662/19, § 95, 13 </w:t>
      </w:r>
      <w:r w:rsidR="004D21F6">
        <w:rPr>
          <w:rFonts w:ascii="Garamond" w:eastAsiaTheme="minorHAnsi" w:hAnsi="Garamond"/>
          <w:color w:val="000000"/>
          <w:sz w:val="24"/>
          <w:szCs w:val="24"/>
          <w14:ligatures w14:val="standardContextual"/>
        </w:rPr>
        <w:t>d</w:t>
      </w:r>
      <w:r w:rsidRPr="00DD58C7">
        <w:rPr>
          <w:rFonts w:ascii="Garamond" w:eastAsiaTheme="minorHAnsi" w:hAnsi="Garamond"/>
          <w:color w:val="000000"/>
          <w:sz w:val="24"/>
          <w:szCs w:val="24"/>
          <w14:ligatures w14:val="standardContextual"/>
        </w:rPr>
        <w:t>hjetor 2022; shih</w:t>
      </w:r>
      <w:r w:rsidR="004D21F6">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gjithashtu</w:t>
      </w:r>
      <w:r w:rsidR="004D21F6">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Udhëzimet Evropiane mbi Etikën dhe Sj</w:t>
      </w:r>
      <w:r w:rsidR="004D21F6">
        <w:rPr>
          <w:rFonts w:ascii="Garamond" w:eastAsiaTheme="minorHAnsi" w:hAnsi="Garamond"/>
          <w:color w:val="000000"/>
          <w:sz w:val="24"/>
          <w:szCs w:val="24"/>
          <w14:ligatures w14:val="standardContextual"/>
        </w:rPr>
        <w:t>elljen për Prokurorët Publikë (Udhëzimet e Budapestit</w:t>
      </w:r>
      <w:r w:rsidRPr="00DD58C7">
        <w:rPr>
          <w:rFonts w:ascii="Garamond" w:eastAsiaTheme="minorHAnsi" w:hAnsi="Garamond"/>
          <w:color w:val="000000"/>
          <w:sz w:val="24"/>
          <w:szCs w:val="24"/>
          <w14:ligatures w14:val="standardContextual"/>
        </w:rPr>
        <w:t>), dhe Opinionin pasues nr. 13 (2018) mbi pavarësinë, llogaridhënien dhe etikën e prokurorëve, të lëshuar nga Këshilli Konsultativ i Prokurorëve Evropianë të Këshillit të Evropës, i cituar në paragrafët 22</w:t>
      </w:r>
      <w:r w:rsidR="004D21F6">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23 më sipër). Mund të pranohet se për këtë qëllim </w:t>
      </w:r>
      <w:r w:rsidR="008D081F">
        <w:rPr>
          <w:rFonts w:ascii="Garamond" w:eastAsiaTheme="minorHAnsi" w:hAnsi="Garamond"/>
          <w:color w:val="000000"/>
          <w:sz w:val="24"/>
          <w:szCs w:val="24"/>
          <w14:ligatures w14:val="standardContextual"/>
        </w:rPr>
        <w:t>s</w:t>
      </w:r>
      <w:r w:rsidRPr="00DD58C7">
        <w:rPr>
          <w:rFonts w:ascii="Garamond" w:eastAsiaTheme="minorHAnsi" w:hAnsi="Garamond"/>
          <w:color w:val="000000"/>
          <w:sz w:val="24"/>
          <w:szCs w:val="24"/>
          <w14:ligatures w14:val="standardContextual"/>
        </w:rPr>
        <w:t xml:space="preserve">htetet mund të përcaktojnë rregulla të përgjithshme që kufizojnë </w:t>
      </w:r>
      <w:proofErr w:type="spellStart"/>
      <w:r w:rsidRPr="00DD58C7">
        <w:rPr>
          <w:rFonts w:ascii="Garamond" w:eastAsiaTheme="minorHAnsi" w:hAnsi="Garamond"/>
          <w:color w:val="000000"/>
          <w:sz w:val="24"/>
          <w:szCs w:val="24"/>
          <w14:ligatures w14:val="standardContextual"/>
        </w:rPr>
        <w:t>aksesin</w:t>
      </w:r>
      <w:proofErr w:type="spellEnd"/>
      <w:r w:rsidRPr="00DD58C7">
        <w:rPr>
          <w:rFonts w:ascii="Garamond" w:eastAsiaTheme="minorHAnsi" w:hAnsi="Garamond"/>
          <w:color w:val="000000"/>
          <w:sz w:val="24"/>
          <w:szCs w:val="24"/>
          <w14:ligatures w14:val="standardContextual"/>
        </w:rPr>
        <w:t xml:space="preserve"> në këto profesione për arsye integriteti. Megjithatë, Gjykata konsideron se në parim kërkohet një vlerësim i individualizuar, veçanërisht kur bëhet fjalë se sa të rënda janë veprat penale të </w:t>
      </w:r>
      <w:proofErr w:type="spellStart"/>
      <w:r w:rsidRPr="00DD58C7">
        <w:rPr>
          <w:rFonts w:ascii="Garamond" w:eastAsiaTheme="minorHAnsi" w:hAnsi="Garamond"/>
          <w:color w:val="000000"/>
          <w:sz w:val="24"/>
          <w:szCs w:val="24"/>
          <w14:ligatures w14:val="standardContextual"/>
        </w:rPr>
        <w:t>të</w:t>
      </w:r>
      <w:proofErr w:type="spellEnd"/>
      <w:r w:rsidRPr="00DD58C7">
        <w:rPr>
          <w:rFonts w:ascii="Garamond" w:eastAsiaTheme="minorHAnsi" w:hAnsi="Garamond"/>
          <w:color w:val="000000"/>
          <w:sz w:val="24"/>
          <w:szCs w:val="24"/>
          <w14:ligatures w14:val="standardContextual"/>
        </w:rPr>
        <w:t xml:space="preserve"> miturve (shih paragrafin 50 më sipër).</w:t>
      </w:r>
    </w:p>
    <w:p w14:paraId="5BB5C636" w14:textId="6C753853"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52. Lidhur me rastin aktual, Gjykata vëren, së pari, se arsyetimi në vendimet e autoriteteve vendase ishte në thelb i kufizuar mbi çështjen nëse duhej interpretuar neni përkatës i Ligjit për Statusin e Gjyqtarëve dhe Prokurorëve në një mënyrë që do të </w:t>
      </w:r>
      <w:proofErr w:type="spellStart"/>
      <w:r w:rsidRPr="00DD58C7">
        <w:rPr>
          <w:rFonts w:ascii="Garamond" w:eastAsiaTheme="minorHAnsi" w:hAnsi="Garamond"/>
          <w:color w:val="000000"/>
          <w:sz w:val="24"/>
          <w:szCs w:val="24"/>
          <w14:ligatures w14:val="standardContextual"/>
        </w:rPr>
        <w:t>skualifikonte</w:t>
      </w:r>
      <w:proofErr w:type="spellEnd"/>
      <w:r w:rsidRPr="00DD58C7">
        <w:rPr>
          <w:rFonts w:ascii="Garamond" w:eastAsiaTheme="minorHAnsi" w:hAnsi="Garamond"/>
          <w:color w:val="000000"/>
          <w:sz w:val="24"/>
          <w:szCs w:val="24"/>
          <w14:ligatures w14:val="standardContextual"/>
        </w:rPr>
        <w:t xml:space="preserve"> ata të rehabilituar pas një dënimi penal, pavarësisht mungesës së dispozitave të qarta për këtë qëllim. Qëndrimi i mbajtur ishte se rehabilitimi nuk duhet të merret për të hequr automatikisht efektin e nenit 28(d), dhe se faktori vendimtar që duhej vlerësuar ishte natyra e veprës penale, edhe nëse një person ishte rehabilituar. Sipas autoriteteve vendase, fakti që kërkuesi ishte i mitur në kohën përkatëse nuk mund të anashkalonte natyrën serioze të veprës penale.</w:t>
      </w:r>
    </w:p>
    <w:p w14:paraId="189FB8E6" w14:textId="3D79325B"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53. Duke e kufizuar vlerësimin e tyre në këtë mënyrë, gjykatat vendase nuk ndërmorën një analizë të plotë dhe të individualizuar të rrethanave përkatëse për ndalimin e pranimit të kërkuesit në Shkollën e Magjistraturës dhe, rrjedhimisht, karrierën e një magjistrati. Prandaj, ato dështuan të kryenin ushtrimin e duhur të balancimit midis interesave konkurruese dhe të justifikonin pse ndalimi i pranimit të tij në atë institucion ishte proporcional dhe i pajtueshëm me nocionin e respektimit të jetës private.</w:t>
      </w:r>
    </w:p>
    <w:p w14:paraId="10639D83" w14:textId="7E68D504"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54. Së dyti, dhe më e rëndësishmja, Gjykata vëren se mosha e kërkuesit në kohën e veprës penale u konsiderua si pak e rëndësishme. E njëjta gjë vlente edhe për kohën e kaluar që nga vepra penale dhe sjelljen e tij gjatë asaj periudhe. Nuk pati diskutim mbi aspektin se sa e rëndë ishte vepra penale specifike e kryer nga kërkuesi, përveç një vërejtjeje të përgjithshme se vjedhja ishte një krim i rëndë i qëllimshëm. Në fakt, gjykatat vendase duket se kanë shpërfillur gjetjet e Gjykatës së Rrethit Bulqizë, e cila, duke dënuar kërkuesin në vitin 2006, vendosi se rrezikshmëria shoqërore dhe pasojat </w:t>
      </w:r>
      <w:r w:rsidRPr="00DD58C7">
        <w:rPr>
          <w:rFonts w:ascii="Garamond" w:eastAsiaTheme="minorHAnsi" w:hAnsi="Garamond"/>
          <w:color w:val="000000"/>
          <w:sz w:val="24"/>
          <w:szCs w:val="24"/>
          <w14:ligatures w14:val="standardContextual"/>
        </w:rPr>
        <w:lastRenderedPageBreak/>
        <w:t>e veprës penale ishin minimale, duke pasur parasysh se prona i ishte kthyer pronarit të saj, moshën e kërkuesit dhe nivelin e tij të arsimimit në atë kohë. Duke marrë</w:t>
      </w:r>
      <w:r w:rsidR="004146E7">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gjithashtu</w:t>
      </w:r>
      <w:r w:rsidR="004146E7">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parasysh nevojën që kërkuesi të vazhdonte shkollën, gjykata pezulloi ekzekutimin e dënimit për tre vjet. Autoritetet vendase nuk morën në konsideratë as karakterin e kërkuesit në kohën e aplikimit të tij në Shkollën e Magjistraturës dhe nëse kishte ndonjë arsye për të besuar se, nëse pranohej në trajnimin e magjistratëve dhe i jepej mundësia për t’u bërë prokuror, ai do të sillej në një mënyrë që dëmton imazhin e një prokurori. Kjo pavarësisht faktit se kërkuesi më parë konsiderohej i përshtatshëm për të shërbyer si oficer </w:t>
      </w:r>
      <w:proofErr w:type="spellStart"/>
      <w:r w:rsidRPr="00DD58C7">
        <w:rPr>
          <w:rFonts w:ascii="Garamond" w:eastAsiaTheme="minorHAnsi" w:hAnsi="Garamond"/>
          <w:color w:val="000000"/>
          <w:sz w:val="24"/>
          <w:szCs w:val="24"/>
          <w14:ligatures w14:val="standardContextual"/>
        </w:rPr>
        <w:t>investigativ</w:t>
      </w:r>
      <w:proofErr w:type="spellEnd"/>
      <w:r w:rsidRPr="00DD58C7">
        <w:rPr>
          <w:rFonts w:ascii="Garamond" w:eastAsiaTheme="minorHAnsi" w:hAnsi="Garamond"/>
          <w:color w:val="000000"/>
          <w:sz w:val="24"/>
          <w:szCs w:val="24"/>
          <w14:ligatures w14:val="standardContextual"/>
        </w:rPr>
        <w:t xml:space="preserve"> brenda të njëjtit sistem </w:t>
      </w:r>
      <w:proofErr w:type="spellStart"/>
      <w:r w:rsidRPr="00DD58C7">
        <w:rPr>
          <w:rFonts w:ascii="Garamond" w:eastAsiaTheme="minorHAnsi" w:hAnsi="Garamond"/>
          <w:color w:val="000000"/>
          <w:sz w:val="24"/>
          <w:szCs w:val="24"/>
          <w14:ligatures w14:val="standardContextual"/>
        </w:rPr>
        <w:t>prokurorial</w:t>
      </w:r>
      <w:proofErr w:type="spellEnd"/>
      <w:r w:rsidRPr="00DD58C7">
        <w:rPr>
          <w:rFonts w:ascii="Garamond" w:eastAsiaTheme="minorHAnsi" w:hAnsi="Garamond"/>
          <w:color w:val="000000"/>
          <w:sz w:val="24"/>
          <w:szCs w:val="24"/>
          <w14:ligatures w14:val="standardContextual"/>
        </w:rPr>
        <w:t xml:space="preserve"> (shih paragrafin 11 më sipër).</w:t>
      </w:r>
    </w:p>
    <w:p w14:paraId="4B6BEE80" w14:textId="29C9CC98"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55. Qasja e autoriteteve kombëtare bie ndesh me jurisprudencën e Gjykatës, në të cilën i është kushtuar vëmendje e veçantë moshës në rastet që përfshijnë ndërhyrje në jetën private. Në çështjen </w:t>
      </w:r>
      <w:proofErr w:type="spellStart"/>
      <w:r w:rsidRPr="00DD58C7">
        <w:rPr>
          <w:rFonts w:ascii="Garamond" w:eastAsiaTheme="minorHAnsi" w:hAnsi="Garamond"/>
          <w:i/>
          <w:iCs/>
          <w:color w:val="000000"/>
          <w:sz w:val="24"/>
          <w:szCs w:val="24"/>
          <w14:ligatures w14:val="standardContextual"/>
        </w:rPr>
        <w:t>Maslov</w:t>
      </w:r>
      <w:proofErr w:type="spellEnd"/>
      <w:r w:rsidRPr="00DD58C7">
        <w:rPr>
          <w:rFonts w:ascii="Garamond" w:eastAsiaTheme="minorHAnsi" w:hAnsi="Garamond"/>
          <w:color w:val="000000"/>
          <w:sz w:val="24"/>
          <w:szCs w:val="24"/>
          <w14:ligatures w14:val="standardContextual"/>
        </w:rPr>
        <w:t xml:space="preserve">, për shembull, që kishte të bënte me dëbimin e një të huaji si rezultat i dënimeve për vepra penale të kryera midis moshës 14 dhe 15 vjeç, Dhoma e Madhe gjykoi se kur vlerësohet natyra dhe serioziteti i veprave penale të kryera nga një kërkues, duhet të merret parasysh nëse ai ose ajo i ka kryer ato si i mitur apo si i rritur (shih </w:t>
      </w:r>
      <w:proofErr w:type="spellStart"/>
      <w:r w:rsidRPr="00DD58C7">
        <w:rPr>
          <w:rFonts w:ascii="Garamond" w:eastAsiaTheme="minorHAnsi" w:hAnsi="Garamond"/>
          <w:i/>
          <w:iCs/>
          <w:color w:val="000000"/>
          <w:sz w:val="24"/>
          <w:szCs w:val="24"/>
          <w14:ligatures w14:val="standardContextual"/>
        </w:rPr>
        <w:t>Maslov</w:t>
      </w:r>
      <w:proofErr w:type="spellEnd"/>
      <w:r w:rsidRPr="00DD58C7">
        <w:rPr>
          <w:rFonts w:ascii="Garamond" w:eastAsiaTheme="minorHAnsi" w:hAnsi="Garamond"/>
          <w:i/>
          <w:iCs/>
          <w:color w:val="000000"/>
          <w:sz w:val="24"/>
          <w:szCs w:val="24"/>
          <w14:ligatures w14:val="standardContextual"/>
        </w:rPr>
        <w:t xml:space="preserve"> kundër Austrisë</w:t>
      </w:r>
      <w:r w:rsidRPr="00DD58C7">
        <w:rPr>
          <w:rFonts w:ascii="Garamond" w:eastAsiaTheme="minorHAnsi" w:hAnsi="Garamond"/>
          <w:color w:val="000000"/>
          <w:sz w:val="24"/>
          <w:szCs w:val="24"/>
          <w14:ligatures w14:val="standardContextual"/>
        </w:rPr>
        <w:t xml:space="preserve"> [</w:t>
      </w:r>
      <w:proofErr w:type="spellStart"/>
      <w:r w:rsidRPr="00DD58C7">
        <w:rPr>
          <w:rFonts w:ascii="Garamond" w:eastAsiaTheme="minorHAnsi" w:hAnsi="Garamond"/>
          <w:color w:val="000000"/>
          <w:sz w:val="24"/>
          <w:szCs w:val="24"/>
          <w14:ligatures w14:val="standardContextual"/>
        </w:rPr>
        <w:t>DHM</w:t>
      </w:r>
      <w:proofErr w:type="spellEnd"/>
      <w:r w:rsidRPr="00DD58C7">
        <w:rPr>
          <w:rFonts w:ascii="Garamond" w:eastAsiaTheme="minorHAnsi" w:hAnsi="Garamond"/>
          <w:color w:val="000000"/>
          <w:sz w:val="24"/>
          <w:szCs w:val="24"/>
          <w14:ligatures w14:val="standardContextual"/>
        </w:rPr>
        <w:t xml:space="preserve">], nr. 1638/03, § 72, </w:t>
      </w:r>
      <w:proofErr w:type="spellStart"/>
      <w:r w:rsidRPr="00DD58C7">
        <w:rPr>
          <w:rFonts w:ascii="Garamond" w:eastAsiaTheme="minorHAnsi" w:hAnsi="Garamond"/>
          <w:color w:val="000000"/>
          <w:sz w:val="24"/>
          <w:szCs w:val="24"/>
          <w14:ligatures w14:val="standardContextual"/>
        </w:rPr>
        <w:t>GJEDNJ</w:t>
      </w:r>
      <w:proofErr w:type="spellEnd"/>
      <w:r w:rsidRPr="00DD58C7">
        <w:rPr>
          <w:rFonts w:ascii="Garamond" w:eastAsiaTheme="minorHAnsi" w:hAnsi="Garamond"/>
          <w:color w:val="000000"/>
          <w:sz w:val="24"/>
          <w:szCs w:val="24"/>
          <w14:ligatures w14:val="standardContextual"/>
        </w:rPr>
        <w:t xml:space="preserve"> 2008). Karakteristika vendimtare e atij rasti ishte mosha e re në të cilën kërkuesi kreu veprat penale dhe, me një përjashtim, natyra e tyre jo e dhunshme (</w:t>
      </w:r>
      <w:proofErr w:type="spellStart"/>
      <w:r w:rsidRPr="00DD58C7">
        <w:rPr>
          <w:rFonts w:ascii="Garamond" w:eastAsiaTheme="minorHAnsi" w:hAnsi="Garamond"/>
          <w:i/>
          <w:iCs/>
          <w:color w:val="000000"/>
          <w:sz w:val="24"/>
          <w:szCs w:val="24"/>
          <w14:ligatures w14:val="standardContextual"/>
        </w:rPr>
        <w:t>ibid</w:t>
      </w:r>
      <w:proofErr w:type="spellEnd"/>
      <w:r w:rsidRPr="00DD58C7">
        <w:rPr>
          <w:rFonts w:ascii="Garamond" w:eastAsiaTheme="minorHAnsi" w:hAnsi="Garamond"/>
          <w:color w:val="000000"/>
          <w:sz w:val="24"/>
          <w:szCs w:val="24"/>
          <w14:ligatures w14:val="standardContextual"/>
        </w:rPr>
        <w:t xml:space="preserve">., § 81). Kur arsyeja për ndërhyrje në jetën private të një personi qëndron në vepra penale të kryera kur ky person ishte i mitur, zbatohet detyrimi për të pasur parasysh interesat më të mira të fëmijës dhe përfshin një detyrim për të lehtësuar </w:t>
      </w:r>
      <w:proofErr w:type="spellStart"/>
      <w:r w:rsidRPr="00DD58C7">
        <w:rPr>
          <w:rFonts w:ascii="Garamond" w:eastAsiaTheme="minorHAnsi" w:hAnsi="Garamond"/>
          <w:color w:val="000000"/>
          <w:sz w:val="24"/>
          <w:szCs w:val="24"/>
          <w14:ligatures w14:val="standardContextual"/>
        </w:rPr>
        <w:t>riintegrimin</w:t>
      </w:r>
      <w:proofErr w:type="spellEnd"/>
      <w:r w:rsidRPr="00DD58C7">
        <w:rPr>
          <w:rFonts w:ascii="Garamond" w:eastAsiaTheme="minorHAnsi" w:hAnsi="Garamond"/>
          <w:color w:val="000000"/>
          <w:sz w:val="24"/>
          <w:szCs w:val="24"/>
          <w14:ligatures w14:val="standardContextual"/>
        </w:rPr>
        <w:t xml:space="preserve"> e tij ose të saj (</w:t>
      </w:r>
      <w:proofErr w:type="spellStart"/>
      <w:r w:rsidRPr="00DD58C7">
        <w:rPr>
          <w:rFonts w:ascii="Garamond" w:eastAsiaTheme="minorHAnsi" w:hAnsi="Garamond"/>
          <w:i/>
          <w:iCs/>
          <w:color w:val="000000"/>
          <w:sz w:val="24"/>
          <w:szCs w:val="24"/>
          <w14:ligatures w14:val="standardContextual"/>
        </w:rPr>
        <w:t>ibid</w:t>
      </w:r>
      <w:proofErr w:type="spellEnd"/>
      <w:r w:rsidRPr="00DD58C7">
        <w:rPr>
          <w:rFonts w:ascii="Garamond" w:eastAsiaTheme="minorHAnsi" w:hAnsi="Garamond"/>
          <w:color w:val="000000"/>
          <w:sz w:val="24"/>
          <w:szCs w:val="24"/>
          <w14:ligatures w14:val="standardContextual"/>
        </w:rPr>
        <w:t>., §§ 82</w:t>
      </w:r>
      <w:r w:rsidR="004146E7">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83). Detyrimi për të pasur parasysh interesat më të mira të fëmijës është i sanksionuar në </w:t>
      </w:r>
      <w:r w:rsidR="004146E7" w:rsidRPr="00DD58C7">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 xml:space="preserve">enin 3 të Konventës së Kombeve të Bashkuara për të Drejtat e Fëmijës, ndërsa </w:t>
      </w:r>
      <w:r w:rsidR="004146E7" w:rsidRPr="00DD58C7">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 xml:space="preserve">eni 40 e bën </w:t>
      </w:r>
      <w:proofErr w:type="spellStart"/>
      <w:r w:rsidRPr="00DD58C7">
        <w:rPr>
          <w:rFonts w:ascii="Garamond" w:eastAsiaTheme="minorHAnsi" w:hAnsi="Garamond"/>
          <w:color w:val="000000"/>
          <w:sz w:val="24"/>
          <w:szCs w:val="24"/>
          <w14:ligatures w14:val="standardContextual"/>
        </w:rPr>
        <w:t>riintegrimin</w:t>
      </w:r>
      <w:proofErr w:type="spellEnd"/>
      <w:r w:rsidRPr="00DD58C7">
        <w:rPr>
          <w:rFonts w:ascii="Garamond" w:eastAsiaTheme="minorHAnsi" w:hAnsi="Garamond"/>
          <w:color w:val="000000"/>
          <w:sz w:val="24"/>
          <w:szCs w:val="24"/>
          <w14:ligatures w14:val="standardContextual"/>
        </w:rPr>
        <w:t xml:space="preserve"> një qëllim që duhet ndjekur nga sistemi i drejtësisë për të mitur (</w:t>
      </w:r>
      <w:proofErr w:type="spellStart"/>
      <w:r w:rsidRPr="00DD58C7">
        <w:rPr>
          <w:rFonts w:ascii="Garamond" w:eastAsiaTheme="minorHAnsi" w:hAnsi="Garamond"/>
          <w:i/>
          <w:iCs/>
          <w:color w:val="000000"/>
          <w:sz w:val="24"/>
          <w:szCs w:val="24"/>
          <w14:ligatures w14:val="standardContextual"/>
        </w:rPr>
        <w:t>ibid</w:t>
      </w:r>
      <w:proofErr w:type="spellEnd"/>
      <w:r w:rsidRPr="00DD58C7">
        <w:rPr>
          <w:rFonts w:ascii="Garamond" w:eastAsiaTheme="minorHAnsi" w:hAnsi="Garamond"/>
          <w:color w:val="000000"/>
          <w:sz w:val="24"/>
          <w:szCs w:val="24"/>
          <w14:ligatures w14:val="standardContextual"/>
        </w:rPr>
        <w:t>.; shih edhe paragrafët 24 dhe 25 më sipër). Të njëjtat parime u përfshinë në Kodin e Drejtësisë Penale për të Mitur të Shqipërisë, i cili ishte në fuqi në kohën e masës së kontestuar kundër kërkuesit (shih paragrafin 19 më sipër).</w:t>
      </w:r>
    </w:p>
    <w:p w14:paraId="69C80978" w14:textId="5519FB00"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56. Gjykata ka vendosur</w:t>
      </w:r>
      <w:r w:rsidR="004146E7">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gjithashtu, në një rast që ka të bëjë me përpunimin dhe zbulimin e të dhënave personale</w:t>
      </w:r>
      <w:r w:rsidR="004146E7">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në lidhje me dënimet penale dhe pasojat e tyre në jetën private të kërkuesve në një kontekst të ardhshëm punësimi, se niveli i ndërhyrjes në jetën private të personave të dënuar, dënimet e të cilëve janë shuar është veçanërisht ndërhyrës</w:t>
      </w:r>
      <w:r w:rsidR="004146E7">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në lidhje me </w:t>
      </w:r>
      <w:proofErr w:type="spellStart"/>
      <w:r w:rsidRPr="00DD58C7">
        <w:rPr>
          <w:rFonts w:ascii="Garamond" w:eastAsiaTheme="minorHAnsi" w:hAnsi="Garamond"/>
          <w:color w:val="000000"/>
          <w:sz w:val="24"/>
          <w:szCs w:val="24"/>
          <w14:ligatures w14:val="standardContextual"/>
        </w:rPr>
        <w:t>riintegrimin</w:t>
      </w:r>
      <w:proofErr w:type="spellEnd"/>
      <w:r w:rsidRPr="00DD58C7">
        <w:rPr>
          <w:rFonts w:ascii="Garamond" w:eastAsiaTheme="minorHAnsi" w:hAnsi="Garamond"/>
          <w:color w:val="000000"/>
          <w:sz w:val="24"/>
          <w:szCs w:val="24"/>
          <w14:ligatures w14:val="standardContextual"/>
        </w:rPr>
        <w:t xml:space="preserve"> e tyre shoqëror (shih </w:t>
      </w:r>
      <w:r w:rsidRPr="00DD58C7">
        <w:rPr>
          <w:rFonts w:ascii="Garamond" w:eastAsiaTheme="minorHAnsi" w:hAnsi="Garamond"/>
          <w:i/>
          <w:iCs/>
          <w:color w:val="000000"/>
          <w:sz w:val="24"/>
          <w:szCs w:val="24"/>
          <w14:ligatures w14:val="standardContextual"/>
        </w:rPr>
        <w:t>N.</w:t>
      </w:r>
      <w:r w:rsidR="004146E7">
        <w:rPr>
          <w:rFonts w:ascii="Garamond" w:eastAsiaTheme="minorHAnsi" w:hAnsi="Garamond"/>
          <w:i/>
          <w:iCs/>
          <w:color w:val="000000"/>
          <w:sz w:val="24"/>
          <w:szCs w:val="24"/>
          <w14:ligatures w14:val="standardContextual"/>
        </w:rPr>
        <w:t xml:space="preserve"> </w:t>
      </w:r>
      <w:r w:rsidRPr="00DD58C7">
        <w:rPr>
          <w:rFonts w:ascii="Garamond" w:eastAsiaTheme="minorHAnsi" w:hAnsi="Garamond"/>
          <w:i/>
          <w:iCs/>
          <w:color w:val="000000"/>
          <w:sz w:val="24"/>
          <w:szCs w:val="24"/>
          <w14:ligatures w14:val="standardContextual"/>
        </w:rPr>
        <w:t>F. dhe të tjerë kundër Rusisë</w:t>
      </w:r>
      <w:r w:rsidRPr="00DD58C7">
        <w:rPr>
          <w:rFonts w:ascii="Garamond" w:eastAsiaTheme="minorHAnsi" w:hAnsi="Garamond"/>
          <w:color w:val="000000"/>
          <w:sz w:val="24"/>
          <w:szCs w:val="24"/>
          <w14:ligatures w14:val="standardContextual"/>
        </w:rPr>
        <w:t xml:space="preserve">, nr. 3537/15 dhe 8 të tjerë, § 54, 12 </w:t>
      </w:r>
      <w:r w:rsidR="004146E7">
        <w:rPr>
          <w:rFonts w:ascii="Garamond" w:eastAsiaTheme="minorHAnsi" w:hAnsi="Garamond"/>
          <w:color w:val="000000"/>
          <w:sz w:val="24"/>
          <w:szCs w:val="24"/>
          <w14:ligatures w14:val="standardContextual"/>
        </w:rPr>
        <w:t>s</w:t>
      </w:r>
      <w:r w:rsidRPr="00DD58C7">
        <w:rPr>
          <w:rFonts w:ascii="Garamond" w:eastAsiaTheme="minorHAnsi" w:hAnsi="Garamond"/>
          <w:color w:val="000000"/>
          <w:sz w:val="24"/>
          <w:szCs w:val="24"/>
          <w14:ligatures w14:val="standardContextual"/>
        </w:rPr>
        <w:t xml:space="preserve">htator 2023). Gjykata iu referua </w:t>
      </w:r>
      <w:r w:rsidR="004146E7">
        <w:rPr>
          <w:rFonts w:ascii="Garamond" w:eastAsiaTheme="minorHAnsi" w:hAnsi="Garamond"/>
          <w:color w:val="000000"/>
          <w:sz w:val="24"/>
          <w:szCs w:val="24"/>
          <w14:ligatures w14:val="standardContextual"/>
        </w:rPr>
        <w:t>r</w:t>
      </w:r>
      <w:r w:rsidRPr="00DD58C7">
        <w:rPr>
          <w:rFonts w:ascii="Garamond" w:eastAsiaTheme="minorHAnsi" w:hAnsi="Garamond"/>
          <w:color w:val="000000"/>
          <w:sz w:val="24"/>
          <w:szCs w:val="24"/>
          <w14:ligatures w14:val="standardContextual"/>
        </w:rPr>
        <w:t xml:space="preserve">ekomandimit </w:t>
      </w:r>
      <w:r w:rsidR="004146E7">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r. R (84) 10 të Komitetit të Ministrave të Këshillit të Evropës</w:t>
      </w:r>
      <w:r w:rsidR="004146E7">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mbi të dhënat penale dhe rehabilitimin e personave të dënuar, sipas të cilit çdo përdorim i të dhënave penale jashtë kontekstit të një gjykimi penal mund të rrezikojë shanset e një personi të dënuar për </w:t>
      </w:r>
      <w:proofErr w:type="spellStart"/>
      <w:r w:rsidRPr="00DD58C7">
        <w:rPr>
          <w:rFonts w:ascii="Garamond" w:eastAsiaTheme="minorHAnsi" w:hAnsi="Garamond"/>
          <w:color w:val="000000"/>
          <w:sz w:val="24"/>
          <w:szCs w:val="24"/>
          <w14:ligatures w14:val="standardContextual"/>
        </w:rPr>
        <w:t>riintegrim</w:t>
      </w:r>
      <w:proofErr w:type="spellEnd"/>
      <w:r w:rsidRPr="00DD58C7">
        <w:rPr>
          <w:rFonts w:ascii="Garamond" w:eastAsiaTheme="minorHAnsi" w:hAnsi="Garamond"/>
          <w:color w:val="000000"/>
          <w:sz w:val="24"/>
          <w:szCs w:val="24"/>
          <w14:ligatures w14:val="standardContextual"/>
        </w:rPr>
        <w:t xml:space="preserve"> shoqëror dhe për këtë arsye duhet të kufizohet “në maksimum” (shih paragrafin 20 më sipër). Rekomandimi </w:t>
      </w:r>
      <w:r w:rsidR="004146E7">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 xml:space="preserve">r. R (87) 20 i Komitetit të Ministrave bëri thirrje më tej për zbatimin e një politike gjithëpërfshirëse që promovon integrimin shoqëror të </w:t>
      </w:r>
      <w:proofErr w:type="spellStart"/>
      <w:r w:rsidRPr="00DD58C7">
        <w:rPr>
          <w:rFonts w:ascii="Garamond" w:eastAsiaTheme="minorHAnsi" w:hAnsi="Garamond"/>
          <w:color w:val="000000"/>
          <w:sz w:val="24"/>
          <w:szCs w:val="24"/>
          <w14:ligatures w14:val="standardContextual"/>
        </w:rPr>
        <w:t>të</w:t>
      </w:r>
      <w:proofErr w:type="spellEnd"/>
      <w:r w:rsidRPr="00DD58C7">
        <w:rPr>
          <w:rFonts w:ascii="Garamond" w:eastAsiaTheme="minorHAnsi" w:hAnsi="Garamond"/>
          <w:color w:val="000000"/>
          <w:sz w:val="24"/>
          <w:szCs w:val="24"/>
          <w14:ligatures w14:val="standardContextual"/>
        </w:rPr>
        <w:t xml:space="preserve"> rinjve (shih paragrafin 21 më sipër).</w:t>
      </w:r>
    </w:p>
    <w:p w14:paraId="71D2F05B" w14:textId="40FEC2FE"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57. Së fundmi, Gjykata përsërit se rehabilitimi, domethënë </w:t>
      </w:r>
      <w:proofErr w:type="spellStart"/>
      <w:r w:rsidRPr="00DD58C7">
        <w:rPr>
          <w:rFonts w:ascii="Garamond" w:eastAsiaTheme="minorHAnsi" w:hAnsi="Garamond"/>
          <w:color w:val="000000"/>
          <w:sz w:val="24"/>
          <w:szCs w:val="24"/>
          <w14:ligatures w14:val="standardContextual"/>
        </w:rPr>
        <w:t>riintegrimi</w:t>
      </w:r>
      <w:proofErr w:type="spellEnd"/>
      <w:r w:rsidRPr="00DD58C7">
        <w:rPr>
          <w:rFonts w:ascii="Garamond" w:eastAsiaTheme="minorHAnsi" w:hAnsi="Garamond"/>
          <w:color w:val="000000"/>
          <w:sz w:val="24"/>
          <w:szCs w:val="24"/>
          <w14:ligatures w14:val="standardContextual"/>
        </w:rPr>
        <w:t xml:space="preserve"> në shoqëri i një personi të dënuar, është i nevojshëm në çdo komunitet që ka vendosur dinjitetin njerëzor si pikën qendrore të tij (shih </w:t>
      </w:r>
      <w:proofErr w:type="spellStart"/>
      <w:r w:rsidRPr="00DD58C7">
        <w:rPr>
          <w:rFonts w:ascii="Garamond" w:eastAsiaTheme="minorHAnsi" w:hAnsi="Garamond"/>
          <w:i/>
          <w:iCs/>
          <w:color w:val="000000"/>
          <w:sz w:val="24"/>
          <w:szCs w:val="24"/>
          <w14:ligatures w14:val="standardContextual"/>
        </w:rPr>
        <w:t>Polyakova</w:t>
      </w:r>
      <w:proofErr w:type="spellEnd"/>
      <w:r w:rsidRPr="00DD58C7">
        <w:rPr>
          <w:rFonts w:ascii="Garamond" w:eastAsiaTheme="minorHAnsi" w:hAnsi="Garamond"/>
          <w:i/>
          <w:iCs/>
          <w:color w:val="000000"/>
          <w:sz w:val="24"/>
          <w:szCs w:val="24"/>
          <w14:ligatures w14:val="standardContextual"/>
        </w:rPr>
        <w:t xml:space="preserve"> dhe të tjerë kundër Rusisë</w:t>
      </w:r>
      <w:r w:rsidRPr="00DD58C7">
        <w:rPr>
          <w:rFonts w:ascii="Garamond" w:eastAsiaTheme="minorHAnsi" w:hAnsi="Garamond"/>
          <w:color w:val="000000"/>
          <w:sz w:val="24"/>
          <w:szCs w:val="24"/>
          <w14:ligatures w14:val="standardContextual"/>
        </w:rPr>
        <w:t xml:space="preserve">, nr. 35090/09 dhe 3 të tjerë, § 88, 7 </w:t>
      </w:r>
      <w:r w:rsidR="004146E7">
        <w:rPr>
          <w:rFonts w:ascii="Garamond" w:eastAsiaTheme="minorHAnsi" w:hAnsi="Garamond"/>
          <w:color w:val="000000"/>
          <w:sz w:val="24"/>
          <w:szCs w:val="24"/>
          <w14:ligatures w14:val="standardContextual"/>
        </w:rPr>
        <w:t>m</w:t>
      </w:r>
      <w:r w:rsidRPr="00DD58C7">
        <w:rPr>
          <w:rFonts w:ascii="Garamond" w:eastAsiaTheme="minorHAnsi" w:hAnsi="Garamond"/>
          <w:color w:val="000000"/>
          <w:sz w:val="24"/>
          <w:szCs w:val="24"/>
          <w14:ligatures w14:val="standardContextual"/>
        </w:rPr>
        <w:t xml:space="preserve">ars 2017, me referenca të mëtejshme, dhe </w:t>
      </w:r>
      <w:proofErr w:type="spellStart"/>
      <w:r w:rsidRPr="00DD58C7">
        <w:rPr>
          <w:rFonts w:ascii="Garamond" w:eastAsiaTheme="minorHAnsi" w:hAnsi="Garamond"/>
          <w:i/>
          <w:iCs/>
          <w:color w:val="000000"/>
          <w:sz w:val="24"/>
          <w:szCs w:val="24"/>
          <w14:ligatures w14:val="standardContextual"/>
        </w:rPr>
        <w:t>Danilevich</w:t>
      </w:r>
      <w:proofErr w:type="spellEnd"/>
      <w:r w:rsidRPr="00DD58C7">
        <w:rPr>
          <w:rFonts w:ascii="Garamond" w:eastAsiaTheme="minorHAnsi" w:hAnsi="Garamond"/>
          <w:i/>
          <w:iCs/>
          <w:color w:val="000000"/>
          <w:sz w:val="24"/>
          <w:szCs w:val="24"/>
          <w14:ligatures w14:val="standardContextual"/>
        </w:rPr>
        <w:t xml:space="preserve"> kundër Rusisë</w:t>
      </w:r>
      <w:r w:rsidRPr="00DD58C7">
        <w:rPr>
          <w:rFonts w:ascii="Garamond" w:eastAsiaTheme="minorHAnsi" w:hAnsi="Garamond"/>
          <w:color w:val="000000"/>
          <w:sz w:val="24"/>
          <w:szCs w:val="24"/>
          <w14:ligatures w14:val="standardContextual"/>
        </w:rPr>
        <w:t xml:space="preserve">, nr. 31469/08, § 47, 19 </w:t>
      </w:r>
      <w:r w:rsidR="004146E7">
        <w:rPr>
          <w:rFonts w:ascii="Garamond" w:eastAsiaTheme="minorHAnsi" w:hAnsi="Garamond"/>
          <w:color w:val="000000"/>
          <w:sz w:val="24"/>
          <w:szCs w:val="24"/>
          <w14:ligatures w14:val="standardContextual"/>
        </w:rPr>
        <w:t>t</w:t>
      </w:r>
      <w:r w:rsidRPr="00DD58C7">
        <w:rPr>
          <w:rFonts w:ascii="Garamond" w:eastAsiaTheme="minorHAnsi" w:hAnsi="Garamond"/>
          <w:color w:val="000000"/>
          <w:sz w:val="24"/>
          <w:szCs w:val="24"/>
          <w14:ligatures w14:val="standardContextual"/>
        </w:rPr>
        <w:t xml:space="preserve">etor 2021). Gjykata vëren se legjislacioni përkatës kombëtar, dhe në veçanti Ligji i </w:t>
      </w:r>
      <w:proofErr w:type="spellStart"/>
      <w:r w:rsidRPr="00DD58C7">
        <w:rPr>
          <w:rFonts w:ascii="Garamond" w:eastAsiaTheme="minorHAnsi" w:hAnsi="Garamond"/>
          <w:color w:val="000000"/>
          <w:sz w:val="24"/>
          <w:szCs w:val="24"/>
          <w14:ligatures w14:val="standardContextual"/>
        </w:rPr>
        <w:t>Dekriminalizimit</w:t>
      </w:r>
      <w:proofErr w:type="spellEnd"/>
      <w:r w:rsidRPr="00DD58C7">
        <w:rPr>
          <w:rFonts w:ascii="Garamond" w:eastAsiaTheme="minorHAnsi" w:hAnsi="Garamond"/>
          <w:color w:val="000000"/>
          <w:sz w:val="24"/>
          <w:szCs w:val="24"/>
          <w14:ligatures w14:val="standardContextual"/>
        </w:rPr>
        <w:t xml:space="preserve"> (2015), duket se hesht mbi efektet e rehabilitimit</w:t>
      </w:r>
      <w:r w:rsidR="004146E7">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në lidhje me </w:t>
      </w:r>
      <w:proofErr w:type="spellStart"/>
      <w:r w:rsidRPr="00DD58C7">
        <w:rPr>
          <w:rFonts w:ascii="Garamond" w:eastAsiaTheme="minorHAnsi" w:hAnsi="Garamond"/>
          <w:color w:val="000000"/>
          <w:sz w:val="24"/>
          <w:szCs w:val="24"/>
          <w14:ligatures w14:val="standardContextual"/>
        </w:rPr>
        <w:t>aksesin</w:t>
      </w:r>
      <w:proofErr w:type="spellEnd"/>
      <w:r w:rsidRPr="00DD58C7">
        <w:rPr>
          <w:rFonts w:ascii="Garamond" w:eastAsiaTheme="minorHAnsi" w:hAnsi="Garamond"/>
          <w:color w:val="000000"/>
          <w:sz w:val="24"/>
          <w:szCs w:val="24"/>
          <w14:ligatures w14:val="standardContextual"/>
        </w:rPr>
        <w:t xml:space="preserve"> në një gamë të gjerë pozicionesh në sektorin publik.</w:t>
      </w:r>
    </w:p>
    <w:p w14:paraId="445BC77F" w14:textId="658C27DD"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58. Duke shpërfillur moshën e kërkuesit dhe duke trajtuar shkelësit e mitur dhe të rritur në mënyrë të barabartë, autoritetet shqiptare nuk i morën siç duhet parasysh konsideratat e mësipërme. Për më tepër, një sërë rrethanash nuk u morën në konsideratë mjaftueshëm, duke përfshirë natyrën jo të dhunshme dhe impulsive të veprës penale të kryer nga kërkuesi, e cila mund të konsiderohet si një akt tipik i delinkuencës së të miturve (shih </w:t>
      </w:r>
      <w:proofErr w:type="spellStart"/>
      <w:r w:rsidRPr="00DD58C7">
        <w:rPr>
          <w:rFonts w:ascii="Garamond" w:eastAsiaTheme="minorHAnsi" w:hAnsi="Garamond"/>
          <w:i/>
          <w:iCs/>
          <w:color w:val="000000"/>
          <w:sz w:val="24"/>
          <w:szCs w:val="24"/>
          <w14:ligatures w14:val="standardContextual"/>
        </w:rPr>
        <w:t>Maslov</w:t>
      </w:r>
      <w:proofErr w:type="spellEnd"/>
      <w:r w:rsidRPr="00DD58C7">
        <w:rPr>
          <w:rFonts w:ascii="Garamond" w:eastAsiaTheme="minorHAnsi" w:hAnsi="Garamond"/>
          <w:color w:val="000000"/>
          <w:sz w:val="24"/>
          <w:szCs w:val="24"/>
          <w14:ligatures w14:val="standardContextual"/>
        </w:rPr>
        <w:t xml:space="preserve">, i cituar më sipër, § 81, dhe, </w:t>
      </w:r>
      <w:r w:rsidRPr="00DD58C7">
        <w:rPr>
          <w:rFonts w:ascii="Garamond" w:eastAsiaTheme="minorHAnsi" w:hAnsi="Garamond"/>
          <w:i/>
          <w:iCs/>
          <w:color w:val="000000"/>
          <w:sz w:val="24"/>
          <w:szCs w:val="24"/>
          <w14:ligatures w14:val="standardContextual"/>
        </w:rPr>
        <w:t xml:space="preserve">a </w:t>
      </w:r>
      <w:proofErr w:type="spellStart"/>
      <w:r w:rsidRPr="00DD58C7">
        <w:rPr>
          <w:rFonts w:ascii="Garamond" w:eastAsiaTheme="minorHAnsi" w:hAnsi="Garamond"/>
          <w:i/>
          <w:iCs/>
          <w:color w:val="000000"/>
          <w:sz w:val="24"/>
          <w:szCs w:val="24"/>
          <w14:ligatures w14:val="standardContextual"/>
        </w:rPr>
        <w:t>contrario</w:t>
      </w:r>
      <w:proofErr w:type="spellEnd"/>
      <w:r w:rsidRPr="00DD58C7">
        <w:rPr>
          <w:rFonts w:ascii="Garamond" w:eastAsiaTheme="minorHAnsi" w:hAnsi="Garamond"/>
          <w:color w:val="000000"/>
          <w:sz w:val="24"/>
          <w:szCs w:val="24"/>
          <w14:ligatures w14:val="standardContextual"/>
        </w:rPr>
        <w:t xml:space="preserve">, me ndryshimet e nevojshme të bëra, </w:t>
      </w:r>
      <w:proofErr w:type="spellStart"/>
      <w:r w:rsidRPr="00DD58C7">
        <w:rPr>
          <w:rFonts w:ascii="Garamond" w:eastAsiaTheme="minorHAnsi" w:hAnsi="Garamond"/>
          <w:i/>
          <w:iCs/>
          <w:color w:val="000000"/>
          <w:sz w:val="24"/>
          <w:szCs w:val="24"/>
          <w14:ligatures w14:val="standardContextual"/>
        </w:rPr>
        <w:t>Azerkane</w:t>
      </w:r>
      <w:proofErr w:type="spellEnd"/>
      <w:r w:rsidRPr="00DD58C7">
        <w:rPr>
          <w:rFonts w:ascii="Garamond" w:eastAsiaTheme="minorHAnsi" w:hAnsi="Garamond"/>
          <w:i/>
          <w:iCs/>
          <w:color w:val="000000"/>
          <w:sz w:val="24"/>
          <w:szCs w:val="24"/>
          <w14:ligatures w14:val="standardContextual"/>
        </w:rPr>
        <w:t xml:space="preserve"> kundër Holandës</w:t>
      </w:r>
      <w:r w:rsidRPr="00DD58C7">
        <w:rPr>
          <w:rFonts w:ascii="Garamond" w:eastAsiaTheme="minorHAnsi" w:hAnsi="Garamond"/>
          <w:color w:val="000000"/>
          <w:sz w:val="24"/>
          <w:szCs w:val="24"/>
          <w14:ligatures w14:val="standardContextual"/>
        </w:rPr>
        <w:t xml:space="preserve">, nr. 3138/16, § 73, 2 </w:t>
      </w:r>
      <w:r w:rsidR="004146E7">
        <w:rPr>
          <w:rFonts w:ascii="Garamond" w:eastAsiaTheme="minorHAnsi" w:hAnsi="Garamond"/>
          <w:color w:val="000000"/>
          <w:sz w:val="24"/>
          <w:szCs w:val="24"/>
          <w14:ligatures w14:val="standardContextual"/>
        </w:rPr>
        <w:t>q</w:t>
      </w:r>
      <w:r w:rsidRPr="00DD58C7">
        <w:rPr>
          <w:rFonts w:ascii="Garamond" w:eastAsiaTheme="minorHAnsi" w:hAnsi="Garamond"/>
          <w:color w:val="000000"/>
          <w:sz w:val="24"/>
          <w:szCs w:val="24"/>
          <w14:ligatures w14:val="standardContextual"/>
        </w:rPr>
        <w:t xml:space="preserve">ershor 2020); kohëzgjatja që nga kryerja e veprës penale (shih, </w:t>
      </w:r>
      <w:proofErr w:type="spellStart"/>
      <w:r w:rsidRPr="00DD58C7">
        <w:rPr>
          <w:rFonts w:ascii="Garamond" w:eastAsiaTheme="minorHAnsi" w:hAnsi="Garamond"/>
          <w:i/>
          <w:iCs/>
          <w:color w:val="000000"/>
          <w:sz w:val="24"/>
          <w:szCs w:val="24"/>
          <w14:ligatures w14:val="standardContextual"/>
        </w:rPr>
        <w:t>mutatis</w:t>
      </w:r>
      <w:proofErr w:type="spellEnd"/>
      <w:r w:rsidRPr="00DD58C7">
        <w:rPr>
          <w:rFonts w:ascii="Garamond" w:eastAsiaTheme="minorHAnsi" w:hAnsi="Garamond"/>
          <w:i/>
          <w:iCs/>
          <w:color w:val="000000"/>
          <w:sz w:val="24"/>
          <w:szCs w:val="24"/>
          <w14:ligatures w14:val="standardContextual"/>
        </w:rPr>
        <w:t xml:space="preserve"> </w:t>
      </w:r>
      <w:proofErr w:type="spellStart"/>
      <w:r w:rsidRPr="00DD58C7">
        <w:rPr>
          <w:rFonts w:ascii="Garamond" w:eastAsiaTheme="minorHAnsi" w:hAnsi="Garamond"/>
          <w:i/>
          <w:iCs/>
          <w:color w:val="000000"/>
          <w:sz w:val="24"/>
          <w:szCs w:val="24"/>
          <w14:ligatures w14:val="standardContextual"/>
        </w:rPr>
        <w:t>mutandis</w:t>
      </w:r>
      <w:proofErr w:type="spellEnd"/>
      <w:r w:rsidRPr="00DD58C7">
        <w:rPr>
          <w:rFonts w:ascii="Garamond" w:eastAsiaTheme="minorHAnsi" w:hAnsi="Garamond"/>
          <w:color w:val="000000"/>
          <w:sz w:val="24"/>
          <w:szCs w:val="24"/>
          <w14:ligatures w14:val="standardContextual"/>
        </w:rPr>
        <w:t xml:space="preserve">, </w:t>
      </w:r>
      <w:proofErr w:type="spellStart"/>
      <w:r w:rsidRPr="00DD58C7">
        <w:rPr>
          <w:rFonts w:ascii="Garamond" w:eastAsiaTheme="minorHAnsi" w:hAnsi="Garamond"/>
          <w:i/>
          <w:iCs/>
          <w:color w:val="000000"/>
          <w:sz w:val="24"/>
          <w:szCs w:val="24"/>
          <w14:ligatures w14:val="standardContextual"/>
        </w:rPr>
        <w:t>Hurbain</w:t>
      </w:r>
      <w:proofErr w:type="spellEnd"/>
      <w:r w:rsidRPr="00DD58C7">
        <w:rPr>
          <w:rFonts w:ascii="Garamond" w:eastAsiaTheme="minorHAnsi" w:hAnsi="Garamond"/>
          <w:i/>
          <w:iCs/>
          <w:color w:val="000000"/>
          <w:sz w:val="24"/>
          <w:szCs w:val="24"/>
          <w14:ligatures w14:val="standardContextual"/>
        </w:rPr>
        <w:t xml:space="preserve"> kundër Belgjikës</w:t>
      </w:r>
      <w:r w:rsidRPr="00DD58C7">
        <w:rPr>
          <w:rFonts w:ascii="Garamond" w:eastAsiaTheme="minorHAnsi" w:hAnsi="Garamond"/>
          <w:color w:val="000000"/>
          <w:sz w:val="24"/>
          <w:szCs w:val="24"/>
          <w14:ligatures w14:val="standardContextual"/>
        </w:rPr>
        <w:t xml:space="preserve"> [</w:t>
      </w:r>
      <w:proofErr w:type="spellStart"/>
      <w:r w:rsidRPr="00DD58C7">
        <w:rPr>
          <w:rFonts w:ascii="Garamond" w:eastAsiaTheme="minorHAnsi" w:hAnsi="Garamond"/>
          <w:color w:val="000000"/>
          <w:sz w:val="24"/>
          <w:szCs w:val="24"/>
          <w14:ligatures w14:val="standardContextual"/>
        </w:rPr>
        <w:t>DHM</w:t>
      </w:r>
      <w:proofErr w:type="spellEnd"/>
      <w:r w:rsidRPr="00DD58C7">
        <w:rPr>
          <w:rFonts w:ascii="Garamond" w:eastAsiaTheme="minorHAnsi" w:hAnsi="Garamond"/>
          <w:color w:val="000000"/>
          <w:sz w:val="24"/>
          <w:szCs w:val="24"/>
          <w14:ligatures w14:val="standardContextual"/>
        </w:rPr>
        <w:t xml:space="preserve">], nr. 57292/16, § 221, 4 </w:t>
      </w:r>
      <w:r w:rsidR="004146E7">
        <w:rPr>
          <w:rFonts w:ascii="Garamond" w:eastAsiaTheme="minorHAnsi" w:hAnsi="Garamond"/>
          <w:color w:val="000000"/>
          <w:sz w:val="24"/>
          <w:szCs w:val="24"/>
          <w14:ligatures w14:val="standardContextual"/>
        </w:rPr>
        <w:t>k</w:t>
      </w:r>
      <w:r w:rsidRPr="00DD58C7">
        <w:rPr>
          <w:rFonts w:ascii="Garamond" w:eastAsiaTheme="minorHAnsi" w:hAnsi="Garamond"/>
          <w:color w:val="000000"/>
          <w:sz w:val="24"/>
          <w:szCs w:val="24"/>
          <w14:ligatures w14:val="standardContextual"/>
        </w:rPr>
        <w:t xml:space="preserve">orrik 2023); sjellja e dukshme e kërkuesit që i bindej ligjit gjatë asaj periudhe, në të cilën ai u trajnua dhe punoi si avokat përpara se të bëhej oficer i policisë gjyqësore në një </w:t>
      </w:r>
      <w:r w:rsidRPr="00DD58C7">
        <w:rPr>
          <w:rFonts w:ascii="Garamond" w:eastAsiaTheme="minorHAnsi" w:hAnsi="Garamond"/>
          <w:color w:val="000000"/>
          <w:sz w:val="24"/>
          <w:szCs w:val="24"/>
          <w14:ligatures w14:val="standardContextual"/>
        </w:rPr>
        <w:lastRenderedPageBreak/>
        <w:t xml:space="preserve">prokurori; dhe karakterin e tij në kohën përkatëse (shih, </w:t>
      </w:r>
      <w:proofErr w:type="spellStart"/>
      <w:r w:rsidRPr="00DD58C7">
        <w:rPr>
          <w:rFonts w:ascii="Garamond" w:eastAsiaTheme="minorHAnsi" w:hAnsi="Garamond"/>
          <w:i/>
          <w:iCs/>
          <w:color w:val="000000"/>
          <w:sz w:val="24"/>
          <w:szCs w:val="24"/>
          <w14:ligatures w14:val="standardContextual"/>
        </w:rPr>
        <w:t>mutatis</w:t>
      </w:r>
      <w:proofErr w:type="spellEnd"/>
      <w:r w:rsidRPr="00DD58C7">
        <w:rPr>
          <w:rFonts w:ascii="Garamond" w:eastAsiaTheme="minorHAnsi" w:hAnsi="Garamond"/>
          <w:i/>
          <w:iCs/>
          <w:color w:val="000000"/>
          <w:sz w:val="24"/>
          <w:szCs w:val="24"/>
          <w14:ligatures w14:val="standardContextual"/>
        </w:rPr>
        <w:t xml:space="preserve"> </w:t>
      </w:r>
      <w:proofErr w:type="spellStart"/>
      <w:r w:rsidRPr="00DD58C7">
        <w:rPr>
          <w:rFonts w:ascii="Garamond" w:eastAsiaTheme="minorHAnsi" w:hAnsi="Garamond"/>
          <w:i/>
          <w:iCs/>
          <w:color w:val="000000"/>
          <w:sz w:val="24"/>
          <w:szCs w:val="24"/>
          <w14:ligatures w14:val="standardContextual"/>
        </w:rPr>
        <w:t>mutandis</w:t>
      </w:r>
      <w:proofErr w:type="spellEnd"/>
      <w:r w:rsidRPr="00DD58C7">
        <w:rPr>
          <w:rFonts w:ascii="Garamond" w:eastAsiaTheme="minorHAnsi" w:hAnsi="Garamond"/>
          <w:color w:val="000000"/>
          <w:sz w:val="24"/>
          <w:szCs w:val="24"/>
          <w14:ligatures w14:val="standardContextual"/>
        </w:rPr>
        <w:t xml:space="preserve">, </w:t>
      </w:r>
      <w:proofErr w:type="spellStart"/>
      <w:r w:rsidRPr="00DD58C7">
        <w:rPr>
          <w:rFonts w:ascii="Garamond" w:eastAsiaTheme="minorHAnsi" w:hAnsi="Garamond"/>
          <w:i/>
          <w:iCs/>
          <w:color w:val="000000"/>
          <w:sz w:val="24"/>
          <w:szCs w:val="24"/>
          <w14:ligatures w14:val="standardContextual"/>
        </w:rPr>
        <w:t>Maslov</w:t>
      </w:r>
      <w:proofErr w:type="spellEnd"/>
      <w:r w:rsidRPr="00DD58C7">
        <w:rPr>
          <w:rFonts w:ascii="Garamond" w:eastAsiaTheme="minorHAnsi" w:hAnsi="Garamond"/>
          <w:color w:val="000000"/>
          <w:sz w:val="24"/>
          <w:szCs w:val="24"/>
          <w14:ligatures w14:val="standardContextual"/>
        </w:rPr>
        <w:t>, cituar më sipër, §§ 81</w:t>
      </w:r>
      <w:r w:rsidR="004146E7">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85 dhe 87</w:t>
      </w:r>
      <w:r w:rsidR="004146E7">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95; </w:t>
      </w:r>
      <w:proofErr w:type="spellStart"/>
      <w:r w:rsidRPr="00DD58C7">
        <w:rPr>
          <w:rFonts w:ascii="Garamond" w:eastAsiaTheme="minorHAnsi" w:hAnsi="Garamond"/>
          <w:i/>
          <w:iCs/>
          <w:color w:val="000000"/>
          <w:sz w:val="24"/>
          <w:szCs w:val="24"/>
          <w14:ligatures w14:val="standardContextual"/>
        </w:rPr>
        <w:t>İhsan</w:t>
      </w:r>
      <w:proofErr w:type="spellEnd"/>
      <w:r w:rsidRPr="00DD58C7">
        <w:rPr>
          <w:rFonts w:ascii="Garamond" w:eastAsiaTheme="minorHAnsi" w:hAnsi="Garamond"/>
          <w:i/>
          <w:iCs/>
          <w:color w:val="000000"/>
          <w:sz w:val="24"/>
          <w:szCs w:val="24"/>
          <w14:ligatures w14:val="standardContextual"/>
        </w:rPr>
        <w:t xml:space="preserve"> </w:t>
      </w:r>
      <w:proofErr w:type="spellStart"/>
      <w:r w:rsidRPr="00DD58C7">
        <w:rPr>
          <w:rFonts w:ascii="Garamond" w:eastAsiaTheme="minorHAnsi" w:hAnsi="Garamond"/>
          <w:i/>
          <w:iCs/>
          <w:color w:val="000000"/>
          <w:sz w:val="24"/>
          <w:szCs w:val="24"/>
          <w14:ligatures w14:val="standardContextual"/>
        </w:rPr>
        <w:t>Ay</w:t>
      </w:r>
      <w:proofErr w:type="spellEnd"/>
      <w:r w:rsidRPr="00DD58C7">
        <w:rPr>
          <w:rFonts w:ascii="Garamond" w:eastAsiaTheme="minorHAnsi" w:hAnsi="Garamond"/>
          <w:i/>
          <w:iCs/>
          <w:color w:val="000000"/>
          <w:sz w:val="24"/>
          <w:szCs w:val="24"/>
          <w14:ligatures w14:val="standardContextual"/>
        </w:rPr>
        <w:t xml:space="preserve"> kundër Turqisë</w:t>
      </w:r>
      <w:r w:rsidRPr="00DD58C7">
        <w:rPr>
          <w:rFonts w:ascii="Garamond" w:eastAsiaTheme="minorHAnsi" w:hAnsi="Garamond"/>
          <w:color w:val="000000"/>
          <w:sz w:val="24"/>
          <w:szCs w:val="24"/>
          <w14:ligatures w14:val="standardContextual"/>
        </w:rPr>
        <w:t xml:space="preserve">, nr. 34288/04, § 40, 21 </w:t>
      </w:r>
      <w:r w:rsidR="004146E7">
        <w:rPr>
          <w:rFonts w:ascii="Garamond" w:eastAsiaTheme="minorHAnsi" w:hAnsi="Garamond"/>
          <w:color w:val="000000"/>
          <w:sz w:val="24"/>
          <w:szCs w:val="24"/>
          <w14:ligatures w14:val="standardContextual"/>
        </w:rPr>
        <w:t>j</w:t>
      </w:r>
      <w:r w:rsidRPr="00DD58C7">
        <w:rPr>
          <w:rFonts w:ascii="Garamond" w:eastAsiaTheme="minorHAnsi" w:hAnsi="Garamond"/>
          <w:color w:val="000000"/>
          <w:sz w:val="24"/>
          <w:szCs w:val="24"/>
          <w14:ligatures w14:val="standardContextual"/>
        </w:rPr>
        <w:t xml:space="preserve">anar 2014; dhe </w:t>
      </w:r>
      <w:proofErr w:type="spellStart"/>
      <w:r w:rsidRPr="00DD58C7">
        <w:rPr>
          <w:rFonts w:ascii="Garamond" w:eastAsiaTheme="minorHAnsi" w:hAnsi="Garamond"/>
          <w:i/>
          <w:iCs/>
          <w:color w:val="000000"/>
          <w:sz w:val="24"/>
          <w:szCs w:val="24"/>
          <w14:ligatures w14:val="standardContextual"/>
        </w:rPr>
        <w:t>Gaughran</w:t>
      </w:r>
      <w:proofErr w:type="spellEnd"/>
      <w:r w:rsidRPr="00DD58C7">
        <w:rPr>
          <w:rFonts w:ascii="Garamond" w:eastAsiaTheme="minorHAnsi" w:hAnsi="Garamond"/>
          <w:i/>
          <w:iCs/>
          <w:color w:val="000000"/>
          <w:sz w:val="24"/>
          <w:szCs w:val="24"/>
          <w14:ligatures w14:val="standardContextual"/>
        </w:rPr>
        <w:t xml:space="preserve"> kundër Mbretërisë së Bashkuar</w:t>
      </w:r>
      <w:r w:rsidRPr="00DD58C7">
        <w:rPr>
          <w:rFonts w:ascii="Garamond" w:eastAsiaTheme="minorHAnsi" w:hAnsi="Garamond"/>
          <w:color w:val="000000"/>
          <w:sz w:val="24"/>
          <w:szCs w:val="24"/>
          <w14:ligatures w14:val="standardContextual"/>
        </w:rPr>
        <w:t xml:space="preserve">, nr. 45245/15, § 94, 13 </w:t>
      </w:r>
      <w:r w:rsidR="004146E7">
        <w:rPr>
          <w:rFonts w:ascii="Garamond" w:eastAsiaTheme="minorHAnsi" w:hAnsi="Garamond"/>
          <w:color w:val="000000"/>
          <w:sz w:val="24"/>
          <w:szCs w:val="24"/>
          <w14:ligatures w14:val="standardContextual"/>
        </w:rPr>
        <w:t>s</w:t>
      </w:r>
      <w:r w:rsidRPr="00DD58C7">
        <w:rPr>
          <w:rFonts w:ascii="Garamond" w:eastAsiaTheme="minorHAnsi" w:hAnsi="Garamond"/>
          <w:color w:val="000000"/>
          <w:sz w:val="24"/>
          <w:szCs w:val="24"/>
          <w14:ligatures w14:val="standardContextual"/>
        </w:rPr>
        <w:t xml:space="preserve">hkurt 2020). Masa e kontestuar u vendos në një fazë të hershme të jetës profesionale të kërkuesit dhe për këtë arsye pati një efekt të rëndësishëm në aspektin e kohëzgjatjes së saj (në kontrast me </w:t>
      </w:r>
      <w:proofErr w:type="spellStart"/>
      <w:r w:rsidRPr="00DD58C7">
        <w:rPr>
          <w:rFonts w:ascii="Garamond" w:eastAsiaTheme="minorHAnsi" w:hAnsi="Garamond"/>
          <w:i/>
          <w:iCs/>
          <w:color w:val="000000"/>
          <w:sz w:val="24"/>
          <w:szCs w:val="24"/>
          <w14:ligatures w14:val="standardContextual"/>
        </w:rPr>
        <w:t>Denisov</w:t>
      </w:r>
      <w:proofErr w:type="spellEnd"/>
      <w:r w:rsidRPr="00DD58C7">
        <w:rPr>
          <w:rFonts w:ascii="Garamond" w:eastAsiaTheme="minorHAnsi" w:hAnsi="Garamond"/>
          <w:color w:val="000000"/>
          <w:sz w:val="24"/>
          <w:szCs w:val="24"/>
          <w14:ligatures w14:val="standardContextual"/>
        </w:rPr>
        <w:t>, cituar më sipër, § 128). Qasjes së autoriteteve vendase ndaj çështjes së kërkuesit i mungonte një vlerësim i plotë dhe mjaftueshëm i individualizuar i situatës së tij personale.</w:t>
      </w:r>
    </w:p>
    <w:p w14:paraId="03FD57DC" w14:textId="351DDB45"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59. Duke pasur parasysh rrethanat e mësipërme, ndalimi i pranimit të kërkuesit në Shkollën e Magjistraturës për trajnim si prokuror në bazë të një dënimi për të mitur për të cilin ai ishte rehabilituar ishte </w:t>
      </w:r>
      <w:proofErr w:type="spellStart"/>
      <w:r w:rsidRPr="00DD58C7">
        <w:rPr>
          <w:rFonts w:ascii="Garamond" w:eastAsiaTheme="minorHAnsi" w:hAnsi="Garamond"/>
          <w:color w:val="000000"/>
          <w:sz w:val="24"/>
          <w:szCs w:val="24"/>
          <w14:ligatures w14:val="standardContextual"/>
        </w:rPr>
        <w:t>joproporcional</w:t>
      </w:r>
      <w:proofErr w:type="spellEnd"/>
      <w:r w:rsidRPr="00DD58C7">
        <w:rPr>
          <w:rFonts w:ascii="Garamond" w:eastAsiaTheme="minorHAnsi" w:hAnsi="Garamond"/>
          <w:color w:val="000000"/>
          <w:sz w:val="24"/>
          <w:szCs w:val="24"/>
          <w14:ligatures w14:val="standardContextual"/>
        </w:rPr>
        <w:t>.</w:t>
      </w:r>
    </w:p>
    <w:p w14:paraId="54C1D1EF" w14:textId="1F07BF25"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60. Në këtë mënyrë, është shkelur </w:t>
      </w:r>
      <w:r w:rsidR="004146E7">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eni 8 i Konventës.</w:t>
      </w:r>
    </w:p>
    <w:p w14:paraId="20A43BB3" w14:textId="51069C33"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roofErr w:type="spellStart"/>
      <w:r w:rsidRPr="00DD58C7">
        <w:rPr>
          <w:rFonts w:ascii="Garamond" w:eastAsiaTheme="minorHAnsi" w:hAnsi="Garamond"/>
          <w:color w:val="000000"/>
          <w:sz w:val="24"/>
          <w:szCs w:val="24"/>
          <w14:ligatures w14:val="standardContextual"/>
        </w:rPr>
        <w:t>II</w:t>
      </w:r>
      <w:proofErr w:type="spellEnd"/>
      <w:r w:rsidRPr="00DD58C7">
        <w:rPr>
          <w:rFonts w:ascii="Garamond" w:eastAsiaTheme="minorHAnsi" w:hAnsi="Garamond"/>
          <w:color w:val="000000"/>
          <w:sz w:val="24"/>
          <w:szCs w:val="24"/>
          <w14:ligatures w14:val="standardContextual"/>
        </w:rPr>
        <w:t>. SHKELJE TË TJERA TË PRETENDUARA TË KONVENTËS</w:t>
      </w:r>
    </w:p>
    <w:p w14:paraId="74A46101" w14:textId="4EF1D747"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61. Kërkuesi u ankua se ishin shkelur të drejta e tij të mbrojtura sipas </w:t>
      </w:r>
      <w:r w:rsidR="004146E7" w:rsidRPr="00DD58C7">
        <w:rPr>
          <w:rFonts w:ascii="Garamond" w:eastAsiaTheme="minorHAnsi" w:hAnsi="Garamond"/>
          <w:color w:val="000000"/>
          <w:sz w:val="24"/>
          <w:szCs w:val="24"/>
          <w14:ligatures w14:val="standardContextual"/>
        </w:rPr>
        <w:t xml:space="preserve">nenit </w:t>
      </w:r>
      <w:r w:rsidRPr="00DD58C7">
        <w:rPr>
          <w:rFonts w:ascii="Garamond" w:eastAsiaTheme="minorHAnsi" w:hAnsi="Garamond"/>
          <w:color w:val="000000"/>
          <w:sz w:val="24"/>
          <w:szCs w:val="24"/>
          <w14:ligatures w14:val="standardContextual"/>
        </w:rPr>
        <w:t>6 § 1 të Konventës për shkak të mënyrës se si ishte zbatuar ligji vendas në procedurat në lidhje me vendimin për të mos e pranuar atë në Shkollën e Magjistraturës, si dhe e drejta e tij për arsim</w:t>
      </w:r>
      <w:r w:rsidR="004146E7">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sipas </w:t>
      </w:r>
      <w:r w:rsidR="004146E7" w:rsidRPr="00DD58C7">
        <w:rPr>
          <w:rFonts w:ascii="Garamond" w:eastAsiaTheme="minorHAnsi" w:hAnsi="Garamond"/>
          <w:color w:val="000000"/>
          <w:sz w:val="24"/>
          <w:szCs w:val="24"/>
          <w14:ligatures w14:val="standardContextual"/>
        </w:rPr>
        <w:t xml:space="preserve">nenit </w:t>
      </w:r>
      <w:r w:rsidRPr="00DD58C7">
        <w:rPr>
          <w:rFonts w:ascii="Garamond" w:eastAsiaTheme="minorHAnsi" w:hAnsi="Garamond"/>
          <w:color w:val="000000"/>
          <w:sz w:val="24"/>
          <w:szCs w:val="24"/>
          <w14:ligatures w14:val="standardContextual"/>
        </w:rPr>
        <w:t>2</w:t>
      </w:r>
      <w:r w:rsidR="004146E7">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të Protokollit </w:t>
      </w:r>
      <w:r w:rsidR="004146E7">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 xml:space="preserve">r. 1 të Konventës. Megjithatë, duke pasur parasysh faktet e çështjes, parashtrimet e palëve dhe gjetjet e Gjykatës sipas </w:t>
      </w:r>
      <w:r w:rsidR="004146E7">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 xml:space="preserve">enit 8 të Konventës, Gjykata vlerëson se ka shqyrtuar çështjet kryesore ligjore të ngritura në kërkesën konkrete dhe se nuk ka nevojë të japë një vendim të veçantë për këto ankesa shtesë (shih </w:t>
      </w:r>
      <w:r w:rsidRPr="00DD58C7">
        <w:rPr>
          <w:rFonts w:ascii="Garamond" w:eastAsiaTheme="minorHAnsi" w:hAnsi="Garamond"/>
          <w:i/>
          <w:iCs/>
          <w:color w:val="000000"/>
          <w:sz w:val="24"/>
          <w:szCs w:val="24"/>
          <w14:ligatures w14:val="standardContextual"/>
        </w:rPr>
        <w:t xml:space="preserve">Qendra për Burime Ligjore në emër të </w:t>
      </w:r>
      <w:proofErr w:type="spellStart"/>
      <w:r w:rsidRPr="00DD58C7">
        <w:rPr>
          <w:rFonts w:ascii="Garamond" w:eastAsiaTheme="minorHAnsi" w:hAnsi="Garamond"/>
          <w:i/>
          <w:iCs/>
          <w:color w:val="000000"/>
          <w:sz w:val="24"/>
          <w:szCs w:val="24"/>
          <w14:ligatures w14:val="standardContextual"/>
        </w:rPr>
        <w:t>Valentin</w:t>
      </w:r>
      <w:proofErr w:type="spellEnd"/>
      <w:r w:rsidRPr="00DD58C7">
        <w:rPr>
          <w:rFonts w:ascii="Garamond" w:eastAsiaTheme="minorHAnsi" w:hAnsi="Garamond"/>
          <w:i/>
          <w:iCs/>
          <w:color w:val="000000"/>
          <w:sz w:val="24"/>
          <w:szCs w:val="24"/>
          <w14:ligatures w14:val="standardContextual"/>
        </w:rPr>
        <w:t xml:space="preserve"> </w:t>
      </w:r>
      <w:proofErr w:type="spellStart"/>
      <w:r w:rsidRPr="00DD58C7">
        <w:rPr>
          <w:rFonts w:ascii="Garamond" w:eastAsiaTheme="minorHAnsi" w:hAnsi="Garamond"/>
          <w:i/>
          <w:iCs/>
          <w:color w:val="000000"/>
          <w:sz w:val="24"/>
          <w:szCs w:val="24"/>
          <w14:ligatures w14:val="standardContextual"/>
        </w:rPr>
        <w:t>Câmpeanu</w:t>
      </w:r>
      <w:proofErr w:type="spellEnd"/>
      <w:r w:rsidRPr="00DD58C7">
        <w:rPr>
          <w:rFonts w:ascii="Garamond" w:eastAsiaTheme="minorHAnsi" w:hAnsi="Garamond"/>
          <w:i/>
          <w:iCs/>
          <w:color w:val="000000"/>
          <w:sz w:val="24"/>
          <w:szCs w:val="24"/>
          <w14:ligatures w14:val="standardContextual"/>
        </w:rPr>
        <w:t xml:space="preserve"> kundër Rumanisë</w:t>
      </w:r>
      <w:r w:rsidRPr="00DD58C7">
        <w:rPr>
          <w:rFonts w:ascii="Garamond" w:eastAsiaTheme="minorHAnsi" w:hAnsi="Garamond"/>
          <w:color w:val="000000"/>
          <w:sz w:val="24"/>
          <w:szCs w:val="24"/>
          <w14:ligatures w14:val="standardContextual"/>
        </w:rPr>
        <w:t xml:space="preserve"> [</w:t>
      </w:r>
      <w:proofErr w:type="spellStart"/>
      <w:r w:rsidRPr="00DD58C7">
        <w:rPr>
          <w:rFonts w:ascii="Garamond" w:eastAsiaTheme="minorHAnsi" w:hAnsi="Garamond"/>
          <w:color w:val="000000"/>
          <w:sz w:val="24"/>
          <w:szCs w:val="24"/>
          <w14:ligatures w14:val="standardContextual"/>
        </w:rPr>
        <w:t>DHM</w:t>
      </w:r>
      <w:proofErr w:type="spellEnd"/>
      <w:r w:rsidRPr="00DD58C7">
        <w:rPr>
          <w:rFonts w:ascii="Garamond" w:eastAsiaTheme="minorHAnsi" w:hAnsi="Garamond"/>
          <w:color w:val="000000"/>
          <w:sz w:val="24"/>
          <w:szCs w:val="24"/>
          <w14:ligatures w14:val="standardContextual"/>
        </w:rPr>
        <w:t xml:space="preserve">], nr. 47848/08, § 156, </w:t>
      </w:r>
      <w:proofErr w:type="spellStart"/>
      <w:r w:rsidRPr="00DD58C7">
        <w:rPr>
          <w:rFonts w:ascii="Garamond" w:eastAsiaTheme="minorHAnsi" w:hAnsi="Garamond"/>
          <w:color w:val="000000"/>
          <w:sz w:val="24"/>
          <w:szCs w:val="24"/>
          <w14:ligatures w14:val="standardContextual"/>
        </w:rPr>
        <w:t>GJEDNJ</w:t>
      </w:r>
      <w:proofErr w:type="spellEnd"/>
      <w:r w:rsidRPr="00DD58C7">
        <w:rPr>
          <w:rFonts w:ascii="Garamond" w:eastAsiaTheme="minorHAnsi" w:hAnsi="Garamond"/>
          <w:color w:val="000000"/>
          <w:sz w:val="24"/>
          <w:szCs w:val="24"/>
          <w14:ligatures w14:val="standardContextual"/>
        </w:rPr>
        <w:t xml:space="preserve"> 2014).</w:t>
      </w:r>
    </w:p>
    <w:p w14:paraId="560AE77D" w14:textId="6326A115"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roofErr w:type="spellStart"/>
      <w:r w:rsidRPr="00DD58C7">
        <w:rPr>
          <w:rFonts w:ascii="Garamond" w:eastAsiaTheme="minorHAnsi" w:hAnsi="Garamond"/>
          <w:color w:val="000000"/>
          <w:sz w:val="24"/>
          <w:szCs w:val="24"/>
          <w14:ligatures w14:val="standardContextual"/>
        </w:rPr>
        <w:t>III</w:t>
      </w:r>
      <w:proofErr w:type="spellEnd"/>
      <w:r w:rsidRPr="00DD58C7">
        <w:rPr>
          <w:rFonts w:ascii="Garamond" w:eastAsiaTheme="minorHAnsi" w:hAnsi="Garamond"/>
          <w:color w:val="000000"/>
          <w:sz w:val="24"/>
          <w:szCs w:val="24"/>
          <w14:ligatures w14:val="standardContextual"/>
        </w:rPr>
        <w:t>. ZBATIMI I NENIT 41 TË KONVENTËS</w:t>
      </w:r>
    </w:p>
    <w:p w14:paraId="4DCD7C64" w14:textId="13A14F11"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62. Neni 41 i Konventës parashikon:</w:t>
      </w:r>
    </w:p>
    <w:p w14:paraId="031FBDA6" w14:textId="2EDCAD04"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r w:rsidR="004146E7">
        <w:rPr>
          <w:rFonts w:ascii="Garamond" w:eastAsiaTheme="minorHAnsi" w:hAnsi="Garamond"/>
          <w:color w:val="000000"/>
          <w:sz w:val="24"/>
          <w:szCs w:val="24"/>
          <w14:ligatures w14:val="standardContextual"/>
        </w:rPr>
        <w:t>.</w:t>
      </w:r>
    </w:p>
    <w:p w14:paraId="099FD8D5" w14:textId="1C6E8F30" w:rsidR="0007274E" w:rsidRPr="00DD58C7" w:rsidRDefault="0007274E" w:rsidP="0007274E">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DD58C7">
        <w:rPr>
          <w:rFonts w:ascii="Garamond" w:eastAsiaTheme="minorHAnsi" w:hAnsi="Garamond"/>
          <w:b/>
          <w:bCs/>
          <w:color w:val="000000"/>
          <w:sz w:val="24"/>
          <w:szCs w:val="24"/>
          <w14:ligatures w14:val="standardContextual"/>
        </w:rPr>
        <w:t>A. Dëmi</w:t>
      </w:r>
    </w:p>
    <w:p w14:paraId="41198826" w14:textId="33668055"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63. Kërkuesi kërkoi një shumë të barabartë me pagën që do të kishte marrë nëse do të kishte ndjekur programin fillestar trevjeçar të formimit në Shkollën e Magjistraturës dhe më pas do të kishte punuar si magjistrat, si dhe çdo pagesë përkatëse të </w:t>
      </w:r>
      <w:proofErr w:type="spellStart"/>
      <w:r w:rsidRPr="00DD58C7">
        <w:rPr>
          <w:rFonts w:ascii="Garamond" w:eastAsiaTheme="minorHAnsi" w:hAnsi="Garamond"/>
          <w:color w:val="000000"/>
          <w:sz w:val="24"/>
          <w:szCs w:val="24"/>
          <w14:ligatures w14:val="standardContextual"/>
        </w:rPr>
        <w:t>siguracioneve</w:t>
      </w:r>
      <w:proofErr w:type="spellEnd"/>
      <w:r w:rsidRPr="00DD58C7">
        <w:rPr>
          <w:rFonts w:ascii="Garamond" w:eastAsiaTheme="minorHAnsi" w:hAnsi="Garamond"/>
          <w:color w:val="000000"/>
          <w:sz w:val="24"/>
          <w:szCs w:val="24"/>
          <w14:ligatures w14:val="standardContextual"/>
        </w:rPr>
        <w:t>, interesin për inflacionin dhe taksat. Ai i kërkoi këto shuma deri në pikën ku do të mund të ndiqte programin e trajnimit ose deri në moshën e daljes në pension, të plotësuara nga pensioni përkatës, për sa i përket dëmit pasuror. Ai</w:t>
      </w:r>
      <w:r w:rsidR="004146E7">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gjithashtu</w:t>
      </w:r>
      <w:r w:rsidR="004146E7">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kërkoi 20,000 euro (</w:t>
      </w:r>
      <w:proofErr w:type="spellStart"/>
      <w:r w:rsidRPr="00DD58C7">
        <w:rPr>
          <w:rFonts w:ascii="Garamond" w:eastAsiaTheme="minorHAnsi" w:hAnsi="Garamond"/>
          <w:color w:val="000000"/>
          <w:sz w:val="24"/>
          <w:szCs w:val="24"/>
          <w14:ligatures w14:val="standardContextual"/>
        </w:rPr>
        <w:t>EUR</w:t>
      </w:r>
      <w:proofErr w:type="spellEnd"/>
      <w:r w:rsidRPr="00DD58C7">
        <w:rPr>
          <w:rFonts w:ascii="Garamond" w:eastAsiaTheme="minorHAnsi" w:hAnsi="Garamond"/>
          <w:color w:val="000000"/>
          <w:sz w:val="24"/>
          <w:szCs w:val="24"/>
          <w14:ligatures w14:val="standardContextual"/>
        </w:rPr>
        <w:t xml:space="preserve">) në lidhje me dëmin </w:t>
      </w:r>
      <w:proofErr w:type="spellStart"/>
      <w:r w:rsidRPr="00DD58C7">
        <w:rPr>
          <w:rFonts w:ascii="Garamond" w:eastAsiaTheme="minorHAnsi" w:hAnsi="Garamond"/>
          <w:color w:val="000000"/>
          <w:sz w:val="24"/>
          <w:szCs w:val="24"/>
          <w14:ligatures w14:val="standardContextual"/>
        </w:rPr>
        <w:t>jopasuror</w:t>
      </w:r>
      <w:proofErr w:type="spellEnd"/>
      <w:r w:rsidRPr="00DD58C7">
        <w:rPr>
          <w:rFonts w:ascii="Garamond" w:eastAsiaTheme="minorHAnsi" w:hAnsi="Garamond"/>
          <w:color w:val="000000"/>
          <w:sz w:val="24"/>
          <w:szCs w:val="24"/>
          <w14:ligatures w14:val="standardContextual"/>
        </w:rPr>
        <w:t>.</w:t>
      </w:r>
    </w:p>
    <w:p w14:paraId="0B88DFB7" w14:textId="0C6F519D"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64. Qeveria parashtroi se kërkesa e kërkuesit</w:t>
      </w:r>
      <w:r w:rsidR="004146E7">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në lidhje me dëmin pasuror ishte e pabazuar, spekulative dhe e tepërt, pasi bazohej në një trajektore të mundshme karriere dhe jo në një humbje të provuar dhe të drejtpërdrejtë. Qeveria</w:t>
      </w:r>
      <w:r w:rsidR="004146E7">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gjithashtu</w:t>
      </w:r>
      <w:r w:rsidR="004146E7">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pretendoi se kërkesa në lidhje me dëmin </w:t>
      </w:r>
      <w:proofErr w:type="spellStart"/>
      <w:r w:rsidRPr="00DD58C7">
        <w:rPr>
          <w:rFonts w:ascii="Garamond" w:eastAsiaTheme="minorHAnsi" w:hAnsi="Garamond"/>
          <w:color w:val="000000"/>
          <w:sz w:val="24"/>
          <w:szCs w:val="24"/>
          <w14:ligatures w14:val="standardContextual"/>
        </w:rPr>
        <w:t>jopasuror</w:t>
      </w:r>
      <w:proofErr w:type="spellEnd"/>
      <w:r w:rsidRPr="00DD58C7">
        <w:rPr>
          <w:rFonts w:ascii="Garamond" w:eastAsiaTheme="minorHAnsi" w:hAnsi="Garamond"/>
          <w:color w:val="000000"/>
          <w:sz w:val="24"/>
          <w:szCs w:val="24"/>
          <w14:ligatures w14:val="standardContextual"/>
        </w:rPr>
        <w:t xml:space="preserve"> ishte e tepërt dhe e pambështetur në prova, dhe se vetëm gjetja e një shkeljeje nga Gjykata, nëse do të arrinte në një përfundim të tillë, do të përbënte dëmshpërblim të mjaftueshëm.</w:t>
      </w:r>
    </w:p>
    <w:p w14:paraId="2DE68FE3" w14:textId="16427C20"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65. Gjykata nuk dallon ndonjë lidhje shkakësore midis shkeljes së gjetur dhe dëmit pasuror të pretenduar; prandaj e hedh poshtë këtë pretendim. Nga ana tjetër, Gjykata vlerëson se kërkuesi duhet të ketë pësuar dëm </w:t>
      </w:r>
      <w:proofErr w:type="spellStart"/>
      <w:r w:rsidRPr="00DD58C7">
        <w:rPr>
          <w:rFonts w:ascii="Garamond" w:eastAsiaTheme="minorHAnsi" w:hAnsi="Garamond"/>
          <w:color w:val="000000"/>
          <w:sz w:val="24"/>
          <w:szCs w:val="24"/>
          <w14:ligatures w14:val="standardContextual"/>
        </w:rPr>
        <w:t>jopasuror</w:t>
      </w:r>
      <w:proofErr w:type="spellEnd"/>
      <w:r w:rsidRPr="00DD58C7">
        <w:rPr>
          <w:rFonts w:ascii="Garamond" w:eastAsiaTheme="minorHAnsi" w:hAnsi="Garamond"/>
          <w:color w:val="000000"/>
          <w:sz w:val="24"/>
          <w:szCs w:val="24"/>
          <w14:ligatures w14:val="standardContextual"/>
        </w:rPr>
        <w:t xml:space="preserve"> si rezultat i shkeljes së gjetur. Duke bërë vlerësimin e saj mbi baza të drejta, ajo i jep atij 4,500 euro për dëmin </w:t>
      </w:r>
      <w:proofErr w:type="spellStart"/>
      <w:r w:rsidRPr="00DD58C7">
        <w:rPr>
          <w:rFonts w:ascii="Garamond" w:eastAsiaTheme="minorHAnsi" w:hAnsi="Garamond"/>
          <w:color w:val="000000"/>
          <w:sz w:val="24"/>
          <w:szCs w:val="24"/>
          <w14:ligatures w14:val="standardContextual"/>
        </w:rPr>
        <w:t>jopasuror</w:t>
      </w:r>
      <w:proofErr w:type="spellEnd"/>
      <w:r w:rsidRPr="00DD58C7">
        <w:rPr>
          <w:rFonts w:ascii="Garamond" w:eastAsiaTheme="minorHAnsi" w:hAnsi="Garamond"/>
          <w:color w:val="000000"/>
          <w:sz w:val="24"/>
          <w:szCs w:val="24"/>
          <w14:ligatures w14:val="standardContextual"/>
        </w:rPr>
        <w:t xml:space="preserve">, plus çdo taksë që mund të </w:t>
      </w:r>
      <w:proofErr w:type="spellStart"/>
      <w:r w:rsidRPr="00DD58C7">
        <w:rPr>
          <w:rFonts w:ascii="Garamond" w:eastAsiaTheme="minorHAnsi" w:hAnsi="Garamond"/>
          <w:color w:val="000000"/>
          <w:sz w:val="24"/>
          <w:szCs w:val="24"/>
          <w14:ligatures w14:val="standardContextual"/>
        </w:rPr>
        <w:t>tarifohet</w:t>
      </w:r>
      <w:proofErr w:type="spellEnd"/>
      <w:r w:rsidRPr="00DD58C7">
        <w:rPr>
          <w:rFonts w:ascii="Garamond" w:eastAsiaTheme="minorHAnsi" w:hAnsi="Garamond"/>
          <w:color w:val="000000"/>
          <w:sz w:val="24"/>
          <w:szCs w:val="24"/>
          <w14:ligatures w14:val="standardContextual"/>
        </w:rPr>
        <w:t>.</w:t>
      </w:r>
    </w:p>
    <w:p w14:paraId="63FD669E" w14:textId="2E49EF38"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66. Në fund, Gjykata vëren se ligji shqiptar parashikon mundësinë e rihapjes së procedurave gjyqësore në rastet kur Gjykata ka konstatuar shkelje të Konventës (shih </w:t>
      </w:r>
      <w:r w:rsidRPr="00DD58C7">
        <w:rPr>
          <w:rFonts w:ascii="Garamond" w:eastAsiaTheme="minorHAnsi" w:hAnsi="Garamond"/>
          <w:i/>
          <w:iCs/>
          <w:color w:val="000000"/>
          <w:sz w:val="24"/>
          <w:szCs w:val="24"/>
          <w14:ligatures w14:val="standardContextual"/>
        </w:rPr>
        <w:t xml:space="preserve">Besnik </w:t>
      </w:r>
      <w:proofErr w:type="spellStart"/>
      <w:r w:rsidRPr="00DD58C7">
        <w:rPr>
          <w:rFonts w:ascii="Garamond" w:eastAsiaTheme="minorHAnsi" w:hAnsi="Garamond"/>
          <w:i/>
          <w:iCs/>
          <w:color w:val="000000"/>
          <w:sz w:val="24"/>
          <w:szCs w:val="24"/>
          <w14:ligatures w14:val="standardContextual"/>
        </w:rPr>
        <w:t>Cani</w:t>
      </w:r>
      <w:proofErr w:type="spellEnd"/>
      <w:r w:rsidRPr="00DD58C7">
        <w:rPr>
          <w:rFonts w:ascii="Garamond" w:eastAsiaTheme="minorHAnsi" w:hAnsi="Garamond"/>
          <w:i/>
          <w:iCs/>
          <w:color w:val="000000"/>
          <w:sz w:val="24"/>
          <w:szCs w:val="24"/>
          <w14:ligatures w14:val="standardContextual"/>
        </w:rPr>
        <w:t xml:space="preserve"> kundër Shqipërisë</w:t>
      </w:r>
      <w:r w:rsidRPr="00DD58C7">
        <w:rPr>
          <w:rFonts w:ascii="Garamond" w:eastAsiaTheme="minorHAnsi" w:hAnsi="Garamond"/>
          <w:color w:val="000000"/>
          <w:sz w:val="24"/>
          <w:szCs w:val="24"/>
          <w14:ligatures w14:val="standardContextual"/>
        </w:rPr>
        <w:t>, nr. 37474/20, §§ 56</w:t>
      </w:r>
      <w:r w:rsidR="004146E7">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57, 4 </w:t>
      </w:r>
      <w:r w:rsidR="004146E7">
        <w:rPr>
          <w:rFonts w:ascii="Garamond" w:eastAsiaTheme="minorHAnsi" w:hAnsi="Garamond"/>
          <w:color w:val="000000"/>
          <w:sz w:val="24"/>
          <w:szCs w:val="24"/>
          <w14:ligatures w14:val="standardContextual"/>
        </w:rPr>
        <w:t>t</w:t>
      </w:r>
      <w:r w:rsidRPr="00DD58C7">
        <w:rPr>
          <w:rFonts w:ascii="Garamond" w:eastAsiaTheme="minorHAnsi" w:hAnsi="Garamond"/>
          <w:color w:val="000000"/>
          <w:sz w:val="24"/>
          <w:szCs w:val="24"/>
          <w14:ligatures w14:val="standardContextual"/>
        </w:rPr>
        <w:t xml:space="preserve">etor 2022). Prandaj, forma më e përshtatshme e dëmshpërblimit për kërkuesin do të ishte rihapja e procedurave, nëse ai e kërkon këtë, dhe rishqyrtimi i çështjes në një mënyrë që është në përputhje me të gjitha kërkesat e </w:t>
      </w:r>
      <w:r w:rsidR="004146E7">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enit 8 të Konventës.</w:t>
      </w:r>
    </w:p>
    <w:p w14:paraId="366309C2" w14:textId="09EAAEF1" w:rsidR="0007274E" w:rsidRPr="00DD58C7" w:rsidRDefault="0007274E" w:rsidP="0007274E">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DD58C7">
        <w:rPr>
          <w:rFonts w:ascii="Garamond" w:eastAsiaTheme="minorHAnsi" w:hAnsi="Garamond"/>
          <w:b/>
          <w:bCs/>
          <w:color w:val="000000"/>
          <w:sz w:val="24"/>
          <w:szCs w:val="24"/>
          <w14:ligatures w14:val="standardContextual"/>
        </w:rPr>
        <w:t>B. Shpenzimet dhe kostot</w:t>
      </w:r>
    </w:p>
    <w:p w14:paraId="7CEF2BA4" w14:textId="53BC1512"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67. Kërkuesi kërkoi</w:t>
      </w:r>
      <w:r w:rsidR="004146E7">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gjithashtu</w:t>
      </w:r>
      <w:r w:rsidR="004146E7">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5,000 euro “për çdo kosto, shpenzim, taksë ose detyrim tjetër bërë përpara autoriteteve vendase” dhe Gjykatës. Ai nuk dha asnjë detaj dhe nuk paraqiti asnjë dokument mbështetës.</w:t>
      </w:r>
    </w:p>
    <w:p w14:paraId="4B4D72DA" w14:textId="59471FA5"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68. Qeveria parashtroi se kërkesa ishte e tepërt dhe e pambështetur në prova.</w:t>
      </w:r>
    </w:p>
    <w:p w14:paraId="50C7DBFB" w14:textId="77777777" w:rsidR="004146E7" w:rsidRDefault="0007274E" w:rsidP="004146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lastRenderedPageBreak/>
        <w:t xml:space="preserve">69. Sipas praktikës gjyqësore të Gjykatës, një kërkues ka të drejtë për </w:t>
      </w:r>
      <w:proofErr w:type="spellStart"/>
      <w:r w:rsidRPr="00DD58C7">
        <w:rPr>
          <w:rFonts w:ascii="Garamond" w:eastAsiaTheme="minorHAnsi" w:hAnsi="Garamond"/>
          <w:color w:val="000000"/>
          <w:sz w:val="24"/>
          <w:szCs w:val="24"/>
          <w14:ligatures w14:val="standardContextual"/>
        </w:rPr>
        <w:t>rimbursimin</w:t>
      </w:r>
      <w:proofErr w:type="spellEnd"/>
      <w:r w:rsidRPr="00DD58C7">
        <w:rPr>
          <w:rFonts w:ascii="Garamond" w:eastAsiaTheme="minorHAnsi" w:hAnsi="Garamond"/>
          <w:color w:val="000000"/>
          <w:sz w:val="24"/>
          <w:szCs w:val="24"/>
          <w14:ligatures w14:val="standardContextual"/>
        </w:rPr>
        <w:t xml:space="preserve"> e kostove dhe shpenzimeve vetëm për aq sa është provuar se këto janë bërë në të vërtetë dhe sipas nevojës, dhe janë të arsyeshme për sa i përket sasisë. Në rastin konkret, duke marrë parasysh kërkesën e paraqitur nga kërkuesi dhe kriteret e mësipërme, Gjykata e hedh poshtë kërkesën për kosto dhe</w:t>
      </w:r>
      <w:r w:rsidR="004146E7">
        <w:rPr>
          <w:rFonts w:ascii="Garamond" w:eastAsiaTheme="minorHAnsi" w:hAnsi="Garamond"/>
          <w:color w:val="000000"/>
          <w:sz w:val="24"/>
          <w:szCs w:val="24"/>
          <w14:ligatures w14:val="standardContextual"/>
        </w:rPr>
        <w:t xml:space="preserve"> shpenzime.</w:t>
      </w:r>
    </w:p>
    <w:p w14:paraId="5AF45FC8" w14:textId="211DC249" w:rsidR="004146E7" w:rsidRDefault="004146E7" w:rsidP="004146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për k</w:t>
      </w:r>
      <w:r>
        <w:rPr>
          <w:rFonts w:ascii="Garamond" w:eastAsiaTheme="minorHAnsi" w:hAnsi="Garamond"/>
          <w:color w:val="000000"/>
          <w:sz w:val="24"/>
          <w:szCs w:val="24"/>
          <w14:ligatures w14:val="standardContextual"/>
        </w:rPr>
        <w:t>ëto arsye, Gjykata, unanimisht,</w:t>
      </w:r>
    </w:p>
    <w:p w14:paraId="6810DF80" w14:textId="7F3A30B3" w:rsidR="0007274E" w:rsidRPr="00DD58C7" w:rsidRDefault="0007274E" w:rsidP="004146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i/>
          <w:iCs/>
          <w:color w:val="000000"/>
          <w:sz w:val="24"/>
          <w:szCs w:val="24"/>
          <w14:ligatures w14:val="standardContextual"/>
        </w:rPr>
        <w:t xml:space="preserve">1. </w:t>
      </w:r>
      <w:r w:rsidR="004146E7" w:rsidRPr="00DD58C7">
        <w:rPr>
          <w:rFonts w:ascii="Garamond" w:eastAsiaTheme="minorHAnsi" w:hAnsi="Garamond"/>
          <w:i/>
          <w:iCs/>
          <w:color w:val="000000"/>
          <w:sz w:val="24"/>
          <w:szCs w:val="24"/>
          <w14:ligatures w14:val="standardContextual"/>
        </w:rPr>
        <w:t>shpall</w:t>
      </w:r>
      <w:r w:rsidR="004146E7" w:rsidRPr="00DD58C7">
        <w:rPr>
          <w:rFonts w:ascii="Garamond" w:eastAsiaTheme="minorHAnsi" w:hAnsi="Garamond"/>
          <w:color w:val="000000"/>
          <w:sz w:val="24"/>
          <w:szCs w:val="24"/>
          <w14:ligatures w14:val="standardContextual"/>
        </w:rPr>
        <w:t xml:space="preserve"> </w:t>
      </w:r>
      <w:r w:rsidRPr="00DD58C7">
        <w:rPr>
          <w:rFonts w:ascii="Garamond" w:eastAsiaTheme="minorHAnsi" w:hAnsi="Garamond"/>
          <w:color w:val="000000"/>
          <w:sz w:val="24"/>
          <w:szCs w:val="24"/>
          <w14:ligatures w14:val="standardContextual"/>
        </w:rPr>
        <w:t xml:space="preserve">të pranueshme ankesën sipas </w:t>
      </w:r>
      <w:r w:rsidR="004146E7" w:rsidRPr="00DD58C7">
        <w:rPr>
          <w:rFonts w:ascii="Garamond" w:eastAsiaTheme="minorHAnsi" w:hAnsi="Garamond"/>
          <w:color w:val="000000"/>
          <w:sz w:val="24"/>
          <w:szCs w:val="24"/>
          <w14:ligatures w14:val="standardContextual"/>
        </w:rPr>
        <w:t xml:space="preserve">nenit </w:t>
      </w:r>
      <w:r w:rsidRPr="00DD58C7">
        <w:rPr>
          <w:rFonts w:ascii="Garamond" w:eastAsiaTheme="minorHAnsi" w:hAnsi="Garamond"/>
          <w:color w:val="000000"/>
          <w:sz w:val="24"/>
          <w:szCs w:val="24"/>
          <w14:ligatures w14:val="standardContextual"/>
        </w:rPr>
        <w:t>8 të Konventës</w:t>
      </w:r>
      <w:r w:rsidR="004146E7">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në lidhje me vendimin për të mos e pranuar kërkuesin në Shkollën e Magjistraturës për trajnim si prokuror për shkak të një dënimi të vuajtur si i mitur;</w:t>
      </w:r>
    </w:p>
    <w:p w14:paraId="448F1A98" w14:textId="2C6599B2"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i/>
          <w:iCs/>
          <w:color w:val="000000"/>
          <w:sz w:val="24"/>
          <w:szCs w:val="24"/>
          <w14:ligatures w14:val="standardContextual"/>
        </w:rPr>
        <w:t xml:space="preserve">2. </w:t>
      </w:r>
      <w:r w:rsidR="004146E7" w:rsidRPr="00DD58C7">
        <w:rPr>
          <w:rFonts w:ascii="Garamond" w:eastAsiaTheme="minorHAnsi" w:hAnsi="Garamond"/>
          <w:i/>
          <w:iCs/>
          <w:color w:val="000000"/>
          <w:sz w:val="24"/>
          <w:szCs w:val="24"/>
          <w14:ligatures w14:val="standardContextual"/>
        </w:rPr>
        <w:t xml:space="preserve">gjykon </w:t>
      </w:r>
      <w:r w:rsidRPr="00DD58C7">
        <w:rPr>
          <w:rFonts w:ascii="Garamond" w:eastAsiaTheme="minorHAnsi" w:hAnsi="Garamond"/>
          <w:color w:val="000000"/>
          <w:sz w:val="24"/>
          <w:szCs w:val="24"/>
          <w14:ligatures w14:val="standardContextual"/>
        </w:rPr>
        <w:t xml:space="preserve">se është shkelur </w:t>
      </w:r>
      <w:r w:rsidR="004146E7" w:rsidRPr="00DD58C7">
        <w:rPr>
          <w:rFonts w:ascii="Garamond" w:eastAsiaTheme="minorHAnsi" w:hAnsi="Garamond"/>
          <w:color w:val="000000"/>
          <w:sz w:val="24"/>
          <w:szCs w:val="24"/>
          <w14:ligatures w14:val="standardContextual"/>
        </w:rPr>
        <w:t xml:space="preserve">neni </w:t>
      </w:r>
      <w:r w:rsidRPr="00DD58C7">
        <w:rPr>
          <w:rFonts w:ascii="Garamond" w:eastAsiaTheme="minorHAnsi" w:hAnsi="Garamond"/>
          <w:color w:val="000000"/>
          <w:sz w:val="24"/>
          <w:szCs w:val="24"/>
          <w14:ligatures w14:val="standardContextual"/>
        </w:rPr>
        <w:t>8 i Konventës;</w:t>
      </w:r>
    </w:p>
    <w:p w14:paraId="1F8E2DFB" w14:textId="56CE33EB"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i/>
          <w:iCs/>
          <w:color w:val="000000"/>
          <w:sz w:val="24"/>
          <w:szCs w:val="24"/>
          <w14:ligatures w14:val="standardContextual"/>
        </w:rPr>
        <w:t xml:space="preserve">3. </w:t>
      </w:r>
      <w:r w:rsidR="004146E7" w:rsidRPr="00DD58C7">
        <w:rPr>
          <w:rFonts w:ascii="Garamond" w:eastAsiaTheme="minorHAnsi" w:hAnsi="Garamond"/>
          <w:i/>
          <w:iCs/>
          <w:color w:val="000000"/>
          <w:sz w:val="24"/>
          <w:szCs w:val="24"/>
          <w14:ligatures w14:val="standardContextual"/>
        </w:rPr>
        <w:t xml:space="preserve">gjykon </w:t>
      </w:r>
      <w:r w:rsidRPr="00DD58C7">
        <w:rPr>
          <w:rFonts w:ascii="Garamond" w:eastAsiaTheme="minorHAnsi" w:hAnsi="Garamond"/>
          <w:color w:val="000000"/>
          <w:sz w:val="24"/>
          <w:szCs w:val="24"/>
          <w14:ligatures w14:val="standardContextual"/>
        </w:rPr>
        <w:t xml:space="preserve">se nuk është e nevojshme të shqyrtohet </w:t>
      </w:r>
      <w:proofErr w:type="spellStart"/>
      <w:r w:rsidRPr="00DD58C7">
        <w:rPr>
          <w:rFonts w:ascii="Garamond" w:eastAsiaTheme="minorHAnsi" w:hAnsi="Garamond"/>
          <w:color w:val="000000"/>
          <w:sz w:val="24"/>
          <w:szCs w:val="24"/>
          <w14:ligatures w14:val="standardContextual"/>
        </w:rPr>
        <w:t>pranueshmëria</w:t>
      </w:r>
      <w:proofErr w:type="spellEnd"/>
      <w:r w:rsidRPr="00DD58C7">
        <w:rPr>
          <w:rFonts w:ascii="Garamond" w:eastAsiaTheme="minorHAnsi" w:hAnsi="Garamond"/>
          <w:color w:val="000000"/>
          <w:sz w:val="24"/>
          <w:szCs w:val="24"/>
          <w14:ligatures w14:val="standardContextual"/>
        </w:rPr>
        <w:t xml:space="preserve"> dhe themeli i ankesave të tjera sipas </w:t>
      </w:r>
      <w:r w:rsidR="004146E7" w:rsidRPr="00DD58C7">
        <w:rPr>
          <w:rFonts w:ascii="Garamond" w:eastAsiaTheme="minorHAnsi" w:hAnsi="Garamond"/>
          <w:color w:val="000000"/>
          <w:sz w:val="24"/>
          <w:szCs w:val="24"/>
          <w14:ligatures w14:val="standardContextual"/>
        </w:rPr>
        <w:t xml:space="preserve">nenit </w:t>
      </w:r>
      <w:r w:rsidRPr="00DD58C7">
        <w:rPr>
          <w:rFonts w:ascii="Garamond" w:eastAsiaTheme="minorHAnsi" w:hAnsi="Garamond"/>
          <w:color w:val="000000"/>
          <w:sz w:val="24"/>
          <w:szCs w:val="24"/>
          <w14:ligatures w14:val="standardContextual"/>
        </w:rPr>
        <w:t xml:space="preserve">6 § 1 të Konventës dhe </w:t>
      </w:r>
      <w:r w:rsidR="004146E7" w:rsidRPr="00DD58C7">
        <w:rPr>
          <w:rFonts w:ascii="Garamond" w:eastAsiaTheme="minorHAnsi" w:hAnsi="Garamond"/>
          <w:color w:val="000000"/>
          <w:sz w:val="24"/>
          <w:szCs w:val="24"/>
          <w14:ligatures w14:val="standardContextual"/>
        </w:rPr>
        <w:t xml:space="preserve">nenit </w:t>
      </w:r>
      <w:r w:rsidRPr="00DD58C7">
        <w:rPr>
          <w:rFonts w:ascii="Garamond" w:eastAsiaTheme="minorHAnsi" w:hAnsi="Garamond"/>
          <w:color w:val="000000"/>
          <w:sz w:val="24"/>
          <w:szCs w:val="24"/>
          <w14:ligatures w14:val="standardContextual"/>
        </w:rPr>
        <w:t>2</w:t>
      </w:r>
      <w:r w:rsidR="004146E7">
        <w:rPr>
          <w:rFonts w:ascii="Garamond" w:eastAsiaTheme="minorHAnsi" w:hAnsi="Garamond"/>
          <w:color w:val="000000"/>
          <w:sz w:val="24"/>
          <w:szCs w:val="24"/>
          <w14:ligatures w14:val="standardContextual"/>
        </w:rPr>
        <w:t>,</w:t>
      </w:r>
      <w:r w:rsidRPr="00DD58C7">
        <w:rPr>
          <w:rFonts w:ascii="Garamond" w:eastAsiaTheme="minorHAnsi" w:hAnsi="Garamond"/>
          <w:color w:val="000000"/>
          <w:sz w:val="24"/>
          <w:szCs w:val="24"/>
          <w14:ligatures w14:val="standardContextual"/>
        </w:rPr>
        <w:t xml:space="preserve"> të Protokollit </w:t>
      </w:r>
      <w:r w:rsidR="004146E7" w:rsidRPr="00DD58C7">
        <w:rPr>
          <w:rFonts w:ascii="Garamond" w:eastAsiaTheme="minorHAnsi" w:hAnsi="Garamond"/>
          <w:color w:val="000000"/>
          <w:sz w:val="24"/>
          <w:szCs w:val="24"/>
          <w14:ligatures w14:val="standardContextual"/>
        </w:rPr>
        <w:t>nr</w:t>
      </w:r>
      <w:r w:rsidRPr="00DD58C7">
        <w:rPr>
          <w:rFonts w:ascii="Garamond" w:eastAsiaTheme="minorHAnsi" w:hAnsi="Garamond"/>
          <w:color w:val="000000"/>
          <w:sz w:val="24"/>
          <w:szCs w:val="24"/>
          <w14:ligatures w14:val="standardContextual"/>
        </w:rPr>
        <w:t>. 1 të Konventës;</w:t>
      </w:r>
    </w:p>
    <w:p w14:paraId="45F960A0" w14:textId="0CC69209"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i/>
          <w:iCs/>
          <w:color w:val="000000"/>
          <w:sz w:val="24"/>
          <w:szCs w:val="24"/>
          <w14:ligatures w14:val="standardContextual"/>
        </w:rPr>
        <w:t xml:space="preserve">4. </w:t>
      </w:r>
      <w:r w:rsidR="004146E7">
        <w:rPr>
          <w:rFonts w:ascii="Garamond" w:eastAsiaTheme="minorHAnsi" w:hAnsi="Garamond"/>
          <w:i/>
          <w:iCs/>
          <w:color w:val="000000"/>
          <w:sz w:val="24"/>
          <w:szCs w:val="24"/>
          <w14:ligatures w14:val="standardContextual"/>
        </w:rPr>
        <w:t>gjykon:</w:t>
      </w:r>
    </w:p>
    <w:p w14:paraId="0AFCB996" w14:textId="1A66CB17"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a) se </w:t>
      </w:r>
      <w:r w:rsidR="004146E7">
        <w:rPr>
          <w:rFonts w:ascii="Garamond" w:eastAsiaTheme="minorHAnsi" w:hAnsi="Garamond"/>
          <w:color w:val="000000"/>
          <w:sz w:val="24"/>
          <w:szCs w:val="24"/>
          <w14:ligatures w14:val="standardContextual"/>
        </w:rPr>
        <w:t>s</w:t>
      </w:r>
      <w:r w:rsidRPr="00DD58C7">
        <w:rPr>
          <w:rFonts w:ascii="Garamond" w:eastAsiaTheme="minorHAnsi" w:hAnsi="Garamond"/>
          <w:color w:val="000000"/>
          <w:sz w:val="24"/>
          <w:szCs w:val="24"/>
          <w14:ligatures w14:val="standardContextual"/>
        </w:rPr>
        <w:t xml:space="preserve">hteti i paditur duhet t’i paguajë kërkuesit, brenda tre muajve nga data në të cilën vendimi bëhet i formës së prerë, në përputhje me </w:t>
      </w:r>
      <w:r w:rsidR="004146E7">
        <w:rPr>
          <w:rFonts w:ascii="Garamond" w:eastAsiaTheme="minorHAnsi" w:hAnsi="Garamond"/>
          <w:color w:val="000000"/>
          <w:sz w:val="24"/>
          <w:szCs w:val="24"/>
          <w14:ligatures w14:val="standardContextual"/>
        </w:rPr>
        <w:t>n</w:t>
      </w:r>
      <w:r w:rsidRPr="00DD58C7">
        <w:rPr>
          <w:rFonts w:ascii="Garamond" w:eastAsiaTheme="minorHAnsi" w:hAnsi="Garamond"/>
          <w:color w:val="000000"/>
          <w:sz w:val="24"/>
          <w:szCs w:val="24"/>
          <w14:ligatures w14:val="standardContextual"/>
        </w:rPr>
        <w:t xml:space="preserve">enin 44 § 2 të Konventës, 4,500 euro (katër mijë e pesëqind euro), që do të konvertohen në monedhën e </w:t>
      </w:r>
      <w:r w:rsidR="004146E7">
        <w:rPr>
          <w:rFonts w:ascii="Garamond" w:eastAsiaTheme="minorHAnsi" w:hAnsi="Garamond"/>
          <w:color w:val="000000"/>
          <w:sz w:val="24"/>
          <w:szCs w:val="24"/>
          <w14:ligatures w14:val="standardContextual"/>
        </w:rPr>
        <w:t>s</w:t>
      </w:r>
      <w:r w:rsidRPr="00DD58C7">
        <w:rPr>
          <w:rFonts w:ascii="Garamond" w:eastAsiaTheme="minorHAnsi" w:hAnsi="Garamond"/>
          <w:color w:val="000000"/>
          <w:sz w:val="24"/>
          <w:szCs w:val="24"/>
          <w14:ligatures w14:val="standardContextual"/>
        </w:rPr>
        <w:t xml:space="preserve">htetit të paditur me kursin e zbatueshëm në datën e shlyerjes, plus çdo taksë që mund të </w:t>
      </w:r>
      <w:proofErr w:type="spellStart"/>
      <w:r w:rsidRPr="00DD58C7">
        <w:rPr>
          <w:rFonts w:ascii="Garamond" w:eastAsiaTheme="minorHAnsi" w:hAnsi="Garamond"/>
          <w:color w:val="000000"/>
          <w:sz w:val="24"/>
          <w:szCs w:val="24"/>
          <w14:ligatures w14:val="standardContextual"/>
        </w:rPr>
        <w:t>tarifohet</w:t>
      </w:r>
      <w:proofErr w:type="spellEnd"/>
      <w:r w:rsidRPr="00DD58C7">
        <w:rPr>
          <w:rFonts w:ascii="Garamond" w:eastAsiaTheme="minorHAnsi" w:hAnsi="Garamond"/>
          <w:color w:val="000000"/>
          <w:sz w:val="24"/>
          <w:szCs w:val="24"/>
          <w14:ligatures w14:val="standardContextual"/>
        </w:rPr>
        <w:t xml:space="preserve">, në lidhje me dëmin </w:t>
      </w:r>
      <w:proofErr w:type="spellStart"/>
      <w:r w:rsidRPr="00DD58C7">
        <w:rPr>
          <w:rFonts w:ascii="Garamond" w:eastAsiaTheme="minorHAnsi" w:hAnsi="Garamond"/>
          <w:color w:val="000000"/>
          <w:sz w:val="24"/>
          <w:szCs w:val="24"/>
          <w14:ligatures w14:val="standardContextual"/>
        </w:rPr>
        <w:t>jopasuror</w:t>
      </w:r>
      <w:proofErr w:type="spellEnd"/>
      <w:r w:rsidRPr="00DD58C7">
        <w:rPr>
          <w:rFonts w:ascii="Garamond" w:eastAsiaTheme="minorHAnsi" w:hAnsi="Garamond"/>
          <w:color w:val="000000"/>
          <w:sz w:val="24"/>
          <w:szCs w:val="24"/>
          <w14:ligatures w14:val="standardContextual"/>
        </w:rPr>
        <w:t>;</w:t>
      </w:r>
    </w:p>
    <w:p w14:paraId="1C6872B5" w14:textId="6D1BE302" w:rsidR="0007274E" w:rsidRPr="00DD58C7" w:rsidRDefault="0007274E" w:rsidP="0007274E">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b) se që nga përfundimi i tre muajve të lartpërmendur deri në shlyerje, mbi shumën e mësipërme do të paguhet interes i thjeshtë me një normë të barabartë me normën margjinale të huadhënies së Bankës Qendrore </w:t>
      </w:r>
      <w:r w:rsidR="004146E7" w:rsidRPr="00DD58C7">
        <w:rPr>
          <w:rFonts w:ascii="Garamond" w:eastAsiaTheme="minorHAnsi" w:hAnsi="Garamond"/>
          <w:color w:val="000000"/>
          <w:sz w:val="24"/>
          <w:szCs w:val="24"/>
          <w14:ligatures w14:val="standardContextual"/>
        </w:rPr>
        <w:t>Evropiane</w:t>
      </w:r>
      <w:r w:rsidRPr="00DD58C7">
        <w:rPr>
          <w:rFonts w:ascii="Garamond" w:eastAsiaTheme="minorHAnsi" w:hAnsi="Garamond"/>
          <w:color w:val="000000"/>
          <w:sz w:val="24"/>
          <w:szCs w:val="24"/>
          <w14:ligatures w14:val="standardContextual"/>
        </w:rPr>
        <w:t xml:space="preserve"> gjatë periudhës së </w:t>
      </w:r>
      <w:proofErr w:type="spellStart"/>
      <w:r w:rsidRPr="00DD58C7">
        <w:rPr>
          <w:rFonts w:ascii="Garamond" w:eastAsiaTheme="minorHAnsi" w:hAnsi="Garamond"/>
          <w:color w:val="000000"/>
          <w:sz w:val="24"/>
          <w:szCs w:val="24"/>
          <w14:ligatures w14:val="standardContextual"/>
        </w:rPr>
        <w:t>mosshlyerjes</w:t>
      </w:r>
      <w:proofErr w:type="spellEnd"/>
      <w:r w:rsidRPr="00DD58C7">
        <w:rPr>
          <w:rFonts w:ascii="Garamond" w:eastAsiaTheme="minorHAnsi" w:hAnsi="Garamond"/>
          <w:color w:val="000000"/>
          <w:sz w:val="24"/>
          <w:szCs w:val="24"/>
          <w14:ligatures w14:val="standardContextual"/>
        </w:rPr>
        <w:t xml:space="preserve"> plus tre pikë përqindje;</w:t>
      </w:r>
    </w:p>
    <w:p w14:paraId="59A636A1" w14:textId="779783AF" w:rsidR="0007274E" w:rsidRPr="00DD58C7" w:rsidRDefault="0007274E" w:rsidP="000727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i/>
          <w:iCs/>
          <w:color w:val="000000"/>
          <w:sz w:val="24"/>
          <w:szCs w:val="24"/>
          <w14:ligatures w14:val="standardContextual"/>
        </w:rPr>
        <w:t xml:space="preserve">5. </w:t>
      </w:r>
      <w:r w:rsidR="004146E7" w:rsidRPr="00DD58C7">
        <w:rPr>
          <w:rFonts w:ascii="Garamond" w:eastAsiaTheme="minorHAnsi" w:hAnsi="Garamond"/>
          <w:i/>
          <w:iCs/>
          <w:color w:val="000000"/>
          <w:sz w:val="24"/>
          <w:szCs w:val="24"/>
          <w14:ligatures w14:val="standardContextual"/>
        </w:rPr>
        <w:t xml:space="preserve">rrëzon </w:t>
      </w:r>
      <w:r w:rsidRPr="00DD58C7">
        <w:rPr>
          <w:rFonts w:ascii="Garamond" w:eastAsiaTheme="minorHAnsi" w:hAnsi="Garamond"/>
          <w:color w:val="000000"/>
          <w:sz w:val="24"/>
          <w:szCs w:val="24"/>
          <w14:ligatures w14:val="standardContextual"/>
        </w:rPr>
        <w:t>pjesën tjetër të pretendimit të kërk</w:t>
      </w:r>
      <w:r w:rsidR="004146E7">
        <w:rPr>
          <w:rFonts w:ascii="Garamond" w:eastAsiaTheme="minorHAnsi" w:hAnsi="Garamond"/>
          <w:color w:val="000000"/>
          <w:sz w:val="24"/>
          <w:szCs w:val="24"/>
          <w14:ligatures w14:val="standardContextual"/>
        </w:rPr>
        <w:t>uesit për shpërblim të drejtë.</w:t>
      </w:r>
    </w:p>
    <w:p w14:paraId="5C526E86" w14:textId="4617DBDF" w:rsidR="0007274E" w:rsidRPr="00DD58C7" w:rsidRDefault="0007274E" w:rsidP="000727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 xml:space="preserve"> Hartuar në anglisht dhe njoftuar me shkrim më 10 </w:t>
      </w:r>
      <w:r w:rsidR="004146E7">
        <w:rPr>
          <w:rFonts w:ascii="Garamond" w:eastAsiaTheme="minorHAnsi" w:hAnsi="Garamond"/>
          <w:color w:val="000000"/>
          <w:sz w:val="24"/>
          <w:szCs w:val="24"/>
          <w14:ligatures w14:val="standardContextual"/>
        </w:rPr>
        <w:t>m</w:t>
      </w:r>
      <w:r w:rsidRPr="00DD58C7">
        <w:rPr>
          <w:rFonts w:ascii="Garamond" w:eastAsiaTheme="minorHAnsi" w:hAnsi="Garamond"/>
          <w:color w:val="000000"/>
          <w:sz w:val="24"/>
          <w:szCs w:val="24"/>
          <w14:ligatures w14:val="standardContextual"/>
        </w:rPr>
        <w:t>ars 2026, në mbështetje të Rregullit 77 §§ 2 dhe 3 të Rregullores së Gjykatës.</w:t>
      </w:r>
    </w:p>
    <w:p w14:paraId="616700D7" w14:textId="77777777" w:rsidR="0007274E" w:rsidRPr="00DD58C7" w:rsidRDefault="0007274E" w:rsidP="000727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1B44376C" w14:textId="50A4DFAD" w:rsidR="008341E3" w:rsidRPr="00DD58C7" w:rsidRDefault="008341E3" w:rsidP="004146E7">
      <w:pPr>
        <w:tabs>
          <w:tab w:val="left" w:pos="560"/>
          <w:tab w:val="left" w:pos="1120"/>
        </w:tabs>
        <w:autoSpaceDE w:val="0"/>
        <w:autoSpaceDN w:val="0"/>
        <w:adjustRightInd w:val="0"/>
        <w:spacing w:after="0" w:line="240" w:lineRule="auto"/>
        <w:ind w:firstLine="284"/>
        <w:jc w:val="right"/>
        <w:rPr>
          <w:rFonts w:ascii="Garamond" w:eastAsiaTheme="minorHAnsi" w:hAnsi="Garamond"/>
          <w:b/>
          <w:color w:val="000000"/>
          <w:sz w:val="24"/>
          <w:szCs w:val="24"/>
          <w14:ligatures w14:val="standardContextual"/>
        </w:rPr>
      </w:pPr>
      <w:proofErr w:type="spellStart"/>
      <w:r w:rsidRPr="00DD58C7">
        <w:rPr>
          <w:rFonts w:ascii="Garamond" w:eastAsiaTheme="minorHAnsi" w:hAnsi="Garamond"/>
          <w:b/>
          <w:color w:val="000000"/>
          <w:sz w:val="24"/>
          <w:szCs w:val="24"/>
          <w14:ligatures w14:val="standardContextual"/>
        </w:rPr>
        <w:t>Ioannis</w:t>
      </w:r>
      <w:proofErr w:type="spellEnd"/>
      <w:r w:rsidRPr="00DD58C7">
        <w:rPr>
          <w:rFonts w:ascii="Garamond" w:eastAsiaTheme="minorHAnsi" w:hAnsi="Garamond"/>
          <w:b/>
          <w:color w:val="000000"/>
          <w:sz w:val="24"/>
          <w:szCs w:val="24"/>
          <w14:ligatures w14:val="standardContextual"/>
        </w:rPr>
        <w:t xml:space="preserve"> </w:t>
      </w:r>
      <w:proofErr w:type="spellStart"/>
      <w:r w:rsidRPr="00DD58C7">
        <w:rPr>
          <w:rFonts w:ascii="Garamond" w:eastAsiaTheme="minorHAnsi" w:hAnsi="Garamond"/>
          <w:b/>
          <w:color w:val="000000"/>
          <w:sz w:val="24"/>
          <w:szCs w:val="24"/>
          <w14:ligatures w14:val="standardContextual"/>
        </w:rPr>
        <w:t>Ktistakis</w:t>
      </w:r>
      <w:proofErr w:type="spellEnd"/>
    </w:p>
    <w:p w14:paraId="0C791F80" w14:textId="64F6B2EC" w:rsidR="008341E3" w:rsidRPr="00DD58C7" w:rsidRDefault="004146E7" w:rsidP="004146E7">
      <w:pPr>
        <w:tabs>
          <w:tab w:val="left" w:pos="560"/>
          <w:tab w:val="left" w:pos="1120"/>
        </w:tabs>
        <w:autoSpaceDE w:val="0"/>
        <w:autoSpaceDN w:val="0"/>
        <w:adjustRightInd w:val="0"/>
        <w:spacing w:after="0" w:line="240" w:lineRule="auto"/>
        <w:ind w:firstLine="284"/>
        <w:jc w:val="right"/>
        <w:rPr>
          <w:rFonts w:ascii="Garamond" w:eastAsiaTheme="minorHAnsi" w:hAnsi="Garamond"/>
          <w:color w:val="000000"/>
          <w:sz w:val="24"/>
          <w:szCs w:val="24"/>
          <w14:ligatures w14:val="standardContextual"/>
        </w:rPr>
      </w:pPr>
      <w:r w:rsidRPr="00DD58C7">
        <w:rPr>
          <w:rFonts w:ascii="Garamond" w:eastAsiaTheme="minorHAnsi" w:hAnsi="Garamond"/>
          <w:color w:val="000000"/>
          <w:sz w:val="24"/>
          <w:szCs w:val="24"/>
          <w14:ligatures w14:val="standardContextual"/>
        </w:rPr>
        <w:t>KRYETAR</w:t>
      </w:r>
    </w:p>
    <w:p w14:paraId="4E75D45E" w14:textId="77777777" w:rsidR="008341E3" w:rsidRPr="00DD58C7" w:rsidRDefault="008341E3" w:rsidP="004146E7">
      <w:pPr>
        <w:tabs>
          <w:tab w:val="left" w:pos="560"/>
          <w:tab w:val="left" w:pos="1120"/>
        </w:tabs>
        <w:autoSpaceDE w:val="0"/>
        <w:autoSpaceDN w:val="0"/>
        <w:adjustRightInd w:val="0"/>
        <w:spacing w:after="0" w:line="240" w:lineRule="auto"/>
        <w:ind w:firstLine="284"/>
        <w:jc w:val="right"/>
        <w:rPr>
          <w:rFonts w:ascii="Garamond" w:eastAsiaTheme="minorHAnsi" w:hAnsi="Garamond"/>
          <w:color w:val="000000"/>
          <w:sz w:val="24"/>
          <w:szCs w:val="24"/>
          <w14:ligatures w14:val="standardContextual"/>
        </w:rPr>
      </w:pPr>
    </w:p>
    <w:p w14:paraId="140506D9" w14:textId="37D0B89E" w:rsidR="0007274E" w:rsidRPr="00DD58C7" w:rsidRDefault="0007274E" w:rsidP="004146E7">
      <w:pPr>
        <w:tabs>
          <w:tab w:val="left" w:pos="560"/>
          <w:tab w:val="left" w:pos="1120"/>
        </w:tabs>
        <w:autoSpaceDE w:val="0"/>
        <w:autoSpaceDN w:val="0"/>
        <w:adjustRightInd w:val="0"/>
        <w:spacing w:after="0" w:line="240" w:lineRule="auto"/>
        <w:ind w:firstLine="284"/>
        <w:jc w:val="right"/>
        <w:rPr>
          <w:rFonts w:ascii="Garamond" w:eastAsiaTheme="minorHAnsi" w:hAnsi="Garamond"/>
          <w:b/>
          <w:color w:val="000000"/>
          <w:sz w:val="24"/>
          <w:szCs w:val="24"/>
          <w14:ligatures w14:val="standardContextual"/>
        </w:rPr>
      </w:pPr>
      <w:proofErr w:type="spellStart"/>
      <w:r w:rsidRPr="00DD58C7">
        <w:rPr>
          <w:rFonts w:ascii="Garamond" w:eastAsiaTheme="minorHAnsi" w:hAnsi="Garamond"/>
          <w:b/>
          <w:color w:val="000000"/>
          <w:sz w:val="24"/>
          <w:szCs w:val="24"/>
          <w14:ligatures w14:val="standardContextual"/>
        </w:rPr>
        <w:t>Milan</w:t>
      </w:r>
      <w:proofErr w:type="spellEnd"/>
      <w:r w:rsidRPr="00DD58C7">
        <w:rPr>
          <w:rFonts w:ascii="Garamond" w:eastAsiaTheme="minorHAnsi" w:hAnsi="Garamond"/>
          <w:b/>
          <w:color w:val="000000"/>
          <w:sz w:val="24"/>
          <w:szCs w:val="24"/>
          <w14:ligatures w14:val="standardContextual"/>
        </w:rPr>
        <w:t xml:space="preserve"> </w:t>
      </w:r>
      <w:proofErr w:type="spellStart"/>
      <w:r w:rsidRPr="00DD58C7">
        <w:rPr>
          <w:rFonts w:ascii="Garamond" w:eastAsiaTheme="minorHAnsi" w:hAnsi="Garamond"/>
          <w:b/>
          <w:color w:val="000000"/>
          <w:sz w:val="24"/>
          <w:szCs w:val="24"/>
          <w14:ligatures w14:val="standardContextual"/>
        </w:rPr>
        <w:t>Blaško</w:t>
      </w:r>
      <w:proofErr w:type="spellEnd"/>
      <w:r w:rsidRPr="00DD58C7">
        <w:rPr>
          <w:rFonts w:ascii="Garamond" w:eastAsiaTheme="minorHAnsi" w:hAnsi="Garamond"/>
          <w:b/>
          <w:color w:val="000000"/>
          <w:sz w:val="24"/>
          <w:szCs w:val="24"/>
          <w14:ligatures w14:val="standardContextual"/>
        </w:rPr>
        <w:t xml:space="preserve"> </w:t>
      </w:r>
    </w:p>
    <w:p w14:paraId="1FE463C3" w14:textId="5E30B96B" w:rsidR="0007274E" w:rsidRPr="00DD58C7" w:rsidRDefault="004146E7" w:rsidP="004146E7">
      <w:pPr>
        <w:tabs>
          <w:tab w:val="left" w:pos="560"/>
          <w:tab w:val="left" w:pos="1120"/>
        </w:tabs>
        <w:autoSpaceDE w:val="0"/>
        <w:autoSpaceDN w:val="0"/>
        <w:adjustRightInd w:val="0"/>
        <w:spacing w:after="0" w:line="240" w:lineRule="auto"/>
        <w:ind w:firstLine="284"/>
        <w:jc w:val="right"/>
        <w:rPr>
          <w:rFonts w:ascii="Garamond" w:eastAsiaTheme="minorHAnsi" w:hAnsi="Garamond"/>
          <w:color w:val="000000"/>
          <w:sz w:val="24"/>
          <w:szCs w:val="24"/>
          <w14:ligatures w14:val="standardContextual"/>
        </w:rPr>
      </w:pPr>
      <w:proofErr w:type="spellStart"/>
      <w:r w:rsidRPr="00DD58C7">
        <w:rPr>
          <w:rFonts w:ascii="Garamond" w:eastAsiaTheme="minorHAnsi" w:hAnsi="Garamond"/>
          <w:color w:val="000000"/>
          <w:sz w:val="24"/>
          <w:szCs w:val="24"/>
          <w14:ligatures w14:val="standardContextual"/>
        </w:rPr>
        <w:t>REGJISTRAR</w:t>
      </w:r>
      <w:proofErr w:type="spellEnd"/>
      <w:r w:rsidRPr="00DD58C7">
        <w:rPr>
          <w:rFonts w:ascii="Garamond" w:eastAsiaTheme="minorHAnsi" w:hAnsi="Garamond"/>
          <w:color w:val="000000"/>
          <w:sz w:val="24"/>
          <w:szCs w:val="24"/>
          <w14:ligatures w14:val="standardContextual"/>
        </w:rPr>
        <w:t xml:space="preserve"> </w:t>
      </w:r>
    </w:p>
    <w:p w14:paraId="17D3FAC5" w14:textId="77777777" w:rsidR="0007274E" w:rsidRPr="00DD58C7" w:rsidRDefault="0007274E" w:rsidP="0007274E">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p>
    <w:p w14:paraId="170BD8A8" w14:textId="77777777" w:rsidR="0007274E" w:rsidRPr="00DD58C7" w:rsidRDefault="0007274E" w:rsidP="0007274E">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p>
    <w:p w14:paraId="633A1375" w14:textId="77777777" w:rsidR="0007274E" w:rsidRPr="00DD58C7" w:rsidRDefault="0007274E" w:rsidP="0007274E">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p>
    <w:p w14:paraId="6E2CDCAE" w14:textId="77777777" w:rsidR="0007274E" w:rsidRPr="00DD58C7" w:rsidRDefault="0007274E" w:rsidP="0007274E">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p>
    <w:p w14:paraId="07248A16" w14:textId="77777777" w:rsidR="0007274E" w:rsidRPr="00DD58C7" w:rsidRDefault="0007274E" w:rsidP="0007274E">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p>
    <w:p w14:paraId="5AF06F0D" w14:textId="77777777" w:rsidR="00255497" w:rsidRPr="00DD58C7" w:rsidRDefault="00255497" w:rsidP="0007274E">
      <w:pPr>
        <w:spacing w:after="0" w:line="240" w:lineRule="auto"/>
        <w:ind w:firstLine="284"/>
        <w:rPr>
          <w:rFonts w:ascii="Garamond" w:hAnsi="Garamond"/>
          <w:sz w:val="24"/>
          <w:szCs w:val="24"/>
        </w:rPr>
      </w:pPr>
    </w:p>
    <w:sectPr w:rsidR="00255497" w:rsidRPr="00DD58C7" w:rsidSect="00856D4C">
      <w:headerReference w:type="default" r:id="rId11"/>
      <w:footerReference w:type="default" r:id="rId12"/>
      <w:pgSz w:w="11907" w:h="16840" w:code="9"/>
      <w:pgMar w:top="574"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8F3E80" w14:textId="77777777" w:rsidR="008D081F" w:rsidRDefault="008D081F">
      <w:pPr>
        <w:spacing w:after="0" w:line="240" w:lineRule="auto"/>
      </w:pPr>
      <w:r>
        <w:separator/>
      </w:r>
    </w:p>
  </w:endnote>
  <w:endnote w:type="continuationSeparator" w:id="0">
    <w:p w14:paraId="6701851F" w14:textId="77777777" w:rsidR="008D081F" w:rsidRDefault="008D081F">
      <w:pPr>
        <w:spacing w:after="0" w:line="240" w:lineRule="auto"/>
      </w:pPr>
      <w:r>
        <w:continuationSeparator/>
      </w:r>
    </w:p>
  </w:endnote>
  <w:endnote w:type="continuationNotice" w:id="1">
    <w:p w14:paraId="6E031FD2" w14:textId="77777777" w:rsidR="008D081F" w:rsidRDefault="008D08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00000287" w:usb1="08070000"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C9323" w14:textId="77777777" w:rsidR="008D081F" w:rsidRDefault="008D081F" w:rsidP="00EA07AA">
    <w:pPr>
      <w:pStyle w:val="Footer"/>
    </w:pPr>
  </w:p>
  <w:p w14:paraId="3AC58A32" w14:textId="77777777" w:rsidR="008D081F" w:rsidRPr="00CC26CB" w:rsidRDefault="008D081F" w:rsidP="00EA07A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4549C7" w14:textId="77777777" w:rsidR="008D081F" w:rsidRDefault="008D081F">
      <w:pPr>
        <w:spacing w:after="0" w:line="240" w:lineRule="auto"/>
      </w:pPr>
      <w:r>
        <w:separator/>
      </w:r>
    </w:p>
  </w:footnote>
  <w:footnote w:type="continuationSeparator" w:id="0">
    <w:p w14:paraId="621F89B5" w14:textId="77777777" w:rsidR="008D081F" w:rsidRDefault="008D081F">
      <w:pPr>
        <w:spacing w:after="0" w:line="240" w:lineRule="auto"/>
      </w:pPr>
      <w:r>
        <w:continuationSeparator/>
      </w:r>
    </w:p>
  </w:footnote>
  <w:footnote w:type="continuationNotice" w:id="1">
    <w:p w14:paraId="0BFE479C" w14:textId="77777777" w:rsidR="008D081F" w:rsidRDefault="008D081F">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B908D" w14:textId="77777777" w:rsidR="008D081F" w:rsidRDefault="008D081F">
    <w:pPr>
      <w:pStyle w:val="Header"/>
    </w:pPr>
  </w:p>
  <w:p w14:paraId="447541FF" w14:textId="77777777" w:rsidR="008D081F" w:rsidRDefault="008D081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6701916"/>
    <w:lvl w:ilvl="0">
      <w:start w:val="1"/>
      <w:numFmt w:val="decimal"/>
      <w:pStyle w:val="ListNumber5"/>
      <w:lvlText w:val="%1."/>
      <w:lvlJc w:val="left"/>
      <w:pPr>
        <w:tabs>
          <w:tab w:val="num" w:pos="1482"/>
        </w:tabs>
        <w:ind w:left="148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01017D0"/>
    <w:multiLevelType w:val="hybridMultilevel"/>
    <w:tmpl w:val="B5702BC0"/>
    <w:lvl w:ilvl="0" w:tplc="73E0D778">
      <w:start w:val="1"/>
      <w:numFmt w:val="upperRoman"/>
      <w:lvlText w:val="%1."/>
      <w:lvlJc w:val="left"/>
      <w:pPr>
        <w:ind w:left="1440" w:hanging="72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0" w15:restartNumberingAfterBreak="0">
    <w:nsid w:val="0A0B001C"/>
    <w:multiLevelType w:val="hybridMultilevel"/>
    <w:tmpl w:val="36B29EE2"/>
    <w:lvl w:ilvl="0" w:tplc="775216AC">
      <w:start w:val="1"/>
      <w:numFmt w:val="upperLetter"/>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0C641157"/>
    <w:multiLevelType w:val="multilevel"/>
    <w:tmpl w:val="9B34AC6C"/>
    <w:lvl w:ilvl="0">
      <w:start w:val="1"/>
      <w:numFmt w:val="decimal"/>
      <w:pStyle w:val="Heading1"/>
      <w:lvlText w:val="%1."/>
      <w:lvlJc w:val="left"/>
      <w:pPr>
        <w:tabs>
          <w:tab w:val="num" w:pos="964"/>
        </w:tabs>
        <w:ind w:left="964" w:hanging="397"/>
      </w:pPr>
      <w:rPr>
        <w:rFonts w:hint="default"/>
      </w:rPr>
    </w:lvl>
    <w:lvl w:ilvl="1">
      <w:start w:val="1"/>
      <w:numFmt w:val="lowerLetter"/>
      <w:pStyle w:val="Heading2"/>
      <w:lvlText w:val="%2."/>
      <w:lvlJc w:val="left"/>
      <w:pPr>
        <w:tabs>
          <w:tab w:val="num" w:pos="1361"/>
        </w:tabs>
        <w:ind w:left="1361" w:hanging="397"/>
      </w:pPr>
      <w:rPr>
        <w:rFonts w:hint="default"/>
      </w:rPr>
    </w:lvl>
    <w:lvl w:ilvl="2">
      <w:start w:val="1"/>
      <w:numFmt w:val="lowerRoman"/>
      <w:pStyle w:val="Heading3"/>
      <w:lvlText w:val="%3."/>
      <w:lvlJc w:val="left"/>
      <w:pPr>
        <w:tabs>
          <w:tab w:val="num" w:pos="1758"/>
        </w:tabs>
        <w:ind w:left="1758" w:hanging="397"/>
      </w:pPr>
      <w:rPr>
        <w:rFonts w:hint="default"/>
      </w:rPr>
    </w:lvl>
    <w:lvl w:ilvl="3">
      <w:start w:val="1"/>
      <w:numFmt w:val="decimal"/>
      <w:pStyle w:val="Heading4"/>
      <w:lvlText w:val="(%4)"/>
      <w:lvlJc w:val="left"/>
      <w:pPr>
        <w:tabs>
          <w:tab w:val="num" w:pos="1703"/>
        </w:tabs>
        <w:ind w:left="1703" w:hanging="284"/>
      </w:pPr>
      <w:rPr>
        <w:rFonts w:hint="default"/>
      </w:rPr>
    </w:lvl>
    <w:lvl w:ilvl="4">
      <w:start w:val="1"/>
      <w:numFmt w:val="lowerLetter"/>
      <w:pStyle w:val="Heading5"/>
      <w:lvlText w:val="(%5)"/>
      <w:lvlJc w:val="left"/>
      <w:pPr>
        <w:tabs>
          <w:tab w:val="num" w:pos="1987"/>
        </w:tabs>
        <w:ind w:left="1987" w:hanging="284"/>
      </w:pPr>
      <w:rPr>
        <w:rFonts w:hint="default"/>
      </w:rPr>
    </w:lvl>
    <w:lvl w:ilvl="5">
      <w:start w:val="1"/>
      <w:numFmt w:val="lowerRoman"/>
      <w:pStyle w:val="Heading6"/>
      <w:lvlText w:val="(%6)"/>
      <w:lvlJc w:val="left"/>
      <w:pPr>
        <w:tabs>
          <w:tab w:val="num" w:pos="2271"/>
        </w:tabs>
        <w:ind w:left="2271" w:hanging="284"/>
      </w:pPr>
      <w:rPr>
        <w:rFonts w:hint="default"/>
      </w:rPr>
    </w:lvl>
    <w:lvl w:ilvl="6">
      <w:start w:val="1"/>
      <w:numFmt w:val="decimal"/>
      <w:pStyle w:val="Heading7"/>
      <w:lvlText w:val="%7."/>
      <w:lvlJc w:val="left"/>
      <w:pPr>
        <w:tabs>
          <w:tab w:val="num" w:pos="2555"/>
        </w:tabs>
        <w:ind w:left="2555" w:hanging="284"/>
      </w:pPr>
      <w:rPr>
        <w:rFonts w:hint="default"/>
      </w:rPr>
    </w:lvl>
    <w:lvl w:ilvl="7">
      <w:start w:val="1"/>
      <w:numFmt w:val="lowerLetter"/>
      <w:pStyle w:val="Heading8"/>
      <w:lvlText w:val="%8."/>
      <w:lvlJc w:val="left"/>
      <w:pPr>
        <w:tabs>
          <w:tab w:val="num" w:pos="2839"/>
        </w:tabs>
        <w:ind w:left="2839" w:hanging="284"/>
      </w:pPr>
      <w:rPr>
        <w:rFonts w:hint="default"/>
      </w:rPr>
    </w:lvl>
    <w:lvl w:ilvl="8">
      <w:start w:val="1"/>
      <w:numFmt w:val="lowerRoman"/>
      <w:pStyle w:val="Heading9"/>
      <w:lvlText w:val="%9."/>
      <w:lvlJc w:val="left"/>
      <w:pPr>
        <w:tabs>
          <w:tab w:val="num" w:pos="3123"/>
        </w:tabs>
        <w:ind w:left="3123" w:hanging="284"/>
      </w:pPr>
      <w:rPr>
        <w:rFonts w:hint="default"/>
      </w:rPr>
    </w:lvl>
  </w:abstractNum>
  <w:abstractNum w:abstractNumId="12" w15:restartNumberingAfterBreak="0">
    <w:nsid w:val="101C3BB4"/>
    <w:multiLevelType w:val="hybridMultilevel"/>
    <w:tmpl w:val="5D422E8C"/>
    <w:lvl w:ilvl="0" w:tplc="5DF8717E">
      <w:start w:val="1"/>
      <w:numFmt w:val="decimal"/>
      <w:lvlText w:val="%1."/>
      <w:lvlJc w:val="left"/>
      <w:pPr>
        <w:ind w:left="1080" w:hanging="360"/>
      </w:pPr>
      <w:rPr>
        <w:rFonts w:hint="default"/>
        <w:i/>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3"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D433848"/>
    <w:multiLevelType w:val="hybridMultilevel"/>
    <w:tmpl w:val="C596BE32"/>
    <w:lvl w:ilvl="0" w:tplc="1764A13A">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1ECE6F5F"/>
    <w:multiLevelType w:val="hybridMultilevel"/>
    <w:tmpl w:val="855ED8EE"/>
    <w:lvl w:ilvl="0" w:tplc="DFF2D652">
      <w:start w:val="1"/>
      <w:numFmt w:val="upp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7" w15:restartNumberingAfterBreak="0">
    <w:nsid w:val="1EEE52BA"/>
    <w:multiLevelType w:val="hybridMultilevel"/>
    <w:tmpl w:val="326260C0"/>
    <w:lvl w:ilvl="0" w:tplc="CA04B668">
      <w:start w:val="1"/>
      <w:numFmt w:val="lowerLetter"/>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8" w15:restartNumberingAfterBreak="0">
    <w:nsid w:val="24DF31C0"/>
    <w:multiLevelType w:val="hybridMultilevel"/>
    <w:tmpl w:val="2CF2ABA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38665923"/>
    <w:multiLevelType w:val="hybridMultilevel"/>
    <w:tmpl w:val="3A46EF1C"/>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3EB200E3"/>
    <w:multiLevelType w:val="hybridMultilevel"/>
    <w:tmpl w:val="0A6C0CF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DF618B0"/>
    <w:multiLevelType w:val="hybridMultilevel"/>
    <w:tmpl w:val="BCA6CE10"/>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5ED963A8"/>
    <w:multiLevelType w:val="hybridMultilevel"/>
    <w:tmpl w:val="6136D956"/>
    <w:lvl w:ilvl="0" w:tplc="D30607EC">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4"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5" w15:restartNumberingAfterBreak="0">
    <w:nsid w:val="71B453CB"/>
    <w:multiLevelType w:val="hybridMultilevel"/>
    <w:tmpl w:val="01BE462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75075923"/>
    <w:multiLevelType w:val="hybridMultilevel"/>
    <w:tmpl w:val="A3BCEE88"/>
    <w:lvl w:ilvl="0" w:tplc="C0BC82A0">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76672607"/>
    <w:multiLevelType w:val="hybridMultilevel"/>
    <w:tmpl w:val="E6BE8382"/>
    <w:lvl w:ilvl="0" w:tplc="66A64B4A">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76C121B8"/>
    <w:multiLevelType w:val="hybridMultilevel"/>
    <w:tmpl w:val="BA967CC8"/>
    <w:lvl w:ilvl="0" w:tplc="79066950">
      <w:start w:val="1"/>
      <w:numFmt w:val="lowerLetter"/>
      <w:lvlText w:val="(%1)"/>
      <w:lvlJc w:val="left"/>
      <w:pPr>
        <w:ind w:left="1440" w:hanging="360"/>
      </w:pPr>
      <w:rPr>
        <w:rFonts w:hint="default"/>
        <w:i/>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30" w15:restartNumberingAfterBreak="0">
    <w:nsid w:val="7DE87D51"/>
    <w:multiLevelType w:val="hybridMultilevel"/>
    <w:tmpl w:val="51FA558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7E7F1260"/>
    <w:multiLevelType w:val="hybridMultilevel"/>
    <w:tmpl w:val="E16CA0F2"/>
    <w:lvl w:ilvl="0" w:tplc="6BD8A808">
      <w:start w:val="1"/>
      <w:numFmt w:val="lowerRoman"/>
      <w:lvlText w:val="(%1)"/>
      <w:lvlJc w:val="left"/>
      <w:pPr>
        <w:ind w:left="2160" w:hanging="720"/>
      </w:pPr>
      <w:rPr>
        <w:rFont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24"/>
  </w:num>
  <w:num w:numId="4">
    <w:abstractNumId w:val="21"/>
  </w:num>
  <w:num w:numId="5">
    <w:abstractNumId w:val="14"/>
  </w:num>
  <w:num w:numId="6">
    <w:abstractNumId w:val="13"/>
  </w:num>
  <w:num w:numId="7">
    <w:abstractNumId w:val="7"/>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8"/>
  </w:num>
  <w:num w:numId="16">
    <w:abstractNumId w:val="12"/>
  </w:num>
  <w:num w:numId="17">
    <w:abstractNumId w:val="20"/>
  </w:num>
  <w:num w:numId="18">
    <w:abstractNumId w:val="17"/>
  </w:num>
  <w:num w:numId="19">
    <w:abstractNumId w:val="31"/>
  </w:num>
  <w:num w:numId="20">
    <w:abstractNumId w:val="29"/>
  </w:num>
  <w:num w:numId="21">
    <w:abstractNumId w:val="18"/>
  </w:num>
  <w:num w:numId="22">
    <w:abstractNumId w:val="15"/>
  </w:num>
  <w:num w:numId="23">
    <w:abstractNumId w:val="9"/>
  </w:num>
  <w:num w:numId="24">
    <w:abstractNumId w:val="16"/>
  </w:num>
  <w:num w:numId="25">
    <w:abstractNumId w:val="23"/>
  </w:num>
  <w:num w:numId="26">
    <w:abstractNumId w:val="19"/>
  </w:num>
  <w:num w:numId="27">
    <w:abstractNumId w:val="27"/>
  </w:num>
  <w:num w:numId="28">
    <w:abstractNumId w:val="10"/>
  </w:num>
  <w:num w:numId="29">
    <w:abstractNumId w:val="25"/>
  </w:num>
  <w:num w:numId="30">
    <w:abstractNumId w:val="22"/>
  </w:num>
  <w:num w:numId="31">
    <w:abstractNumId w:val="30"/>
  </w:num>
  <w:num w:numId="32">
    <w:abstractNumId w:val="2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5F5"/>
    <w:rsid w:val="00002EB8"/>
    <w:rsid w:val="0000479C"/>
    <w:rsid w:val="00005DA6"/>
    <w:rsid w:val="00007330"/>
    <w:rsid w:val="00011E62"/>
    <w:rsid w:val="00014702"/>
    <w:rsid w:val="00016E98"/>
    <w:rsid w:val="000173A5"/>
    <w:rsid w:val="000175A9"/>
    <w:rsid w:val="0002173D"/>
    <w:rsid w:val="000278CF"/>
    <w:rsid w:val="0003100D"/>
    <w:rsid w:val="00035B74"/>
    <w:rsid w:val="00040178"/>
    <w:rsid w:val="000401E3"/>
    <w:rsid w:val="0004234B"/>
    <w:rsid w:val="00044032"/>
    <w:rsid w:val="0004576D"/>
    <w:rsid w:val="00045AF7"/>
    <w:rsid w:val="00052AFB"/>
    <w:rsid w:val="00053D2F"/>
    <w:rsid w:val="00056980"/>
    <w:rsid w:val="00061A17"/>
    <w:rsid w:val="00062035"/>
    <w:rsid w:val="00062700"/>
    <w:rsid w:val="0006644F"/>
    <w:rsid w:val="00070C72"/>
    <w:rsid w:val="0007274E"/>
    <w:rsid w:val="000744D0"/>
    <w:rsid w:val="00076ED3"/>
    <w:rsid w:val="0008097C"/>
    <w:rsid w:val="00082F9E"/>
    <w:rsid w:val="00086752"/>
    <w:rsid w:val="00095CB6"/>
    <w:rsid w:val="000A126B"/>
    <w:rsid w:val="000A2B90"/>
    <w:rsid w:val="000B5C13"/>
    <w:rsid w:val="000C18C3"/>
    <w:rsid w:val="000C18CE"/>
    <w:rsid w:val="000C4D5E"/>
    <w:rsid w:val="000D108A"/>
    <w:rsid w:val="000D5948"/>
    <w:rsid w:val="000E437C"/>
    <w:rsid w:val="000E6D55"/>
    <w:rsid w:val="000F1B16"/>
    <w:rsid w:val="000F3AA0"/>
    <w:rsid w:val="00110F50"/>
    <w:rsid w:val="001123B3"/>
    <w:rsid w:val="00113646"/>
    <w:rsid w:val="00122EFD"/>
    <w:rsid w:val="00123350"/>
    <w:rsid w:val="001259EA"/>
    <w:rsid w:val="0012609A"/>
    <w:rsid w:val="00132565"/>
    <w:rsid w:val="00143852"/>
    <w:rsid w:val="0015115C"/>
    <w:rsid w:val="00154EDF"/>
    <w:rsid w:val="001555E0"/>
    <w:rsid w:val="00156D5A"/>
    <w:rsid w:val="00156E15"/>
    <w:rsid w:val="00161C0C"/>
    <w:rsid w:val="001625BD"/>
    <w:rsid w:val="00162659"/>
    <w:rsid w:val="0016389C"/>
    <w:rsid w:val="001653C4"/>
    <w:rsid w:val="001769EA"/>
    <w:rsid w:val="00177BEC"/>
    <w:rsid w:val="0018087B"/>
    <w:rsid w:val="001830C4"/>
    <w:rsid w:val="00186D27"/>
    <w:rsid w:val="00187579"/>
    <w:rsid w:val="00194243"/>
    <w:rsid w:val="001A3351"/>
    <w:rsid w:val="001A3553"/>
    <w:rsid w:val="001A5885"/>
    <w:rsid w:val="001A5D7C"/>
    <w:rsid w:val="001A6192"/>
    <w:rsid w:val="001A62A2"/>
    <w:rsid w:val="001A6E0E"/>
    <w:rsid w:val="001A7B4B"/>
    <w:rsid w:val="001B119B"/>
    <w:rsid w:val="001B4694"/>
    <w:rsid w:val="001B5E73"/>
    <w:rsid w:val="001B6E8E"/>
    <w:rsid w:val="001C3AA2"/>
    <w:rsid w:val="001C5EA7"/>
    <w:rsid w:val="001C7BC5"/>
    <w:rsid w:val="001D5612"/>
    <w:rsid w:val="001D6272"/>
    <w:rsid w:val="001D682B"/>
    <w:rsid w:val="001D7D4E"/>
    <w:rsid w:val="001E7135"/>
    <w:rsid w:val="001E7C78"/>
    <w:rsid w:val="001F01E4"/>
    <w:rsid w:val="001F2145"/>
    <w:rsid w:val="001F327E"/>
    <w:rsid w:val="001F4440"/>
    <w:rsid w:val="001F7272"/>
    <w:rsid w:val="001F7F8A"/>
    <w:rsid w:val="00203791"/>
    <w:rsid w:val="00206315"/>
    <w:rsid w:val="00212C59"/>
    <w:rsid w:val="002170D8"/>
    <w:rsid w:val="00217B11"/>
    <w:rsid w:val="00221223"/>
    <w:rsid w:val="002269DE"/>
    <w:rsid w:val="002278B9"/>
    <w:rsid w:val="00232AC9"/>
    <w:rsid w:val="00233D2F"/>
    <w:rsid w:val="00235FB5"/>
    <w:rsid w:val="002375AB"/>
    <w:rsid w:val="0023780F"/>
    <w:rsid w:val="00240C75"/>
    <w:rsid w:val="002419D9"/>
    <w:rsid w:val="00241F7A"/>
    <w:rsid w:val="0024313F"/>
    <w:rsid w:val="002460F6"/>
    <w:rsid w:val="002469A3"/>
    <w:rsid w:val="0025268D"/>
    <w:rsid w:val="00255497"/>
    <w:rsid w:val="00256588"/>
    <w:rsid w:val="00261086"/>
    <w:rsid w:val="00261960"/>
    <w:rsid w:val="002704D9"/>
    <w:rsid w:val="00270710"/>
    <w:rsid w:val="00282D11"/>
    <w:rsid w:val="00290274"/>
    <w:rsid w:val="00290E95"/>
    <w:rsid w:val="00292D6C"/>
    <w:rsid w:val="00293B6B"/>
    <w:rsid w:val="002A15A6"/>
    <w:rsid w:val="002B7ACC"/>
    <w:rsid w:val="002B7F04"/>
    <w:rsid w:val="002C6D88"/>
    <w:rsid w:val="002D0CC4"/>
    <w:rsid w:val="002D1DEF"/>
    <w:rsid w:val="002D2F7A"/>
    <w:rsid w:val="002D6751"/>
    <w:rsid w:val="002E1357"/>
    <w:rsid w:val="002E7CD0"/>
    <w:rsid w:val="002F3386"/>
    <w:rsid w:val="002F73A5"/>
    <w:rsid w:val="002F77D9"/>
    <w:rsid w:val="00301408"/>
    <w:rsid w:val="003014EF"/>
    <w:rsid w:val="00301E61"/>
    <w:rsid w:val="00305F0A"/>
    <w:rsid w:val="00307C79"/>
    <w:rsid w:val="00310B75"/>
    <w:rsid w:val="00311163"/>
    <w:rsid w:val="00311C86"/>
    <w:rsid w:val="0031238A"/>
    <w:rsid w:val="00312BD8"/>
    <w:rsid w:val="003134C4"/>
    <w:rsid w:val="00314407"/>
    <w:rsid w:val="0031475B"/>
    <w:rsid w:val="00314CC9"/>
    <w:rsid w:val="003214D3"/>
    <w:rsid w:val="00324E39"/>
    <w:rsid w:val="00325F1D"/>
    <w:rsid w:val="00334E35"/>
    <w:rsid w:val="00335986"/>
    <w:rsid w:val="0033734D"/>
    <w:rsid w:val="00340728"/>
    <w:rsid w:val="003415BC"/>
    <w:rsid w:val="00345612"/>
    <w:rsid w:val="00350F0C"/>
    <w:rsid w:val="003602C9"/>
    <w:rsid w:val="00360808"/>
    <w:rsid w:val="00362996"/>
    <w:rsid w:val="00365A07"/>
    <w:rsid w:val="00367F7F"/>
    <w:rsid w:val="00371E39"/>
    <w:rsid w:val="00377AAC"/>
    <w:rsid w:val="003862B8"/>
    <w:rsid w:val="00391EA1"/>
    <w:rsid w:val="00394982"/>
    <w:rsid w:val="00394C30"/>
    <w:rsid w:val="003966F6"/>
    <w:rsid w:val="00397C1C"/>
    <w:rsid w:val="003A10E8"/>
    <w:rsid w:val="003A3E80"/>
    <w:rsid w:val="003B0419"/>
    <w:rsid w:val="003B05B3"/>
    <w:rsid w:val="003B170A"/>
    <w:rsid w:val="003B78CD"/>
    <w:rsid w:val="003C0304"/>
    <w:rsid w:val="003E02A3"/>
    <w:rsid w:val="003E0396"/>
    <w:rsid w:val="003E1164"/>
    <w:rsid w:val="003E20A4"/>
    <w:rsid w:val="003E2A2A"/>
    <w:rsid w:val="003E699F"/>
    <w:rsid w:val="003F1261"/>
    <w:rsid w:val="003F5E88"/>
    <w:rsid w:val="003F671B"/>
    <w:rsid w:val="00405510"/>
    <w:rsid w:val="0040652B"/>
    <w:rsid w:val="00411EF0"/>
    <w:rsid w:val="004123E4"/>
    <w:rsid w:val="00413246"/>
    <w:rsid w:val="00413661"/>
    <w:rsid w:val="004146E7"/>
    <w:rsid w:val="00417589"/>
    <w:rsid w:val="004213B7"/>
    <w:rsid w:val="00424F1F"/>
    <w:rsid w:val="00432BAD"/>
    <w:rsid w:val="00433C51"/>
    <w:rsid w:val="00433CA1"/>
    <w:rsid w:val="00435474"/>
    <w:rsid w:val="00436DE3"/>
    <w:rsid w:val="004456C8"/>
    <w:rsid w:val="00452D22"/>
    <w:rsid w:val="00454DB7"/>
    <w:rsid w:val="004554CC"/>
    <w:rsid w:val="00455B72"/>
    <w:rsid w:val="00457158"/>
    <w:rsid w:val="004608CF"/>
    <w:rsid w:val="004643B2"/>
    <w:rsid w:val="0047639A"/>
    <w:rsid w:val="004770B0"/>
    <w:rsid w:val="00483A5A"/>
    <w:rsid w:val="00492CF1"/>
    <w:rsid w:val="00495774"/>
    <w:rsid w:val="00495B76"/>
    <w:rsid w:val="004A2518"/>
    <w:rsid w:val="004A460B"/>
    <w:rsid w:val="004A466A"/>
    <w:rsid w:val="004A735A"/>
    <w:rsid w:val="004B050F"/>
    <w:rsid w:val="004B4924"/>
    <w:rsid w:val="004B514A"/>
    <w:rsid w:val="004B59D2"/>
    <w:rsid w:val="004C10CD"/>
    <w:rsid w:val="004C534B"/>
    <w:rsid w:val="004C5656"/>
    <w:rsid w:val="004C5A46"/>
    <w:rsid w:val="004C7452"/>
    <w:rsid w:val="004C745F"/>
    <w:rsid w:val="004C7F80"/>
    <w:rsid w:val="004D2057"/>
    <w:rsid w:val="004D21F6"/>
    <w:rsid w:val="004D28E5"/>
    <w:rsid w:val="004D2DBC"/>
    <w:rsid w:val="004E1284"/>
    <w:rsid w:val="004E355F"/>
    <w:rsid w:val="004E359F"/>
    <w:rsid w:val="004F096A"/>
    <w:rsid w:val="004F0E24"/>
    <w:rsid w:val="004F3266"/>
    <w:rsid w:val="004F3E93"/>
    <w:rsid w:val="004F5F00"/>
    <w:rsid w:val="004F64FF"/>
    <w:rsid w:val="004F7A2C"/>
    <w:rsid w:val="005168B4"/>
    <w:rsid w:val="005213BF"/>
    <w:rsid w:val="005240CB"/>
    <w:rsid w:val="0052735B"/>
    <w:rsid w:val="005331EE"/>
    <w:rsid w:val="00534762"/>
    <w:rsid w:val="00534777"/>
    <w:rsid w:val="00535912"/>
    <w:rsid w:val="00550868"/>
    <w:rsid w:val="00551FDE"/>
    <w:rsid w:val="00556A14"/>
    <w:rsid w:val="005659DD"/>
    <w:rsid w:val="00567704"/>
    <w:rsid w:val="00570FC5"/>
    <w:rsid w:val="0057374A"/>
    <w:rsid w:val="00576A36"/>
    <w:rsid w:val="0057733C"/>
    <w:rsid w:val="005850C4"/>
    <w:rsid w:val="00590DA0"/>
    <w:rsid w:val="00592F00"/>
    <w:rsid w:val="005940DB"/>
    <w:rsid w:val="0059650B"/>
    <w:rsid w:val="00596B67"/>
    <w:rsid w:val="005A5759"/>
    <w:rsid w:val="005A72E1"/>
    <w:rsid w:val="005B0A15"/>
    <w:rsid w:val="005B1323"/>
    <w:rsid w:val="005B3803"/>
    <w:rsid w:val="005B3AD7"/>
    <w:rsid w:val="005B68A3"/>
    <w:rsid w:val="005C0AC8"/>
    <w:rsid w:val="005C18CF"/>
    <w:rsid w:val="005C4622"/>
    <w:rsid w:val="005C4EDB"/>
    <w:rsid w:val="005C4F1B"/>
    <w:rsid w:val="005C6BC6"/>
    <w:rsid w:val="005D04C3"/>
    <w:rsid w:val="005E16F8"/>
    <w:rsid w:val="005E4835"/>
    <w:rsid w:val="005E5A2B"/>
    <w:rsid w:val="005F1327"/>
    <w:rsid w:val="005F4040"/>
    <w:rsid w:val="005F6C98"/>
    <w:rsid w:val="0060506B"/>
    <w:rsid w:val="00605584"/>
    <w:rsid w:val="00607576"/>
    <w:rsid w:val="00610753"/>
    <w:rsid w:val="00611BDA"/>
    <w:rsid w:val="006142F1"/>
    <w:rsid w:val="00621C41"/>
    <w:rsid w:val="00621E0C"/>
    <w:rsid w:val="006223B3"/>
    <w:rsid w:val="00624B71"/>
    <w:rsid w:val="006264B5"/>
    <w:rsid w:val="0063554B"/>
    <w:rsid w:val="006403BC"/>
    <w:rsid w:val="00643A3D"/>
    <w:rsid w:val="00644AD9"/>
    <w:rsid w:val="00645FD3"/>
    <w:rsid w:val="0064665C"/>
    <w:rsid w:val="00646A5B"/>
    <w:rsid w:val="0066694D"/>
    <w:rsid w:val="0067006B"/>
    <w:rsid w:val="006731A6"/>
    <w:rsid w:val="006734AF"/>
    <w:rsid w:val="006772D7"/>
    <w:rsid w:val="00681C2B"/>
    <w:rsid w:val="00683D30"/>
    <w:rsid w:val="00685B20"/>
    <w:rsid w:val="006922BA"/>
    <w:rsid w:val="00692DB3"/>
    <w:rsid w:val="0069419C"/>
    <w:rsid w:val="0069730D"/>
    <w:rsid w:val="006B23AC"/>
    <w:rsid w:val="006B241B"/>
    <w:rsid w:val="006C2981"/>
    <w:rsid w:val="006C7385"/>
    <w:rsid w:val="006D0F41"/>
    <w:rsid w:val="006D3460"/>
    <w:rsid w:val="006D3FD9"/>
    <w:rsid w:val="006D747B"/>
    <w:rsid w:val="006D77BA"/>
    <w:rsid w:val="006E24EF"/>
    <w:rsid w:val="006E5F70"/>
    <w:rsid w:val="006E75D0"/>
    <w:rsid w:val="006F1386"/>
    <w:rsid w:val="006F1C3B"/>
    <w:rsid w:val="006F2367"/>
    <w:rsid w:val="006F26C3"/>
    <w:rsid w:val="006F27B5"/>
    <w:rsid w:val="006F3359"/>
    <w:rsid w:val="006F5837"/>
    <w:rsid w:val="0070009B"/>
    <w:rsid w:val="0070515F"/>
    <w:rsid w:val="00710517"/>
    <w:rsid w:val="007115B7"/>
    <w:rsid w:val="00713886"/>
    <w:rsid w:val="00716BFD"/>
    <w:rsid w:val="007223F2"/>
    <w:rsid w:val="00726861"/>
    <w:rsid w:val="00726C99"/>
    <w:rsid w:val="00727FC3"/>
    <w:rsid w:val="007315F9"/>
    <w:rsid w:val="007339F5"/>
    <w:rsid w:val="00735DF1"/>
    <w:rsid w:val="0074025B"/>
    <w:rsid w:val="0074183A"/>
    <w:rsid w:val="00742F6B"/>
    <w:rsid w:val="00744BC9"/>
    <w:rsid w:val="00744F51"/>
    <w:rsid w:val="00745EDA"/>
    <w:rsid w:val="00747F02"/>
    <w:rsid w:val="007507AB"/>
    <w:rsid w:val="007553B5"/>
    <w:rsid w:val="00755978"/>
    <w:rsid w:val="007613B2"/>
    <w:rsid w:val="00761718"/>
    <w:rsid w:val="007702E7"/>
    <w:rsid w:val="0077490A"/>
    <w:rsid w:val="0079150A"/>
    <w:rsid w:val="00792245"/>
    <w:rsid w:val="00797966"/>
    <w:rsid w:val="007A0565"/>
    <w:rsid w:val="007A3CD8"/>
    <w:rsid w:val="007B4D32"/>
    <w:rsid w:val="007B5AD5"/>
    <w:rsid w:val="007C1F70"/>
    <w:rsid w:val="007C50BC"/>
    <w:rsid w:val="007C7F60"/>
    <w:rsid w:val="007D02F8"/>
    <w:rsid w:val="007D5178"/>
    <w:rsid w:val="007E0DF9"/>
    <w:rsid w:val="007E7D25"/>
    <w:rsid w:val="007F13BB"/>
    <w:rsid w:val="007F2900"/>
    <w:rsid w:val="007F457E"/>
    <w:rsid w:val="007F46C7"/>
    <w:rsid w:val="007F6DF5"/>
    <w:rsid w:val="00800F2B"/>
    <w:rsid w:val="0080146D"/>
    <w:rsid w:val="0080199E"/>
    <w:rsid w:val="00801DF6"/>
    <w:rsid w:val="00804B89"/>
    <w:rsid w:val="00805957"/>
    <w:rsid w:val="00807F8F"/>
    <w:rsid w:val="00811F59"/>
    <w:rsid w:val="00813348"/>
    <w:rsid w:val="00820930"/>
    <w:rsid w:val="008211BA"/>
    <w:rsid w:val="0082195C"/>
    <w:rsid w:val="00825BCA"/>
    <w:rsid w:val="00826067"/>
    <w:rsid w:val="00826ECF"/>
    <w:rsid w:val="008321EE"/>
    <w:rsid w:val="00833C31"/>
    <w:rsid w:val="008341E3"/>
    <w:rsid w:val="00834C51"/>
    <w:rsid w:val="008352A9"/>
    <w:rsid w:val="00835BFE"/>
    <w:rsid w:val="008428F1"/>
    <w:rsid w:val="00843819"/>
    <w:rsid w:val="00844006"/>
    <w:rsid w:val="00846FB3"/>
    <w:rsid w:val="008512B8"/>
    <w:rsid w:val="00853813"/>
    <w:rsid w:val="00856D4C"/>
    <w:rsid w:val="00860D2E"/>
    <w:rsid w:val="00862428"/>
    <w:rsid w:val="00862440"/>
    <w:rsid w:val="008670B1"/>
    <w:rsid w:val="00867D47"/>
    <w:rsid w:val="00867E7E"/>
    <w:rsid w:val="00872070"/>
    <w:rsid w:val="00875047"/>
    <w:rsid w:val="00877F32"/>
    <w:rsid w:val="0088044A"/>
    <w:rsid w:val="00881178"/>
    <w:rsid w:val="00882774"/>
    <w:rsid w:val="00883341"/>
    <w:rsid w:val="00885C76"/>
    <w:rsid w:val="008A7A55"/>
    <w:rsid w:val="008B2F16"/>
    <w:rsid w:val="008B33DC"/>
    <w:rsid w:val="008B3777"/>
    <w:rsid w:val="008C0FDB"/>
    <w:rsid w:val="008C1820"/>
    <w:rsid w:val="008C35E7"/>
    <w:rsid w:val="008C4779"/>
    <w:rsid w:val="008C6994"/>
    <w:rsid w:val="008D0084"/>
    <w:rsid w:val="008D081F"/>
    <w:rsid w:val="008D3745"/>
    <w:rsid w:val="008D6EE9"/>
    <w:rsid w:val="008E2992"/>
    <w:rsid w:val="008E580A"/>
    <w:rsid w:val="008E713E"/>
    <w:rsid w:val="008F1475"/>
    <w:rsid w:val="008F32B9"/>
    <w:rsid w:val="008F435A"/>
    <w:rsid w:val="00900CE3"/>
    <w:rsid w:val="0090240D"/>
    <w:rsid w:val="00905245"/>
    <w:rsid w:val="009138FF"/>
    <w:rsid w:val="009156CB"/>
    <w:rsid w:val="009254EF"/>
    <w:rsid w:val="009266A7"/>
    <w:rsid w:val="00926B9F"/>
    <w:rsid w:val="00930B50"/>
    <w:rsid w:val="009364D2"/>
    <w:rsid w:val="009417D1"/>
    <w:rsid w:val="00942ED8"/>
    <w:rsid w:val="00943272"/>
    <w:rsid w:val="00944943"/>
    <w:rsid w:val="009474D5"/>
    <w:rsid w:val="009508F2"/>
    <w:rsid w:val="00956D68"/>
    <w:rsid w:val="00957BEC"/>
    <w:rsid w:val="009704BF"/>
    <w:rsid w:val="00972FEF"/>
    <w:rsid w:val="0097374F"/>
    <w:rsid w:val="00974F1B"/>
    <w:rsid w:val="00976AC2"/>
    <w:rsid w:val="00984218"/>
    <w:rsid w:val="00995846"/>
    <w:rsid w:val="00997F8F"/>
    <w:rsid w:val="009A03B7"/>
    <w:rsid w:val="009A2281"/>
    <w:rsid w:val="009A30FC"/>
    <w:rsid w:val="009A5528"/>
    <w:rsid w:val="009A626B"/>
    <w:rsid w:val="009A7B3F"/>
    <w:rsid w:val="009A7B8F"/>
    <w:rsid w:val="009B2AFC"/>
    <w:rsid w:val="009B49E5"/>
    <w:rsid w:val="009B4D50"/>
    <w:rsid w:val="009C0BC2"/>
    <w:rsid w:val="009C67F8"/>
    <w:rsid w:val="009C6942"/>
    <w:rsid w:val="009D34C2"/>
    <w:rsid w:val="009D58E4"/>
    <w:rsid w:val="009E0C77"/>
    <w:rsid w:val="009E2883"/>
    <w:rsid w:val="009E2A53"/>
    <w:rsid w:val="009E3036"/>
    <w:rsid w:val="009E4320"/>
    <w:rsid w:val="009F1225"/>
    <w:rsid w:val="009F6E70"/>
    <w:rsid w:val="009F789F"/>
    <w:rsid w:val="00A101F9"/>
    <w:rsid w:val="00A12664"/>
    <w:rsid w:val="00A15528"/>
    <w:rsid w:val="00A16084"/>
    <w:rsid w:val="00A17F03"/>
    <w:rsid w:val="00A211BF"/>
    <w:rsid w:val="00A242EC"/>
    <w:rsid w:val="00A3706C"/>
    <w:rsid w:val="00A460C8"/>
    <w:rsid w:val="00A47622"/>
    <w:rsid w:val="00A55751"/>
    <w:rsid w:val="00A66705"/>
    <w:rsid w:val="00A70FF2"/>
    <w:rsid w:val="00A73C34"/>
    <w:rsid w:val="00A74272"/>
    <w:rsid w:val="00A751FB"/>
    <w:rsid w:val="00A801CA"/>
    <w:rsid w:val="00A811CF"/>
    <w:rsid w:val="00A8297A"/>
    <w:rsid w:val="00A83B70"/>
    <w:rsid w:val="00A84282"/>
    <w:rsid w:val="00A86B80"/>
    <w:rsid w:val="00A93E61"/>
    <w:rsid w:val="00AA0368"/>
    <w:rsid w:val="00AA4F01"/>
    <w:rsid w:val="00AA6759"/>
    <w:rsid w:val="00AA78D4"/>
    <w:rsid w:val="00AB21A4"/>
    <w:rsid w:val="00AB2811"/>
    <w:rsid w:val="00AB56F3"/>
    <w:rsid w:val="00AB7CD5"/>
    <w:rsid w:val="00AC3180"/>
    <w:rsid w:val="00AC5B6D"/>
    <w:rsid w:val="00AD6CE6"/>
    <w:rsid w:val="00AE2AF1"/>
    <w:rsid w:val="00AF7F76"/>
    <w:rsid w:val="00B04C99"/>
    <w:rsid w:val="00B05031"/>
    <w:rsid w:val="00B118E4"/>
    <w:rsid w:val="00B12333"/>
    <w:rsid w:val="00B14E2C"/>
    <w:rsid w:val="00B17DB5"/>
    <w:rsid w:val="00B20437"/>
    <w:rsid w:val="00B276CE"/>
    <w:rsid w:val="00B322B5"/>
    <w:rsid w:val="00B34FF3"/>
    <w:rsid w:val="00B374C8"/>
    <w:rsid w:val="00B3782B"/>
    <w:rsid w:val="00B407B4"/>
    <w:rsid w:val="00B66262"/>
    <w:rsid w:val="00B725DE"/>
    <w:rsid w:val="00B76522"/>
    <w:rsid w:val="00B76DC6"/>
    <w:rsid w:val="00B8020A"/>
    <w:rsid w:val="00B91321"/>
    <w:rsid w:val="00B91911"/>
    <w:rsid w:val="00B93613"/>
    <w:rsid w:val="00B97069"/>
    <w:rsid w:val="00BA3EBA"/>
    <w:rsid w:val="00BA5001"/>
    <w:rsid w:val="00BA5E20"/>
    <w:rsid w:val="00BB2DE3"/>
    <w:rsid w:val="00BB31D9"/>
    <w:rsid w:val="00BB5E49"/>
    <w:rsid w:val="00BB72D1"/>
    <w:rsid w:val="00BC118F"/>
    <w:rsid w:val="00BC1D9B"/>
    <w:rsid w:val="00BC22A2"/>
    <w:rsid w:val="00BD49EF"/>
    <w:rsid w:val="00BE7E89"/>
    <w:rsid w:val="00BE7F53"/>
    <w:rsid w:val="00BF36A0"/>
    <w:rsid w:val="00BF3721"/>
    <w:rsid w:val="00C02324"/>
    <w:rsid w:val="00C114FC"/>
    <w:rsid w:val="00C12489"/>
    <w:rsid w:val="00C12A0F"/>
    <w:rsid w:val="00C14DA8"/>
    <w:rsid w:val="00C22540"/>
    <w:rsid w:val="00C23F61"/>
    <w:rsid w:val="00C24D6B"/>
    <w:rsid w:val="00C30F78"/>
    <w:rsid w:val="00C321C1"/>
    <w:rsid w:val="00C32CCF"/>
    <w:rsid w:val="00C33F0A"/>
    <w:rsid w:val="00C365AF"/>
    <w:rsid w:val="00C40442"/>
    <w:rsid w:val="00C4459C"/>
    <w:rsid w:val="00C46179"/>
    <w:rsid w:val="00C47B96"/>
    <w:rsid w:val="00C5369E"/>
    <w:rsid w:val="00C55359"/>
    <w:rsid w:val="00C56703"/>
    <w:rsid w:val="00C574A0"/>
    <w:rsid w:val="00C610A4"/>
    <w:rsid w:val="00C6300C"/>
    <w:rsid w:val="00C65AB4"/>
    <w:rsid w:val="00C70110"/>
    <w:rsid w:val="00C7090C"/>
    <w:rsid w:val="00C71CA4"/>
    <w:rsid w:val="00C84267"/>
    <w:rsid w:val="00C917E8"/>
    <w:rsid w:val="00C943A0"/>
    <w:rsid w:val="00C9443E"/>
    <w:rsid w:val="00CA04F1"/>
    <w:rsid w:val="00CB0659"/>
    <w:rsid w:val="00CB0930"/>
    <w:rsid w:val="00CB0C70"/>
    <w:rsid w:val="00CB1365"/>
    <w:rsid w:val="00CC2ED3"/>
    <w:rsid w:val="00CC600C"/>
    <w:rsid w:val="00CD2E0A"/>
    <w:rsid w:val="00CD6118"/>
    <w:rsid w:val="00CD6D0F"/>
    <w:rsid w:val="00CE286D"/>
    <w:rsid w:val="00CE748E"/>
    <w:rsid w:val="00CF0F1D"/>
    <w:rsid w:val="00CF1A62"/>
    <w:rsid w:val="00CF4F4D"/>
    <w:rsid w:val="00CF60C7"/>
    <w:rsid w:val="00CF741A"/>
    <w:rsid w:val="00D10631"/>
    <w:rsid w:val="00D13578"/>
    <w:rsid w:val="00D1544A"/>
    <w:rsid w:val="00D26C8E"/>
    <w:rsid w:val="00D27CE2"/>
    <w:rsid w:val="00D30982"/>
    <w:rsid w:val="00D33650"/>
    <w:rsid w:val="00D34464"/>
    <w:rsid w:val="00D438FF"/>
    <w:rsid w:val="00D60B98"/>
    <w:rsid w:val="00D62C9E"/>
    <w:rsid w:val="00D7063C"/>
    <w:rsid w:val="00D74F5D"/>
    <w:rsid w:val="00D77960"/>
    <w:rsid w:val="00D806F2"/>
    <w:rsid w:val="00D80E86"/>
    <w:rsid w:val="00D86635"/>
    <w:rsid w:val="00D86B80"/>
    <w:rsid w:val="00D87D83"/>
    <w:rsid w:val="00D937B0"/>
    <w:rsid w:val="00D96404"/>
    <w:rsid w:val="00DA062B"/>
    <w:rsid w:val="00DA3107"/>
    <w:rsid w:val="00DA57BC"/>
    <w:rsid w:val="00DA63BD"/>
    <w:rsid w:val="00DB15BD"/>
    <w:rsid w:val="00DB253E"/>
    <w:rsid w:val="00DB7D2C"/>
    <w:rsid w:val="00DC1D65"/>
    <w:rsid w:val="00DC1D73"/>
    <w:rsid w:val="00DD5598"/>
    <w:rsid w:val="00DD58C7"/>
    <w:rsid w:val="00DE0ABF"/>
    <w:rsid w:val="00DE2793"/>
    <w:rsid w:val="00DE315A"/>
    <w:rsid w:val="00DF445D"/>
    <w:rsid w:val="00E02FB8"/>
    <w:rsid w:val="00E031E5"/>
    <w:rsid w:val="00E0645F"/>
    <w:rsid w:val="00E0759A"/>
    <w:rsid w:val="00E1138D"/>
    <w:rsid w:val="00E202E8"/>
    <w:rsid w:val="00E30517"/>
    <w:rsid w:val="00E36DBA"/>
    <w:rsid w:val="00E42345"/>
    <w:rsid w:val="00E43671"/>
    <w:rsid w:val="00E44112"/>
    <w:rsid w:val="00E454B7"/>
    <w:rsid w:val="00E46C98"/>
    <w:rsid w:val="00E55FCB"/>
    <w:rsid w:val="00E60514"/>
    <w:rsid w:val="00E63621"/>
    <w:rsid w:val="00E63E49"/>
    <w:rsid w:val="00E6403D"/>
    <w:rsid w:val="00E64DAD"/>
    <w:rsid w:val="00E65AAB"/>
    <w:rsid w:val="00E65D29"/>
    <w:rsid w:val="00E75B50"/>
    <w:rsid w:val="00E84A55"/>
    <w:rsid w:val="00E86A99"/>
    <w:rsid w:val="00E87877"/>
    <w:rsid w:val="00E92F74"/>
    <w:rsid w:val="00E949A0"/>
    <w:rsid w:val="00E96322"/>
    <w:rsid w:val="00EA07AA"/>
    <w:rsid w:val="00EA3F24"/>
    <w:rsid w:val="00EA493D"/>
    <w:rsid w:val="00EA67DF"/>
    <w:rsid w:val="00EA6F4A"/>
    <w:rsid w:val="00EB0FFE"/>
    <w:rsid w:val="00EB1FB3"/>
    <w:rsid w:val="00EB2A7D"/>
    <w:rsid w:val="00EB37E4"/>
    <w:rsid w:val="00EB5AB5"/>
    <w:rsid w:val="00EC371A"/>
    <w:rsid w:val="00ED4F7B"/>
    <w:rsid w:val="00EE090F"/>
    <w:rsid w:val="00EE397C"/>
    <w:rsid w:val="00EE4C29"/>
    <w:rsid w:val="00EF103B"/>
    <w:rsid w:val="00F020D8"/>
    <w:rsid w:val="00F0717C"/>
    <w:rsid w:val="00F10911"/>
    <w:rsid w:val="00F11719"/>
    <w:rsid w:val="00F15ED2"/>
    <w:rsid w:val="00F16A6C"/>
    <w:rsid w:val="00F173C4"/>
    <w:rsid w:val="00F23843"/>
    <w:rsid w:val="00F24997"/>
    <w:rsid w:val="00F267E2"/>
    <w:rsid w:val="00F27B09"/>
    <w:rsid w:val="00F27EB3"/>
    <w:rsid w:val="00F344B4"/>
    <w:rsid w:val="00F40E04"/>
    <w:rsid w:val="00F42303"/>
    <w:rsid w:val="00F435F5"/>
    <w:rsid w:val="00F556C6"/>
    <w:rsid w:val="00F61F34"/>
    <w:rsid w:val="00F70317"/>
    <w:rsid w:val="00F71511"/>
    <w:rsid w:val="00F733C3"/>
    <w:rsid w:val="00F75EE5"/>
    <w:rsid w:val="00F75F77"/>
    <w:rsid w:val="00F77109"/>
    <w:rsid w:val="00F90304"/>
    <w:rsid w:val="00F95B14"/>
    <w:rsid w:val="00F96DD1"/>
    <w:rsid w:val="00F97A39"/>
    <w:rsid w:val="00FA63A8"/>
    <w:rsid w:val="00FA7269"/>
    <w:rsid w:val="00FB28D5"/>
    <w:rsid w:val="00FB669E"/>
    <w:rsid w:val="00FC20F3"/>
    <w:rsid w:val="00FC43CB"/>
    <w:rsid w:val="00FD0A10"/>
    <w:rsid w:val="00FD5746"/>
    <w:rsid w:val="00FD57D7"/>
    <w:rsid w:val="00FE24F0"/>
    <w:rsid w:val="00FE2687"/>
    <w:rsid w:val="00FE39F1"/>
    <w:rsid w:val="00FF1F32"/>
    <w:rsid w:val="00FF6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F2197"/>
  <w15:docId w15:val="{D712BCB8-E790-4A44-93F5-3E6139997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1EA1"/>
    <w:pPr>
      <w:spacing w:after="200" w:line="276" w:lineRule="auto"/>
    </w:pPr>
    <w:rPr>
      <w:rFonts w:ascii="Calibri" w:eastAsia="Times New Roman" w:hAnsi="Calibri" w:cs="Times New Roman"/>
      <w:kern w:val="0"/>
      <w:lang w:val="sq-AL"/>
      <w14:ligatures w14:val="none"/>
    </w:rPr>
  </w:style>
  <w:style w:type="paragraph" w:styleId="Heading1">
    <w:name w:val="heading 1"/>
    <w:basedOn w:val="Normal"/>
    <w:next w:val="Normal"/>
    <w:link w:val="Heading1Char"/>
    <w:uiPriority w:val="9"/>
    <w:qFormat/>
    <w:rsid w:val="00391EA1"/>
    <w:pPr>
      <w:keepNext/>
      <w:numPr>
        <w:numId w:val="1"/>
      </w:numPr>
      <w:spacing w:before="240" w:after="60"/>
      <w:ind w:left="0" w:firstLine="0"/>
      <w:outlineLvl w:val="0"/>
    </w:pPr>
    <w:rPr>
      <w:rFonts w:ascii="Calibri Light" w:hAnsi="Calibri Light"/>
      <w:b/>
      <w:bCs/>
      <w:kern w:val="32"/>
      <w:sz w:val="32"/>
      <w:szCs w:val="32"/>
    </w:rPr>
  </w:style>
  <w:style w:type="paragraph" w:styleId="Heading2">
    <w:name w:val="heading 2"/>
    <w:basedOn w:val="Normal"/>
    <w:next w:val="Normal"/>
    <w:link w:val="Heading2Char"/>
    <w:uiPriority w:val="99"/>
    <w:semiHidden/>
    <w:rsid w:val="00391EA1"/>
    <w:pPr>
      <w:keepNext/>
      <w:numPr>
        <w:ilvl w:val="1"/>
        <w:numId w:val="1"/>
      </w:numPr>
      <w:spacing w:before="240" w:after="60"/>
      <w:ind w:left="0" w:firstLine="0"/>
      <w:outlineLvl w:val="1"/>
    </w:pPr>
    <w:rPr>
      <w:rFonts w:ascii="Calibri Light" w:hAnsi="Calibri Light"/>
      <w:b/>
      <w:bCs/>
      <w:i/>
      <w:iCs/>
      <w:sz w:val="28"/>
      <w:szCs w:val="28"/>
    </w:rPr>
  </w:style>
  <w:style w:type="paragraph" w:styleId="Heading3">
    <w:name w:val="heading 3"/>
    <w:basedOn w:val="Normal"/>
    <w:next w:val="Normal"/>
    <w:link w:val="Heading3Char"/>
    <w:uiPriority w:val="99"/>
    <w:semiHidden/>
    <w:rsid w:val="00391EA1"/>
    <w:pPr>
      <w:keepNext/>
      <w:numPr>
        <w:ilvl w:val="2"/>
        <w:numId w:val="1"/>
      </w:numPr>
      <w:spacing w:before="240" w:after="60"/>
      <w:ind w:left="720" w:hanging="432"/>
      <w:outlineLvl w:val="2"/>
    </w:pPr>
    <w:rPr>
      <w:rFonts w:ascii="Calibri Light" w:hAnsi="Calibri Light"/>
      <w:b/>
      <w:bCs/>
      <w:sz w:val="26"/>
      <w:szCs w:val="26"/>
    </w:rPr>
  </w:style>
  <w:style w:type="paragraph" w:styleId="Heading4">
    <w:name w:val="heading 4"/>
    <w:basedOn w:val="Normal"/>
    <w:next w:val="Normal"/>
    <w:link w:val="Heading4Char"/>
    <w:uiPriority w:val="99"/>
    <w:semiHidden/>
    <w:rsid w:val="00391EA1"/>
    <w:pPr>
      <w:keepNext/>
      <w:numPr>
        <w:ilvl w:val="3"/>
        <w:numId w:val="1"/>
      </w:numPr>
      <w:spacing w:before="240" w:after="60"/>
      <w:ind w:left="864" w:hanging="144"/>
      <w:outlineLvl w:val="3"/>
    </w:pPr>
    <w:rPr>
      <w:b/>
      <w:bCs/>
      <w:sz w:val="28"/>
      <w:szCs w:val="28"/>
    </w:rPr>
  </w:style>
  <w:style w:type="paragraph" w:styleId="Heading5">
    <w:name w:val="heading 5"/>
    <w:basedOn w:val="Normal"/>
    <w:next w:val="Normal"/>
    <w:link w:val="Heading5Char"/>
    <w:uiPriority w:val="99"/>
    <w:semiHidden/>
    <w:qFormat/>
    <w:rsid w:val="00391EA1"/>
    <w:pPr>
      <w:numPr>
        <w:ilvl w:val="4"/>
        <w:numId w:val="1"/>
      </w:numPr>
      <w:spacing w:before="240" w:after="60"/>
      <w:ind w:left="1008" w:hanging="432"/>
      <w:outlineLvl w:val="4"/>
    </w:pPr>
    <w:rPr>
      <w:b/>
      <w:bCs/>
      <w:i/>
      <w:iCs/>
      <w:sz w:val="26"/>
      <w:szCs w:val="26"/>
    </w:rPr>
  </w:style>
  <w:style w:type="paragraph" w:styleId="Heading6">
    <w:name w:val="heading 6"/>
    <w:basedOn w:val="Normal"/>
    <w:next w:val="Normal"/>
    <w:link w:val="Heading6Char"/>
    <w:uiPriority w:val="99"/>
    <w:semiHidden/>
    <w:rsid w:val="00391EA1"/>
    <w:pPr>
      <w:numPr>
        <w:ilvl w:val="5"/>
        <w:numId w:val="1"/>
      </w:numPr>
      <w:spacing w:before="240" w:after="60"/>
      <w:ind w:left="1152" w:hanging="432"/>
      <w:outlineLvl w:val="5"/>
    </w:pPr>
    <w:rPr>
      <w:b/>
      <w:bCs/>
    </w:rPr>
  </w:style>
  <w:style w:type="paragraph" w:styleId="Heading7">
    <w:name w:val="heading 7"/>
    <w:basedOn w:val="Normal"/>
    <w:next w:val="Normal"/>
    <w:link w:val="Heading7Char"/>
    <w:uiPriority w:val="99"/>
    <w:semiHidden/>
    <w:qFormat/>
    <w:rsid w:val="00391EA1"/>
    <w:pPr>
      <w:numPr>
        <w:ilvl w:val="6"/>
        <w:numId w:val="1"/>
      </w:numPr>
      <w:spacing w:before="240" w:after="60"/>
      <w:ind w:left="1296" w:hanging="288"/>
      <w:outlineLvl w:val="6"/>
    </w:pPr>
    <w:rPr>
      <w:sz w:val="24"/>
      <w:szCs w:val="24"/>
    </w:rPr>
  </w:style>
  <w:style w:type="paragraph" w:styleId="Heading8">
    <w:name w:val="heading 8"/>
    <w:basedOn w:val="Normal"/>
    <w:next w:val="Normal"/>
    <w:link w:val="Heading8Char"/>
    <w:uiPriority w:val="99"/>
    <w:semiHidden/>
    <w:qFormat/>
    <w:rsid w:val="00391EA1"/>
    <w:pPr>
      <w:numPr>
        <w:ilvl w:val="7"/>
        <w:numId w:val="1"/>
      </w:numPr>
      <w:spacing w:before="240" w:after="60"/>
      <w:ind w:left="1440" w:hanging="432"/>
      <w:outlineLvl w:val="7"/>
    </w:pPr>
    <w:rPr>
      <w:i/>
      <w:iCs/>
      <w:sz w:val="24"/>
      <w:szCs w:val="24"/>
    </w:rPr>
  </w:style>
  <w:style w:type="paragraph" w:styleId="Heading9">
    <w:name w:val="heading 9"/>
    <w:basedOn w:val="Normal"/>
    <w:next w:val="Normal"/>
    <w:link w:val="Heading9Char"/>
    <w:uiPriority w:val="99"/>
    <w:semiHidden/>
    <w:qFormat/>
    <w:rsid w:val="00391EA1"/>
    <w:pPr>
      <w:numPr>
        <w:ilvl w:val="8"/>
        <w:numId w:val="1"/>
      </w:numPr>
      <w:spacing w:before="240" w:after="60"/>
      <w:ind w:left="1584" w:hanging="144"/>
      <w:outlineLvl w:val="8"/>
    </w:pPr>
    <w:rPr>
      <w:rFonts w:ascii="Calibri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EA1"/>
    <w:rPr>
      <w:rFonts w:ascii="Calibri Light" w:eastAsia="Times New Roman" w:hAnsi="Calibri Light" w:cs="Times New Roman"/>
      <w:b/>
      <w:bCs/>
      <w:kern w:val="32"/>
      <w:sz w:val="32"/>
      <w:szCs w:val="32"/>
      <w14:ligatures w14:val="none"/>
    </w:rPr>
  </w:style>
  <w:style w:type="character" w:customStyle="1" w:styleId="Heading2Char">
    <w:name w:val="Heading 2 Char"/>
    <w:basedOn w:val="DefaultParagraphFont"/>
    <w:link w:val="Heading2"/>
    <w:uiPriority w:val="99"/>
    <w:semiHidden/>
    <w:rsid w:val="00391EA1"/>
    <w:rPr>
      <w:rFonts w:ascii="Calibri Light" w:eastAsia="Times New Roman" w:hAnsi="Calibri Light" w:cs="Times New Roman"/>
      <w:b/>
      <w:bCs/>
      <w:i/>
      <w:iCs/>
      <w:kern w:val="0"/>
      <w:sz w:val="28"/>
      <w:szCs w:val="28"/>
      <w14:ligatures w14:val="none"/>
    </w:rPr>
  </w:style>
  <w:style w:type="character" w:customStyle="1" w:styleId="Heading3Char">
    <w:name w:val="Heading 3 Char"/>
    <w:basedOn w:val="DefaultParagraphFont"/>
    <w:link w:val="Heading3"/>
    <w:uiPriority w:val="99"/>
    <w:semiHidden/>
    <w:rsid w:val="00391EA1"/>
    <w:rPr>
      <w:rFonts w:ascii="Calibri Light" w:eastAsia="Times New Roman" w:hAnsi="Calibri Light" w:cs="Times New Roman"/>
      <w:b/>
      <w:bCs/>
      <w:kern w:val="0"/>
      <w:sz w:val="26"/>
      <w:szCs w:val="26"/>
      <w14:ligatures w14:val="none"/>
    </w:rPr>
  </w:style>
  <w:style w:type="character" w:customStyle="1" w:styleId="Heading4Char">
    <w:name w:val="Heading 4 Char"/>
    <w:basedOn w:val="DefaultParagraphFont"/>
    <w:link w:val="Heading4"/>
    <w:uiPriority w:val="99"/>
    <w:semiHidden/>
    <w:rsid w:val="00391EA1"/>
    <w:rPr>
      <w:rFonts w:ascii="Calibri" w:eastAsia="Times New Roman" w:hAnsi="Calibri" w:cs="Times New Roman"/>
      <w:b/>
      <w:bCs/>
      <w:kern w:val="0"/>
      <w:sz w:val="28"/>
      <w:szCs w:val="28"/>
      <w14:ligatures w14:val="none"/>
    </w:rPr>
  </w:style>
  <w:style w:type="character" w:customStyle="1" w:styleId="Heading5Char">
    <w:name w:val="Heading 5 Char"/>
    <w:basedOn w:val="DefaultParagraphFont"/>
    <w:link w:val="Heading5"/>
    <w:uiPriority w:val="99"/>
    <w:semiHidden/>
    <w:rsid w:val="00391EA1"/>
    <w:rPr>
      <w:rFonts w:ascii="Calibri" w:eastAsia="Times New Roman" w:hAnsi="Calibri" w:cs="Times New Roman"/>
      <w:b/>
      <w:bCs/>
      <w:i/>
      <w:iCs/>
      <w:kern w:val="0"/>
      <w:sz w:val="26"/>
      <w:szCs w:val="26"/>
      <w14:ligatures w14:val="none"/>
    </w:rPr>
  </w:style>
  <w:style w:type="character" w:customStyle="1" w:styleId="Heading6Char">
    <w:name w:val="Heading 6 Char"/>
    <w:basedOn w:val="DefaultParagraphFont"/>
    <w:link w:val="Heading6"/>
    <w:uiPriority w:val="99"/>
    <w:semiHidden/>
    <w:rsid w:val="00391EA1"/>
    <w:rPr>
      <w:rFonts w:ascii="Calibri" w:eastAsia="Times New Roman" w:hAnsi="Calibri" w:cs="Times New Roman"/>
      <w:b/>
      <w:bCs/>
      <w:kern w:val="0"/>
      <w14:ligatures w14:val="none"/>
    </w:rPr>
  </w:style>
  <w:style w:type="character" w:customStyle="1" w:styleId="Heading7Char">
    <w:name w:val="Heading 7 Char"/>
    <w:basedOn w:val="DefaultParagraphFont"/>
    <w:link w:val="Heading7"/>
    <w:uiPriority w:val="99"/>
    <w:semiHidden/>
    <w:rsid w:val="00391EA1"/>
    <w:rPr>
      <w:rFonts w:ascii="Calibri" w:eastAsia="Times New Roman" w:hAnsi="Calibri" w:cs="Times New Roman"/>
      <w:kern w:val="0"/>
      <w:sz w:val="24"/>
      <w:szCs w:val="24"/>
      <w14:ligatures w14:val="none"/>
    </w:rPr>
  </w:style>
  <w:style w:type="character" w:customStyle="1" w:styleId="Heading8Char">
    <w:name w:val="Heading 8 Char"/>
    <w:basedOn w:val="DefaultParagraphFont"/>
    <w:link w:val="Heading8"/>
    <w:uiPriority w:val="99"/>
    <w:semiHidden/>
    <w:rsid w:val="00391EA1"/>
    <w:rPr>
      <w:rFonts w:ascii="Calibri" w:eastAsia="Times New Roman" w:hAnsi="Calibri" w:cs="Times New Roman"/>
      <w:i/>
      <w:iCs/>
      <w:kern w:val="0"/>
      <w:sz w:val="24"/>
      <w:szCs w:val="24"/>
      <w14:ligatures w14:val="none"/>
    </w:rPr>
  </w:style>
  <w:style w:type="character" w:customStyle="1" w:styleId="Heading9Char">
    <w:name w:val="Heading 9 Char"/>
    <w:basedOn w:val="DefaultParagraphFont"/>
    <w:link w:val="Heading9"/>
    <w:uiPriority w:val="99"/>
    <w:semiHidden/>
    <w:rsid w:val="00391EA1"/>
    <w:rPr>
      <w:rFonts w:ascii="Calibri Light" w:eastAsia="Times New Roman" w:hAnsi="Calibri Light" w:cs="Times New Roman"/>
      <w:kern w:val="0"/>
      <w14:ligatures w14:val="none"/>
    </w:rPr>
  </w:style>
  <w:style w:type="paragraph" w:styleId="Header">
    <w:name w:val="header"/>
    <w:basedOn w:val="Normal"/>
    <w:link w:val="HeaderChar"/>
    <w:uiPriority w:val="57"/>
    <w:unhideWhenUsed/>
    <w:rsid w:val="00391EA1"/>
    <w:pPr>
      <w:tabs>
        <w:tab w:val="center" w:pos="4513"/>
        <w:tab w:val="right" w:pos="9026"/>
      </w:tabs>
      <w:spacing w:after="0" w:line="240" w:lineRule="auto"/>
    </w:pPr>
    <w:rPr>
      <w:sz w:val="20"/>
      <w:szCs w:val="20"/>
      <w:lang w:val="en-GB" w:eastAsia="en-GB"/>
    </w:rPr>
  </w:style>
  <w:style w:type="character" w:customStyle="1" w:styleId="HeaderChar">
    <w:name w:val="Header Char"/>
    <w:basedOn w:val="DefaultParagraphFont"/>
    <w:link w:val="Header"/>
    <w:uiPriority w:val="57"/>
    <w:rsid w:val="00391EA1"/>
    <w:rPr>
      <w:rFonts w:ascii="Calibri" w:eastAsia="Times New Roman" w:hAnsi="Calibri" w:cs="Times New Roman"/>
      <w:kern w:val="0"/>
      <w:sz w:val="20"/>
      <w:szCs w:val="20"/>
      <w:lang w:val="en-GB" w:eastAsia="en-GB"/>
      <w14:ligatures w14:val="none"/>
    </w:rPr>
  </w:style>
  <w:style w:type="paragraph" w:styleId="Footer">
    <w:name w:val="footer"/>
    <w:basedOn w:val="Normal"/>
    <w:link w:val="FooterChar"/>
    <w:uiPriority w:val="57"/>
    <w:unhideWhenUsed/>
    <w:rsid w:val="00391EA1"/>
    <w:pPr>
      <w:tabs>
        <w:tab w:val="center" w:pos="4513"/>
        <w:tab w:val="right" w:pos="9026"/>
      </w:tabs>
      <w:spacing w:after="0" w:line="240" w:lineRule="auto"/>
    </w:pPr>
    <w:rPr>
      <w:sz w:val="20"/>
      <w:szCs w:val="20"/>
      <w:lang w:val="en-GB" w:eastAsia="en-GB"/>
    </w:rPr>
  </w:style>
  <w:style w:type="character" w:customStyle="1" w:styleId="FooterChar">
    <w:name w:val="Footer Char"/>
    <w:basedOn w:val="DefaultParagraphFont"/>
    <w:link w:val="Footer"/>
    <w:uiPriority w:val="57"/>
    <w:rsid w:val="00391EA1"/>
    <w:rPr>
      <w:rFonts w:ascii="Calibri" w:eastAsia="Times New Roman" w:hAnsi="Calibri" w:cs="Times New Roman"/>
      <w:kern w:val="0"/>
      <w:sz w:val="20"/>
      <w:szCs w:val="20"/>
      <w:lang w:val="en-GB" w:eastAsia="en-GB"/>
      <w14:ligatures w14:val="none"/>
    </w:rPr>
  </w:style>
  <w:style w:type="character" w:styleId="Hyperlink">
    <w:name w:val="Hyperlink"/>
    <w:uiPriority w:val="99"/>
    <w:unhideWhenUsed/>
    <w:rsid w:val="00391EA1"/>
    <w:rPr>
      <w:color w:val="0000FF"/>
      <w:u w:val="single"/>
    </w:rPr>
  </w:style>
  <w:style w:type="paragraph" w:styleId="ListParagraph">
    <w:name w:val="List Paragraph"/>
    <w:basedOn w:val="Normal"/>
    <w:uiPriority w:val="34"/>
    <w:qFormat/>
    <w:rsid w:val="00391EA1"/>
    <w:pPr>
      <w:ind w:left="720"/>
      <w:contextualSpacing/>
    </w:pPr>
  </w:style>
  <w:style w:type="paragraph" w:styleId="BalloonText">
    <w:name w:val="Balloon Text"/>
    <w:basedOn w:val="Normal"/>
    <w:link w:val="BalloonTextChar"/>
    <w:uiPriority w:val="99"/>
    <w:semiHidden/>
    <w:unhideWhenUsed/>
    <w:rsid w:val="00391EA1"/>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391EA1"/>
    <w:rPr>
      <w:rFonts w:ascii="Tahoma" w:eastAsia="Times New Roman" w:hAnsi="Tahoma" w:cs="Times New Roman"/>
      <w:kern w:val="0"/>
      <w:sz w:val="16"/>
      <w:szCs w:val="16"/>
      <w:lang w:val="x-none" w:eastAsia="x-none"/>
      <w14:ligatures w14:val="none"/>
    </w:rPr>
  </w:style>
  <w:style w:type="paragraph" w:styleId="NoSpacing">
    <w:name w:val="No Spacing"/>
    <w:link w:val="NoSpacingChar"/>
    <w:uiPriority w:val="1"/>
    <w:qFormat/>
    <w:rsid w:val="00391EA1"/>
    <w:pPr>
      <w:spacing w:after="0" w:line="240" w:lineRule="auto"/>
    </w:pPr>
    <w:rPr>
      <w:rFonts w:ascii="Calibri" w:eastAsia="Times New Roman" w:hAnsi="Calibri" w:cs="Times New Roman"/>
      <w:kern w:val="0"/>
      <w14:ligatures w14:val="none"/>
    </w:rPr>
  </w:style>
  <w:style w:type="paragraph" w:customStyle="1" w:styleId="Default">
    <w:name w:val="Default"/>
    <w:rsid w:val="00391EA1"/>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FootnoteText">
    <w:name w:val="footnote text"/>
    <w:basedOn w:val="Normal"/>
    <w:link w:val="FootnoteTextChar"/>
    <w:uiPriority w:val="99"/>
    <w:semiHidden/>
    <w:unhideWhenUsed/>
    <w:rsid w:val="00391EA1"/>
    <w:rPr>
      <w:sz w:val="20"/>
      <w:szCs w:val="20"/>
    </w:rPr>
  </w:style>
  <w:style w:type="character" w:customStyle="1" w:styleId="FootnoteTextChar">
    <w:name w:val="Footnote Text Char"/>
    <w:basedOn w:val="DefaultParagraphFont"/>
    <w:link w:val="FootnoteText"/>
    <w:uiPriority w:val="99"/>
    <w:semiHidden/>
    <w:rsid w:val="00391EA1"/>
    <w:rPr>
      <w:rFonts w:ascii="Calibri" w:eastAsia="Times New Roman" w:hAnsi="Calibri" w:cs="Times New Roman"/>
      <w:kern w:val="0"/>
      <w:sz w:val="20"/>
      <w:szCs w:val="20"/>
      <w14:ligatures w14:val="none"/>
    </w:rPr>
  </w:style>
  <w:style w:type="character" w:styleId="FootnoteReference">
    <w:name w:val="footnote reference"/>
    <w:uiPriority w:val="99"/>
    <w:semiHidden/>
    <w:unhideWhenUsed/>
    <w:rsid w:val="00391EA1"/>
    <w:rPr>
      <w:vertAlign w:val="superscript"/>
    </w:rPr>
  </w:style>
  <w:style w:type="table" w:styleId="TableGrid">
    <w:name w:val="Table Grid"/>
    <w:basedOn w:val="TableNormal"/>
    <w:uiPriority w:val="59"/>
    <w:rsid w:val="00391EA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BookTitle">
    <w:name w:val="Book Title"/>
    <w:uiPriority w:val="99"/>
    <w:qFormat/>
    <w:rsid w:val="00391EA1"/>
    <w:rPr>
      <w:i/>
      <w:iCs/>
      <w:smallCaps/>
      <w:spacing w:val="5"/>
    </w:rPr>
  </w:style>
  <w:style w:type="paragraph" w:customStyle="1" w:styleId="ECHRHeader">
    <w:name w:val="ECHR_Header"/>
    <w:aliases w:val="Ju_Header"/>
    <w:basedOn w:val="Header"/>
    <w:uiPriority w:val="4"/>
    <w:qFormat/>
    <w:rsid w:val="00391EA1"/>
    <w:pPr>
      <w:tabs>
        <w:tab w:val="clear" w:pos="4513"/>
        <w:tab w:val="clear" w:pos="9026"/>
        <w:tab w:val="center" w:pos="3686"/>
        <w:tab w:val="right" w:pos="7371"/>
      </w:tabs>
    </w:pPr>
    <w:rPr>
      <w:rFonts w:ascii="Times New Roman" w:hAnsi="Times New Roman"/>
      <w:sz w:val="18"/>
      <w:lang w:eastAsia="x-none"/>
    </w:rPr>
  </w:style>
  <w:style w:type="paragraph" w:customStyle="1" w:styleId="DecHTitle">
    <w:name w:val="Dec_H_Title"/>
    <w:basedOn w:val="ECHRTitleCentre1"/>
    <w:uiPriority w:val="7"/>
    <w:semiHidden/>
    <w:qFormat/>
    <w:rsid w:val="00391EA1"/>
  </w:style>
  <w:style w:type="character" w:styleId="Strong">
    <w:name w:val="Strong"/>
    <w:uiPriority w:val="99"/>
    <w:qFormat/>
    <w:rsid w:val="00391EA1"/>
    <w:rPr>
      <w:b/>
      <w:bCs/>
    </w:rPr>
  </w:style>
  <w:style w:type="character" w:customStyle="1" w:styleId="NoSpacingChar">
    <w:name w:val="No Spacing Char"/>
    <w:link w:val="NoSpacing"/>
    <w:uiPriority w:val="1"/>
    <w:rsid w:val="00391EA1"/>
    <w:rPr>
      <w:rFonts w:ascii="Calibri" w:eastAsia="Times New Roman" w:hAnsi="Calibri" w:cs="Times New Roman"/>
      <w:kern w:val="0"/>
      <w14:ligatures w14:val="none"/>
    </w:rPr>
  </w:style>
  <w:style w:type="paragraph" w:customStyle="1" w:styleId="ECHRParaQuote">
    <w:name w:val="ECHR_Para_Quote"/>
    <w:aliases w:val="Ju_Quot"/>
    <w:basedOn w:val="Normal"/>
    <w:uiPriority w:val="14"/>
    <w:qFormat/>
    <w:rsid w:val="00391EA1"/>
    <w:pPr>
      <w:spacing w:before="120" w:after="120" w:line="240" w:lineRule="auto"/>
      <w:ind w:left="425" w:firstLine="142"/>
      <w:jc w:val="both"/>
    </w:pPr>
    <w:rPr>
      <w:rFonts w:ascii="Times New Roman" w:eastAsia="MS Mincho" w:hAnsi="Times New Roman"/>
      <w:sz w:val="20"/>
      <w:lang w:val="en-GB"/>
    </w:rPr>
  </w:style>
  <w:style w:type="paragraph" w:customStyle="1" w:styleId="DecList">
    <w:name w:val="Dec_List"/>
    <w:basedOn w:val="Normal"/>
    <w:uiPriority w:val="9"/>
    <w:semiHidden/>
    <w:qFormat/>
    <w:rsid w:val="00391EA1"/>
    <w:pPr>
      <w:spacing w:before="240" w:after="0" w:line="240" w:lineRule="auto"/>
      <w:ind w:left="284"/>
      <w:jc w:val="both"/>
    </w:pPr>
    <w:rPr>
      <w:rFonts w:ascii="Times New Roman" w:eastAsia="MS Mincho" w:hAnsi="Times New Roman"/>
      <w:sz w:val="24"/>
      <w:lang w:val="en-GB"/>
    </w:rPr>
  </w:style>
  <w:style w:type="paragraph" w:customStyle="1" w:styleId="DummyStyle">
    <w:name w:val="Dummy_Style"/>
    <w:basedOn w:val="Normal"/>
    <w:semiHidden/>
    <w:qFormat/>
    <w:rsid w:val="00391EA1"/>
    <w:pPr>
      <w:spacing w:after="0" w:line="240" w:lineRule="auto"/>
      <w:jc w:val="both"/>
    </w:pPr>
    <w:rPr>
      <w:rFonts w:ascii="Times New Roman" w:eastAsia="MS Mincho" w:hAnsi="Times New Roman"/>
      <w:color w:val="00B050"/>
      <w:sz w:val="24"/>
      <w:lang w:val="en-GB"/>
    </w:rPr>
  </w:style>
  <w:style w:type="paragraph" w:customStyle="1" w:styleId="JuAppQuestion">
    <w:name w:val="Ju_App_Question"/>
    <w:basedOn w:val="Normal"/>
    <w:uiPriority w:val="5"/>
    <w:semiHidden/>
    <w:qFormat/>
    <w:rsid w:val="00391EA1"/>
    <w:pPr>
      <w:numPr>
        <w:numId w:val="15"/>
      </w:numPr>
      <w:spacing w:after="0" w:line="240" w:lineRule="auto"/>
    </w:pPr>
    <w:rPr>
      <w:rFonts w:ascii="Times New Roman" w:eastAsia="MS Mincho" w:hAnsi="Times New Roman"/>
      <w:b/>
      <w:sz w:val="24"/>
      <w:lang w:val="en-GB"/>
    </w:rPr>
  </w:style>
  <w:style w:type="paragraph" w:customStyle="1" w:styleId="JuCourt">
    <w:name w:val="Ju_Court"/>
    <w:basedOn w:val="Normal"/>
    <w:next w:val="Normal"/>
    <w:uiPriority w:val="16"/>
    <w:qFormat/>
    <w:rsid w:val="00391EA1"/>
    <w:pPr>
      <w:tabs>
        <w:tab w:val="left" w:pos="907"/>
        <w:tab w:val="left" w:pos="1701"/>
        <w:tab w:val="right" w:pos="7371"/>
      </w:tabs>
      <w:spacing w:before="240" w:after="0" w:line="240" w:lineRule="auto"/>
      <w:ind w:left="397" w:hanging="397"/>
    </w:pPr>
    <w:rPr>
      <w:rFonts w:ascii="Times New Roman" w:eastAsia="MS Mincho" w:hAnsi="Times New Roman"/>
      <w:sz w:val="24"/>
      <w:lang w:val="en-GB" w:bidi="en-US"/>
    </w:rPr>
  </w:style>
  <w:style w:type="paragraph" w:customStyle="1" w:styleId="ECHRTitleCentre3">
    <w:name w:val="ECHR_Title_Centre_3"/>
    <w:aliases w:val="Ju_H_Article"/>
    <w:basedOn w:val="Normal"/>
    <w:next w:val="ECHRParaQuote"/>
    <w:uiPriority w:val="27"/>
    <w:qFormat/>
    <w:rsid w:val="00391EA1"/>
    <w:pPr>
      <w:keepNext/>
      <w:keepLines/>
      <w:spacing w:before="240" w:after="120" w:line="240" w:lineRule="auto"/>
      <w:jc w:val="center"/>
      <w:outlineLvl w:val="3"/>
    </w:pPr>
    <w:rPr>
      <w:rFonts w:ascii="Times New Roman" w:eastAsia="MS Mincho" w:hAnsi="Times New Roman"/>
      <w:b/>
      <w:sz w:val="20"/>
      <w:lang w:val="en-GB" w:bidi="en-US"/>
    </w:rPr>
  </w:style>
  <w:style w:type="paragraph" w:customStyle="1" w:styleId="ECHRTitleCentre1">
    <w:name w:val="ECHR_Title_Centre_1"/>
    <w:aliases w:val="Opi_H_Head"/>
    <w:basedOn w:val="Normal"/>
    <w:next w:val="OpiPara"/>
    <w:uiPriority w:val="39"/>
    <w:qFormat/>
    <w:rsid w:val="00391EA1"/>
    <w:pPr>
      <w:keepNext/>
      <w:keepLines/>
      <w:spacing w:after="240" w:line="240" w:lineRule="auto"/>
      <w:jc w:val="center"/>
      <w:outlineLvl w:val="0"/>
    </w:pPr>
    <w:rPr>
      <w:rFonts w:ascii="Times New Roman" w:eastAsia="MS Mincho" w:hAnsi="Times New Roman"/>
      <w:sz w:val="28"/>
      <w:lang w:val="en-GB"/>
    </w:rPr>
  </w:style>
  <w:style w:type="paragraph" w:customStyle="1" w:styleId="JuHeaderLandscape">
    <w:name w:val="Ju_Header_Landscape"/>
    <w:basedOn w:val="ECHRHeader"/>
    <w:uiPriority w:val="4"/>
    <w:qFormat/>
    <w:rsid w:val="00391EA1"/>
    <w:pPr>
      <w:tabs>
        <w:tab w:val="clear" w:pos="3686"/>
        <w:tab w:val="clear" w:pos="7371"/>
        <w:tab w:val="center" w:pos="6146"/>
        <w:tab w:val="right" w:pos="12293"/>
      </w:tabs>
    </w:pPr>
  </w:style>
  <w:style w:type="paragraph" w:customStyle="1" w:styleId="ECHRTitle1">
    <w:name w:val="ECHR_Title_1"/>
    <w:aliases w:val="Ju_H_Head"/>
    <w:basedOn w:val="Normal"/>
    <w:next w:val="ECHRPara"/>
    <w:uiPriority w:val="18"/>
    <w:qFormat/>
    <w:rsid w:val="00391EA1"/>
    <w:pPr>
      <w:keepNext/>
      <w:keepLines/>
      <w:spacing w:before="720" w:after="240" w:line="240" w:lineRule="auto"/>
      <w:jc w:val="both"/>
      <w:outlineLvl w:val="0"/>
    </w:pPr>
    <w:rPr>
      <w:rFonts w:ascii="Times New Roman" w:eastAsia="MS Mincho" w:hAnsi="Times New Roman"/>
      <w:sz w:val="28"/>
      <w:lang w:val="en-GB"/>
    </w:rPr>
  </w:style>
  <w:style w:type="paragraph" w:customStyle="1" w:styleId="JuInitialled">
    <w:name w:val="Ju_Initialled"/>
    <w:basedOn w:val="Normal"/>
    <w:uiPriority w:val="31"/>
    <w:qFormat/>
    <w:rsid w:val="00391EA1"/>
    <w:pPr>
      <w:tabs>
        <w:tab w:val="center" w:pos="6407"/>
      </w:tabs>
      <w:spacing w:before="720" w:after="0" w:line="240" w:lineRule="auto"/>
      <w:jc w:val="right"/>
    </w:pPr>
    <w:rPr>
      <w:rFonts w:ascii="Times New Roman" w:eastAsia="MS Mincho" w:hAnsi="Times New Roman"/>
      <w:sz w:val="24"/>
      <w:lang w:val="en-GB"/>
    </w:rPr>
  </w:style>
  <w:style w:type="paragraph" w:customStyle="1" w:styleId="JuSigned">
    <w:name w:val="Ju_Signed"/>
    <w:basedOn w:val="Normal"/>
    <w:next w:val="JuParaLast"/>
    <w:uiPriority w:val="32"/>
    <w:qFormat/>
    <w:rsid w:val="00391EA1"/>
    <w:pPr>
      <w:tabs>
        <w:tab w:val="center" w:pos="851"/>
        <w:tab w:val="center" w:pos="6407"/>
      </w:tabs>
      <w:spacing w:before="720" w:after="0" w:line="240" w:lineRule="auto"/>
    </w:pPr>
    <w:rPr>
      <w:rFonts w:ascii="Times New Roman" w:eastAsia="MS Mincho" w:hAnsi="Times New Roman"/>
      <w:sz w:val="24"/>
      <w:lang w:val="en-GB"/>
    </w:rPr>
  </w:style>
  <w:style w:type="paragraph" w:styleId="Title">
    <w:name w:val="Title"/>
    <w:basedOn w:val="Normal"/>
    <w:next w:val="Normal"/>
    <w:link w:val="TitleChar"/>
    <w:uiPriority w:val="99"/>
    <w:qFormat/>
    <w:rsid w:val="00391EA1"/>
    <w:pPr>
      <w:pBdr>
        <w:bottom w:val="single" w:sz="4" w:space="1" w:color="auto"/>
      </w:pBdr>
      <w:spacing w:after="0" w:line="240" w:lineRule="auto"/>
      <w:contextualSpacing/>
      <w:jc w:val="both"/>
    </w:pPr>
    <w:rPr>
      <w:rFonts w:ascii="Times New Roman" w:eastAsia="MS Gothic" w:hAnsi="Times New Roman"/>
      <w:spacing w:val="5"/>
      <w:sz w:val="52"/>
      <w:szCs w:val="52"/>
      <w:lang w:val="x-none" w:eastAsia="x-none" w:bidi="en-US"/>
    </w:rPr>
  </w:style>
  <w:style w:type="character" w:customStyle="1" w:styleId="TitleChar">
    <w:name w:val="Title Char"/>
    <w:basedOn w:val="DefaultParagraphFont"/>
    <w:link w:val="Title"/>
    <w:uiPriority w:val="99"/>
    <w:rsid w:val="00391EA1"/>
    <w:rPr>
      <w:rFonts w:ascii="Times New Roman" w:eastAsia="MS Gothic" w:hAnsi="Times New Roman" w:cs="Times New Roman"/>
      <w:spacing w:val="5"/>
      <w:kern w:val="0"/>
      <w:sz w:val="52"/>
      <w:szCs w:val="52"/>
      <w:lang w:val="x-none" w:eastAsia="x-none" w:bidi="en-US"/>
      <w14:ligatures w14:val="none"/>
    </w:rPr>
  </w:style>
  <w:style w:type="character" w:customStyle="1" w:styleId="JuITMark">
    <w:name w:val="Ju_ITMark"/>
    <w:uiPriority w:val="38"/>
    <w:qFormat/>
    <w:rsid w:val="00391EA1"/>
    <w:rPr>
      <w:vanish w:val="0"/>
      <w:color w:val="auto"/>
      <w:sz w:val="14"/>
      <w:bdr w:val="none" w:sz="0" w:space="0" w:color="auto"/>
      <w:shd w:val="clear" w:color="auto" w:fill="BEE5FF"/>
    </w:rPr>
  </w:style>
  <w:style w:type="paragraph" w:customStyle="1" w:styleId="JuLista">
    <w:name w:val="Ju_List_a"/>
    <w:basedOn w:val="JuList"/>
    <w:uiPriority w:val="28"/>
    <w:qFormat/>
    <w:rsid w:val="00391EA1"/>
    <w:pPr>
      <w:ind w:left="346" w:firstLine="0"/>
    </w:pPr>
  </w:style>
  <w:style w:type="paragraph" w:customStyle="1" w:styleId="JuListi">
    <w:name w:val="Ju_List_i"/>
    <w:basedOn w:val="Normal"/>
    <w:next w:val="JuLista"/>
    <w:uiPriority w:val="28"/>
    <w:qFormat/>
    <w:rsid w:val="00391EA1"/>
    <w:pPr>
      <w:spacing w:after="0" w:line="240" w:lineRule="auto"/>
      <w:ind w:left="794"/>
      <w:jc w:val="both"/>
    </w:pPr>
    <w:rPr>
      <w:rFonts w:ascii="Times New Roman" w:eastAsia="MS Mincho" w:hAnsi="Times New Roman"/>
      <w:sz w:val="24"/>
      <w:lang w:val="en-GB"/>
    </w:rPr>
  </w:style>
  <w:style w:type="character" w:customStyle="1" w:styleId="JUNAMES">
    <w:name w:val="JU_NAMES"/>
    <w:uiPriority w:val="17"/>
    <w:qFormat/>
    <w:rsid w:val="00391EA1"/>
    <w:rPr>
      <w:caps w:val="0"/>
      <w:smallCaps/>
    </w:rPr>
  </w:style>
  <w:style w:type="paragraph" w:customStyle="1" w:styleId="JuParaSub">
    <w:name w:val="Ju_Para_Sub"/>
    <w:basedOn w:val="ECHRPara"/>
    <w:uiPriority w:val="13"/>
    <w:qFormat/>
    <w:rsid w:val="00391EA1"/>
    <w:pPr>
      <w:ind w:left="284"/>
    </w:pPr>
  </w:style>
  <w:style w:type="paragraph" w:customStyle="1" w:styleId="ECHRHeading1">
    <w:name w:val="ECHR_Heading_1"/>
    <w:aliases w:val="Ju_H_I_Roman"/>
    <w:basedOn w:val="Heading1"/>
    <w:next w:val="ECHRPara"/>
    <w:uiPriority w:val="19"/>
    <w:qFormat/>
    <w:rsid w:val="00391EA1"/>
  </w:style>
  <w:style w:type="paragraph" w:customStyle="1" w:styleId="ECHRHeading2">
    <w:name w:val="ECHR_Heading_2"/>
    <w:aliases w:val="Ju_H_A"/>
    <w:basedOn w:val="Heading2"/>
    <w:next w:val="ECHRPara"/>
    <w:uiPriority w:val="20"/>
    <w:qFormat/>
    <w:rsid w:val="00391EA1"/>
  </w:style>
  <w:style w:type="paragraph" w:customStyle="1" w:styleId="ECHRHeading3">
    <w:name w:val="ECHR_Heading_3"/>
    <w:aliases w:val="Ju_H_1."/>
    <w:basedOn w:val="Heading3"/>
    <w:next w:val="ECHRPara"/>
    <w:uiPriority w:val="21"/>
    <w:qFormat/>
    <w:rsid w:val="00391EA1"/>
  </w:style>
  <w:style w:type="paragraph" w:customStyle="1" w:styleId="ECHRHeading4">
    <w:name w:val="ECHR_Heading_4"/>
    <w:aliases w:val="Ju_H_a"/>
    <w:basedOn w:val="Heading4"/>
    <w:next w:val="ECHRPara"/>
    <w:uiPriority w:val="22"/>
    <w:qFormat/>
    <w:rsid w:val="00391EA1"/>
  </w:style>
  <w:style w:type="paragraph" w:customStyle="1" w:styleId="ECHRHeading5">
    <w:name w:val="ECHR_Heading_5"/>
    <w:aliases w:val="Ju_H_i"/>
    <w:basedOn w:val="Heading5"/>
    <w:next w:val="ECHRPara"/>
    <w:uiPriority w:val="23"/>
    <w:qFormat/>
    <w:rsid w:val="00391EA1"/>
  </w:style>
  <w:style w:type="paragraph" w:customStyle="1" w:styleId="ECHRHeading6">
    <w:name w:val="ECHR_Heading_6"/>
    <w:aliases w:val="Ju_H_alpha"/>
    <w:basedOn w:val="Heading6"/>
    <w:next w:val="ECHRPara"/>
    <w:uiPriority w:val="24"/>
    <w:qFormat/>
    <w:rsid w:val="00391EA1"/>
  </w:style>
  <w:style w:type="paragraph" w:customStyle="1" w:styleId="ECHRHeading7">
    <w:name w:val="ECHR_Heading_7"/>
    <w:aliases w:val="Ju_H_–"/>
    <w:basedOn w:val="Heading7"/>
    <w:next w:val="ECHRPara"/>
    <w:uiPriority w:val="25"/>
    <w:qFormat/>
    <w:rsid w:val="00391EA1"/>
  </w:style>
  <w:style w:type="paragraph" w:customStyle="1" w:styleId="JuParaLast">
    <w:name w:val="Ju_Para_Last"/>
    <w:basedOn w:val="Normal"/>
    <w:next w:val="ECHRPara"/>
    <w:uiPriority w:val="30"/>
    <w:qFormat/>
    <w:rsid w:val="00391EA1"/>
    <w:pPr>
      <w:keepNext/>
      <w:keepLines/>
      <w:spacing w:before="240" w:after="0" w:line="240" w:lineRule="auto"/>
      <w:ind w:firstLine="284"/>
      <w:jc w:val="both"/>
    </w:pPr>
    <w:rPr>
      <w:rFonts w:ascii="Times New Roman" w:eastAsia="MS Mincho" w:hAnsi="Times New Roman"/>
      <w:sz w:val="24"/>
      <w:lang w:val="en-GB"/>
    </w:rPr>
  </w:style>
  <w:style w:type="paragraph" w:customStyle="1" w:styleId="ECHRDecisionBody">
    <w:name w:val="ECHR_Decision_Body"/>
    <w:aliases w:val="Ju_Judges"/>
    <w:basedOn w:val="Normal"/>
    <w:uiPriority w:val="11"/>
    <w:qFormat/>
    <w:rsid w:val="00391EA1"/>
    <w:pPr>
      <w:tabs>
        <w:tab w:val="left" w:pos="567"/>
        <w:tab w:val="left" w:pos="1134"/>
      </w:tabs>
      <w:spacing w:after="0" w:line="240" w:lineRule="auto"/>
    </w:pPr>
    <w:rPr>
      <w:rFonts w:ascii="Times New Roman" w:eastAsia="MS Mincho" w:hAnsi="Times New Roman"/>
      <w:sz w:val="24"/>
      <w:lang w:val="en-GB"/>
    </w:rPr>
  </w:style>
  <w:style w:type="paragraph" w:customStyle="1" w:styleId="JuList">
    <w:name w:val="Ju_List"/>
    <w:basedOn w:val="Normal"/>
    <w:uiPriority w:val="28"/>
    <w:qFormat/>
    <w:rsid w:val="00391EA1"/>
    <w:pPr>
      <w:spacing w:after="0" w:line="240" w:lineRule="auto"/>
      <w:ind w:left="340" w:hanging="340"/>
      <w:jc w:val="both"/>
    </w:pPr>
    <w:rPr>
      <w:rFonts w:ascii="Times New Roman" w:eastAsia="MS Mincho" w:hAnsi="Times New Roman"/>
      <w:sz w:val="24"/>
      <w:lang w:val="en-GB"/>
    </w:rPr>
  </w:style>
  <w:style w:type="paragraph" w:customStyle="1" w:styleId="JuQuotSub">
    <w:name w:val="Ju_Quot_Sub"/>
    <w:basedOn w:val="ECHRParaQuote"/>
    <w:uiPriority w:val="15"/>
    <w:qFormat/>
    <w:rsid w:val="00391EA1"/>
    <w:pPr>
      <w:ind w:left="567"/>
    </w:pPr>
  </w:style>
  <w:style w:type="paragraph" w:customStyle="1" w:styleId="JuTitle">
    <w:name w:val="Ju_Title"/>
    <w:basedOn w:val="Normal"/>
    <w:next w:val="ECHRPara"/>
    <w:uiPriority w:val="3"/>
    <w:semiHidden/>
    <w:qFormat/>
    <w:rsid w:val="00391EA1"/>
    <w:pPr>
      <w:spacing w:before="720" w:after="240" w:line="240" w:lineRule="auto"/>
      <w:jc w:val="center"/>
      <w:outlineLvl w:val="0"/>
    </w:pPr>
    <w:rPr>
      <w:rFonts w:ascii="Times New Roman" w:eastAsia="MS Mincho" w:hAnsi="Times New Roman"/>
      <w:b/>
      <w:caps/>
      <w:sz w:val="24"/>
      <w:lang w:val="en-GB"/>
    </w:rPr>
  </w:style>
  <w:style w:type="character" w:styleId="SubtleEmphasis">
    <w:name w:val="Subtle Emphasis"/>
    <w:uiPriority w:val="99"/>
    <w:qFormat/>
    <w:rsid w:val="00391EA1"/>
    <w:rPr>
      <w:i/>
      <w:iCs/>
    </w:rPr>
  </w:style>
  <w:style w:type="paragraph" w:customStyle="1" w:styleId="OpiH1">
    <w:name w:val="Opi_H_1"/>
    <w:basedOn w:val="ECHRHeading2"/>
    <w:uiPriority w:val="42"/>
    <w:qFormat/>
    <w:rsid w:val="00391EA1"/>
    <w:pPr>
      <w:keepLines/>
      <w:numPr>
        <w:ilvl w:val="0"/>
        <w:numId w:val="0"/>
      </w:numPr>
      <w:tabs>
        <w:tab w:val="left" w:pos="584"/>
      </w:tabs>
      <w:spacing w:before="360" w:after="240" w:line="240" w:lineRule="auto"/>
      <w:ind w:left="635" w:hanging="357"/>
      <w:jc w:val="both"/>
      <w:outlineLvl w:val="2"/>
    </w:pPr>
    <w:rPr>
      <w:rFonts w:ascii="Times New Roman" w:eastAsia="MS Gothic" w:hAnsi="Times New Roman"/>
      <w:i w:val="0"/>
      <w:iCs w:val="0"/>
      <w:sz w:val="24"/>
      <w:szCs w:val="26"/>
      <w:lang w:val="en-GB" w:eastAsia="x-none"/>
    </w:rPr>
  </w:style>
  <w:style w:type="table" w:customStyle="1" w:styleId="ECHRTable">
    <w:name w:val="ECHR_Table"/>
    <w:basedOn w:val="TableNormal"/>
    <w:rsid w:val="00391EA1"/>
    <w:pPr>
      <w:spacing w:after="0" w:line="240" w:lineRule="auto"/>
    </w:pPr>
    <w:rPr>
      <w:rFonts w:ascii="Times New Roman" w:eastAsia="Times New Roman" w:hAnsi="Times New Roman" w:cs="Times New Roman"/>
      <w:kern w:val="0"/>
      <w:sz w:val="20"/>
      <w:szCs w:val="20"/>
      <w:lang w:val="en-GB"/>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391EA1"/>
    <w:pPr>
      <w:spacing w:after="0" w:line="240" w:lineRule="auto"/>
    </w:pPr>
    <w:rPr>
      <w:rFonts w:ascii="Verdana" w:eastAsia="Times New Roman" w:hAnsi="Verdana" w:cs="Times New Roman"/>
      <w:kern w:val="0"/>
      <w:sz w:val="20"/>
      <w:szCs w:val="20"/>
      <w:lang w:val="en-GB"/>
      <w14:ligatures w14:val="none"/>
    </w:rPr>
    <w:tblPr>
      <w:tblCellMar>
        <w:top w:w="57" w:type="dxa"/>
        <w:left w:w="57" w:type="dxa"/>
        <w:bottom w:w="57" w:type="dxa"/>
        <w:right w:w="57" w:type="dxa"/>
      </w:tblCellMar>
    </w:tblPr>
    <w:tcPr>
      <w:shd w:val="clear" w:color="auto" w:fill="F8F8F8"/>
    </w:tcPr>
    <w:tblStylePr w:type="firstCol">
      <w:rPr>
        <w:b/>
        <w:color w:val="5F5F5F"/>
      </w:rPr>
    </w:tblStylePr>
  </w:style>
  <w:style w:type="paragraph" w:customStyle="1" w:styleId="OpiHa">
    <w:name w:val="Opi_H_a"/>
    <w:basedOn w:val="ECHRHeading3"/>
    <w:uiPriority w:val="43"/>
    <w:qFormat/>
    <w:rsid w:val="00391EA1"/>
    <w:pPr>
      <w:keepLines/>
      <w:numPr>
        <w:ilvl w:val="0"/>
        <w:numId w:val="0"/>
      </w:numPr>
      <w:tabs>
        <w:tab w:val="left" w:pos="731"/>
      </w:tabs>
      <w:spacing w:after="120" w:line="240" w:lineRule="auto"/>
      <w:ind w:left="833" w:hanging="357"/>
      <w:jc w:val="both"/>
      <w:outlineLvl w:val="3"/>
    </w:pPr>
    <w:rPr>
      <w:rFonts w:ascii="Times New Roman" w:eastAsia="MS Gothic" w:hAnsi="Times New Roman"/>
      <w:sz w:val="20"/>
      <w:szCs w:val="20"/>
      <w:lang w:val="en-GB" w:eastAsia="x-none"/>
    </w:rPr>
  </w:style>
  <w:style w:type="paragraph" w:customStyle="1" w:styleId="OpiHA0">
    <w:name w:val="Opi_H_A"/>
    <w:basedOn w:val="ECHRHeading1"/>
    <w:next w:val="OpiPara"/>
    <w:uiPriority w:val="41"/>
    <w:qFormat/>
    <w:rsid w:val="00391EA1"/>
    <w:pPr>
      <w:keepLines/>
      <w:numPr>
        <w:numId w:val="0"/>
      </w:numPr>
      <w:spacing w:before="360" w:after="240" w:line="240" w:lineRule="auto"/>
      <w:ind w:left="357" w:hanging="357"/>
      <w:jc w:val="both"/>
      <w:outlineLvl w:val="1"/>
    </w:pPr>
    <w:rPr>
      <w:rFonts w:ascii="Times New Roman" w:eastAsia="MS Gothic" w:hAnsi="Times New Roman"/>
      <w:kern w:val="0"/>
      <w:sz w:val="24"/>
      <w:szCs w:val="28"/>
      <w:lang w:val="en-GB" w:eastAsia="x-none"/>
    </w:rPr>
  </w:style>
  <w:style w:type="paragraph" w:customStyle="1" w:styleId="OpiHi">
    <w:name w:val="Opi_H_i"/>
    <w:basedOn w:val="ECHRHeading4"/>
    <w:uiPriority w:val="44"/>
    <w:qFormat/>
    <w:rsid w:val="00391EA1"/>
    <w:pPr>
      <w:keepLines/>
      <w:numPr>
        <w:ilvl w:val="0"/>
        <w:numId w:val="0"/>
      </w:numPr>
      <w:tabs>
        <w:tab w:val="left" w:pos="975"/>
      </w:tabs>
      <w:spacing w:after="120" w:line="240" w:lineRule="auto"/>
      <w:ind w:left="1037" w:hanging="357"/>
      <w:jc w:val="both"/>
      <w:outlineLvl w:val="4"/>
    </w:pPr>
    <w:rPr>
      <w:rFonts w:ascii="Times New Roman" w:eastAsia="MS Gothic" w:hAnsi="Times New Roman"/>
      <w:b w:val="0"/>
      <w:i/>
      <w:iCs/>
      <w:sz w:val="20"/>
      <w:szCs w:val="20"/>
      <w:lang w:val="en-GB" w:eastAsia="x-none"/>
    </w:rPr>
  </w:style>
  <w:style w:type="character" w:styleId="Emphasis">
    <w:name w:val="Emphasis"/>
    <w:uiPriority w:val="99"/>
    <w:qFormat/>
    <w:rsid w:val="00391EA1"/>
    <w:rPr>
      <w:b/>
      <w:bCs/>
      <w:i/>
      <w:iCs/>
      <w:spacing w:val="10"/>
      <w:bdr w:val="none" w:sz="0" w:space="0" w:color="auto"/>
      <w:shd w:val="clear" w:color="auto" w:fill="auto"/>
    </w:rPr>
  </w:style>
  <w:style w:type="character" w:styleId="IntenseEmphasis">
    <w:name w:val="Intense Emphasis"/>
    <w:uiPriority w:val="99"/>
    <w:qFormat/>
    <w:rsid w:val="00391EA1"/>
    <w:rPr>
      <w:b/>
      <w:bCs/>
    </w:rPr>
  </w:style>
  <w:style w:type="paragraph" w:styleId="IntenseQuote">
    <w:name w:val="Intense Quote"/>
    <w:basedOn w:val="Normal"/>
    <w:next w:val="Normal"/>
    <w:link w:val="IntenseQuoteChar"/>
    <w:uiPriority w:val="99"/>
    <w:qFormat/>
    <w:rsid w:val="00391EA1"/>
    <w:pPr>
      <w:pBdr>
        <w:bottom w:val="single" w:sz="4" w:space="1" w:color="auto"/>
      </w:pBdr>
      <w:spacing w:before="200" w:after="280" w:line="240" w:lineRule="auto"/>
      <w:ind w:left="1008" w:right="1152"/>
      <w:jc w:val="both"/>
    </w:pPr>
    <w:rPr>
      <w:rFonts w:ascii="Times New Roman" w:eastAsia="MS Mincho" w:hAnsi="Times New Roman"/>
      <w:b/>
      <w:bCs/>
      <w:i/>
      <w:iCs/>
      <w:sz w:val="20"/>
      <w:szCs w:val="20"/>
      <w:lang w:val="x-none" w:eastAsia="x-none" w:bidi="en-US"/>
    </w:rPr>
  </w:style>
  <w:style w:type="character" w:customStyle="1" w:styleId="IntenseQuoteChar">
    <w:name w:val="Intense Quote Char"/>
    <w:basedOn w:val="DefaultParagraphFont"/>
    <w:link w:val="IntenseQuote"/>
    <w:uiPriority w:val="99"/>
    <w:rsid w:val="00391EA1"/>
    <w:rPr>
      <w:rFonts w:ascii="Times New Roman" w:eastAsia="MS Mincho" w:hAnsi="Times New Roman" w:cs="Times New Roman"/>
      <w:b/>
      <w:bCs/>
      <w:i/>
      <w:iCs/>
      <w:kern w:val="0"/>
      <w:sz w:val="20"/>
      <w:szCs w:val="20"/>
      <w:lang w:val="x-none" w:eastAsia="x-none" w:bidi="en-US"/>
      <w14:ligatures w14:val="none"/>
    </w:rPr>
  </w:style>
  <w:style w:type="character" w:styleId="IntenseReference">
    <w:name w:val="Intense Reference"/>
    <w:uiPriority w:val="99"/>
    <w:qFormat/>
    <w:rsid w:val="00391EA1"/>
    <w:rPr>
      <w:smallCaps/>
      <w:spacing w:val="5"/>
      <w:u w:val="single"/>
    </w:rPr>
  </w:style>
  <w:style w:type="table" w:customStyle="1" w:styleId="LtrTableAddress">
    <w:name w:val="Ltr_Table_Address"/>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5103" w:type="dxa"/>
    </w:tblPr>
  </w:style>
  <w:style w:type="paragraph" w:styleId="Quote">
    <w:name w:val="Quote"/>
    <w:basedOn w:val="Normal"/>
    <w:next w:val="Normal"/>
    <w:link w:val="QuoteChar"/>
    <w:uiPriority w:val="99"/>
    <w:qFormat/>
    <w:rsid w:val="00391EA1"/>
    <w:pPr>
      <w:spacing w:before="200" w:after="0" w:line="240" w:lineRule="auto"/>
      <w:ind w:left="360" w:right="360"/>
      <w:jc w:val="both"/>
    </w:pPr>
    <w:rPr>
      <w:rFonts w:ascii="Times New Roman" w:eastAsia="MS Mincho" w:hAnsi="Times New Roman"/>
      <w:i/>
      <w:iCs/>
      <w:sz w:val="20"/>
      <w:szCs w:val="20"/>
      <w:lang w:val="x-none" w:eastAsia="x-none" w:bidi="en-US"/>
    </w:rPr>
  </w:style>
  <w:style w:type="character" w:customStyle="1" w:styleId="QuoteChar">
    <w:name w:val="Quote Char"/>
    <w:basedOn w:val="DefaultParagraphFont"/>
    <w:link w:val="Quote"/>
    <w:uiPriority w:val="99"/>
    <w:rsid w:val="00391EA1"/>
    <w:rPr>
      <w:rFonts w:ascii="Times New Roman" w:eastAsia="MS Mincho" w:hAnsi="Times New Roman" w:cs="Times New Roman"/>
      <w:i/>
      <w:iCs/>
      <w:kern w:val="0"/>
      <w:sz w:val="20"/>
      <w:szCs w:val="20"/>
      <w:lang w:val="x-none" w:eastAsia="x-none" w:bidi="en-US"/>
      <w14:ligatures w14:val="none"/>
    </w:rPr>
  </w:style>
  <w:style w:type="character" w:styleId="SubtleReference">
    <w:name w:val="Subtle Reference"/>
    <w:uiPriority w:val="99"/>
    <w:qFormat/>
    <w:rsid w:val="00391EA1"/>
    <w:rPr>
      <w:smallCaps/>
    </w:rPr>
  </w:style>
  <w:style w:type="paragraph" w:styleId="TOC1">
    <w:name w:val="toc 1"/>
    <w:basedOn w:val="Normal"/>
    <w:next w:val="Normal"/>
    <w:autoRedefine/>
    <w:uiPriority w:val="99"/>
    <w:semiHidden/>
    <w:rsid w:val="00391EA1"/>
    <w:pPr>
      <w:keepNext/>
      <w:tabs>
        <w:tab w:val="right" w:leader="dot" w:pos="7371"/>
      </w:tabs>
      <w:spacing w:before="160" w:after="60" w:line="240" w:lineRule="exact"/>
      <w:ind w:left="340" w:right="567" w:hanging="340"/>
      <w:jc w:val="both"/>
    </w:pPr>
    <w:rPr>
      <w:rFonts w:ascii="Times New Roman" w:eastAsia="MS Mincho" w:hAnsi="Times New Roman"/>
      <w:b/>
      <w:lang w:val="en-GB"/>
    </w:rPr>
  </w:style>
  <w:style w:type="paragraph" w:styleId="TOC2">
    <w:name w:val="toc 2"/>
    <w:basedOn w:val="Normal"/>
    <w:next w:val="Normal"/>
    <w:autoRedefine/>
    <w:uiPriority w:val="99"/>
    <w:semiHidden/>
    <w:rsid w:val="00391EA1"/>
    <w:pPr>
      <w:keepNext/>
      <w:tabs>
        <w:tab w:val="right" w:leader="dot" w:pos="7371"/>
      </w:tabs>
      <w:spacing w:after="60" w:line="240" w:lineRule="exact"/>
      <w:ind w:left="680" w:right="567" w:hanging="340"/>
      <w:jc w:val="both"/>
    </w:pPr>
    <w:rPr>
      <w:rFonts w:ascii="Times New Roman" w:eastAsia="MS Mincho" w:hAnsi="Times New Roman"/>
      <w:lang w:val="en-GB"/>
    </w:rPr>
  </w:style>
  <w:style w:type="paragraph" w:styleId="TOC3">
    <w:name w:val="toc 3"/>
    <w:basedOn w:val="Normal"/>
    <w:next w:val="Normal"/>
    <w:autoRedefine/>
    <w:uiPriority w:val="99"/>
    <w:semiHidden/>
    <w:rsid w:val="00391EA1"/>
    <w:pPr>
      <w:keepNext/>
      <w:tabs>
        <w:tab w:val="right" w:leader="dot" w:pos="7371"/>
      </w:tabs>
      <w:spacing w:after="60" w:line="240" w:lineRule="exact"/>
      <w:ind w:left="1020" w:right="567" w:hanging="340"/>
      <w:jc w:val="both"/>
    </w:pPr>
    <w:rPr>
      <w:rFonts w:ascii="Times New Roman" w:eastAsia="MS Mincho" w:hAnsi="Times New Roman"/>
      <w:sz w:val="20"/>
      <w:lang w:val="en-GB"/>
    </w:rPr>
  </w:style>
  <w:style w:type="paragraph" w:styleId="TOC4">
    <w:name w:val="toc 4"/>
    <w:basedOn w:val="Normal"/>
    <w:next w:val="Normal"/>
    <w:autoRedefine/>
    <w:uiPriority w:val="99"/>
    <w:semiHidden/>
    <w:rsid w:val="00391EA1"/>
    <w:pPr>
      <w:tabs>
        <w:tab w:val="right" w:leader="dot" w:pos="7371"/>
      </w:tabs>
      <w:spacing w:after="60" w:line="240" w:lineRule="exact"/>
      <w:ind w:left="1361" w:right="567" w:hanging="340"/>
      <w:jc w:val="both"/>
    </w:pPr>
    <w:rPr>
      <w:rFonts w:ascii="Times New Roman" w:eastAsia="MS Mincho" w:hAnsi="Times New Roman"/>
      <w:sz w:val="20"/>
      <w:lang w:val="en-GB"/>
    </w:rPr>
  </w:style>
  <w:style w:type="paragraph" w:styleId="TOC5">
    <w:name w:val="toc 5"/>
    <w:basedOn w:val="Normal"/>
    <w:next w:val="Normal"/>
    <w:autoRedefine/>
    <w:uiPriority w:val="99"/>
    <w:semiHidden/>
    <w:rsid w:val="00391EA1"/>
    <w:pPr>
      <w:tabs>
        <w:tab w:val="right" w:leader="dot" w:pos="7371"/>
      </w:tabs>
      <w:spacing w:after="60" w:line="240" w:lineRule="exact"/>
      <w:ind w:left="1701" w:right="567" w:hanging="340"/>
      <w:jc w:val="both"/>
    </w:pPr>
    <w:rPr>
      <w:rFonts w:ascii="Times New Roman" w:eastAsia="MS Mincho" w:hAnsi="Times New Roman"/>
      <w:sz w:val="20"/>
      <w:lang w:val="en-GB"/>
    </w:rPr>
  </w:style>
  <w:style w:type="paragraph" w:styleId="TOCHeading">
    <w:name w:val="TOC Heading"/>
    <w:basedOn w:val="Normal"/>
    <w:next w:val="Normal"/>
    <w:uiPriority w:val="99"/>
    <w:semiHidden/>
    <w:qFormat/>
    <w:rsid w:val="00391EA1"/>
    <w:pPr>
      <w:keepNext/>
      <w:spacing w:before="240" w:after="60"/>
    </w:pPr>
    <w:rPr>
      <w:rFonts w:ascii="Calibri Light" w:hAnsi="Calibri Light"/>
      <w:kern w:val="32"/>
      <w:sz w:val="32"/>
      <w:szCs w:val="32"/>
    </w:rPr>
  </w:style>
  <w:style w:type="table" w:customStyle="1" w:styleId="UGTable">
    <w:name w:val="UG_Table"/>
    <w:basedOn w:val="TableNormal"/>
    <w:uiPriority w:val="99"/>
    <w:rsid w:val="00391EA1"/>
    <w:pPr>
      <w:spacing w:after="0" w:line="240" w:lineRule="auto"/>
    </w:pPr>
    <w:rPr>
      <w:rFonts w:ascii="Times New Roman" w:eastAsia="MS Mincho" w:hAnsi="Times New Roman" w:cs="Times New Roman"/>
      <w:kern w:val="0"/>
      <w:sz w:val="20"/>
      <w:szCs w:val="20"/>
      <w:lang w:val="en-GB" w:eastAsia="en-GB"/>
      <w14:ligatures w14:val="none"/>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91EA1"/>
    <w:pPr>
      <w:spacing w:after="0" w:line="240" w:lineRule="auto"/>
    </w:pPr>
    <w:rPr>
      <w:rFonts w:ascii="Times New Roman" w:eastAsia="MS Mincho" w:hAnsi="Times New Roman" w:cs="Times New Roman"/>
      <w:kern w:val="0"/>
      <w:sz w:val="20"/>
      <w:szCs w:val="20"/>
      <w:lang w:val="en-GB" w:eastAsia="en-GB"/>
      <w14:ligatures w14:val="none"/>
    </w:rPr>
    <w:tblPr>
      <w:tblInd w:w="113"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391EA1"/>
    <w:pPr>
      <w:spacing w:after="0" w:line="240" w:lineRule="auto"/>
    </w:pPr>
    <w:rPr>
      <w:rFonts w:ascii="Times New Roman" w:eastAsia="Times New Roman" w:hAnsi="Times New Roman" w:cs="Times New Roman"/>
      <w:color w:val="000000"/>
      <w:kern w:val="0"/>
      <w:sz w:val="18"/>
      <w:szCs w:val="20"/>
      <w14:ligatures w14:val="none"/>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EA1"/>
    <w:pPr>
      <w:spacing w:after="0" w:line="240" w:lineRule="auto"/>
    </w:pPr>
    <w:rPr>
      <w:rFonts w:ascii="Times New Roman" w:eastAsia="Times New Roman" w:hAnsi="Times New Roman" w:cs="Times New Roman"/>
      <w:color w:val="000000"/>
      <w:kern w:val="0"/>
      <w:sz w:val="20"/>
      <w:szCs w:val="20"/>
      <w14:ligatures w14:val="none"/>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
    <w:name w:val="ECHR_Table_Memo"/>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paragraph" w:styleId="TOAHeading">
    <w:name w:val="toa heading"/>
    <w:basedOn w:val="Normal"/>
    <w:next w:val="Normal"/>
    <w:uiPriority w:val="99"/>
    <w:semiHidden/>
    <w:rsid w:val="00391EA1"/>
    <w:pPr>
      <w:keepNext/>
      <w:keepLines/>
      <w:spacing w:before="240" w:after="0" w:line="240" w:lineRule="auto"/>
      <w:contextualSpacing/>
      <w:jc w:val="center"/>
    </w:pPr>
    <w:rPr>
      <w:rFonts w:ascii="Times New Roman" w:eastAsia="MS Gothic" w:hAnsi="Times New Roman"/>
      <w:b/>
      <w:bCs/>
      <w:color w:val="474747"/>
      <w:sz w:val="28"/>
      <w:szCs w:val="24"/>
      <w:lang w:val="en-GB"/>
    </w:rPr>
  </w:style>
  <w:style w:type="paragraph" w:styleId="Subtitle">
    <w:name w:val="Subtitle"/>
    <w:basedOn w:val="Normal"/>
    <w:next w:val="Normal"/>
    <w:link w:val="SubtitleChar"/>
    <w:uiPriority w:val="99"/>
    <w:qFormat/>
    <w:rsid w:val="00391EA1"/>
    <w:pPr>
      <w:spacing w:after="600" w:line="240" w:lineRule="auto"/>
      <w:jc w:val="both"/>
    </w:pPr>
    <w:rPr>
      <w:rFonts w:ascii="Times New Roman" w:eastAsia="MS Gothic" w:hAnsi="Times New Roman"/>
      <w:i/>
      <w:iCs/>
      <w:spacing w:val="13"/>
      <w:sz w:val="24"/>
      <w:szCs w:val="24"/>
      <w:lang w:val="x-none" w:eastAsia="x-none" w:bidi="en-US"/>
    </w:rPr>
  </w:style>
  <w:style w:type="character" w:customStyle="1" w:styleId="SubtitleChar">
    <w:name w:val="Subtitle Char"/>
    <w:basedOn w:val="DefaultParagraphFont"/>
    <w:link w:val="Subtitle"/>
    <w:uiPriority w:val="99"/>
    <w:rsid w:val="00391EA1"/>
    <w:rPr>
      <w:rFonts w:ascii="Times New Roman" w:eastAsia="MS Gothic" w:hAnsi="Times New Roman" w:cs="Times New Roman"/>
      <w:i/>
      <w:iCs/>
      <w:spacing w:val="13"/>
      <w:kern w:val="0"/>
      <w:sz w:val="24"/>
      <w:szCs w:val="24"/>
      <w:lang w:val="x-none" w:eastAsia="x-none" w:bidi="en-US"/>
      <w14:ligatures w14:val="none"/>
    </w:rPr>
  </w:style>
  <w:style w:type="numbering" w:styleId="111111">
    <w:name w:val="Outline List 2"/>
    <w:basedOn w:val="NoList"/>
    <w:uiPriority w:val="99"/>
    <w:semiHidden/>
    <w:unhideWhenUsed/>
    <w:rsid w:val="00391EA1"/>
    <w:pPr>
      <w:numPr>
        <w:numId w:val="4"/>
      </w:numPr>
    </w:pPr>
  </w:style>
  <w:style w:type="paragraph" w:customStyle="1" w:styleId="ECHRPara">
    <w:name w:val="ECHR_Para"/>
    <w:aliases w:val="Ju_Para"/>
    <w:basedOn w:val="Normal"/>
    <w:link w:val="ECHRParaChar"/>
    <w:uiPriority w:val="12"/>
    <w:qFormat/>
    <w:rsid w:val="00391EA1"/>
    <w:pPr>
      <w:spacing w:after="0" w:line="240" w:lineRule="auto"/>
      <w:ind w:firstLine="284"/>
      <w:jc w:val="both"/>
    </w:pPr>
    <w:rPr>
      <w:rFonts w:ascii="Times New Roman" w:eastAsia="MS Mincho" w:hAnsi="Times New Roman"/>
      <w:sz w:val="24"/>
      <w:szCs w:val="20"/>
      <w:lang w:val="en-GB" w:eastAsia="x-none"/>
    </w:rPr>
  </w:style>
  <w:style w:type="numbering" w:styleId="1ai">
    <w:name w:val="Outline List 1"/>
    <w:basedOn w:val="NoList"/>
    <w:uiPriority w:val="99"/>
    <w:semiHidden/>
    <w:unhideWhenUsed/>
    <w:rsid w:val="00391EA1"/>
    <w:pPr>
      <w:numPr>
        <w:numId w:val="5"/>
      </w:numPr>
    </w:pPr>
  </w:style>
  <w:style w:type="table" w:customStyle="1" w:styleId="ECHRTableSimpleBox">
    <w:name w:val="ECHR_Table_Simple_Box"/>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
    <w:name w:val="ECHR_Table_No_Lines"/>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numbering" w:styleId="ArticleSection">
    <w:name w:val="Outline List 3"/>
    <w:basedOn w:val="NoList"/>
    <w:uiPriority w:val="99"/>
    <w:semiHidden/>
    <w:unhideWhenUsed/>
    <w:rsid w:val="00391EA1"/>
    <w:pPr>
      <w:numPr>
        <w:numId w:val="6"/>
      </w:numPr>
    </w:pPr>
  </w:style>
  <w:style w:type="table" w:customStyle="1" w:styleId="ECHRTableForInternalUse">
    <w:name w:val="ECHR_Table_For_Internal_Use"/>
    <w:basedOn w:val="TableNormal"/>
    <w:uiPriority w:val="99"/>
    <w:rsid w:val="00391EA1"/>
    <w:pPr>
      <w:spacing w:after="0" w:line="240" w:lineRule="auto"/>
    </w:pPr>
    <w:rPr>
      <w:rFonts w:ascii="Times New Roman" w:eastAsia="Times New Roman" w:hAnsi="Times New Roman" w:cs="Times New Roman"/>
      <w:color w:val="636363"/>
      <w:kern w:val="0"/>
      <w:sz w:val="18"/>
      <w:szCs w:val="20"/>
      <w14:ligatures w14:val="none"/>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styleId="Bibliography">
    <w:name w:val="Bibliography"/>
    <w:basedOn w:val="Normal"/>
    <w:next w:val="Normal"/>
    <w:uiPriority w:val="99"/>
    <w:semiHidden/>
    <w:rsid w:val="00391EA1"/>
    <w:pPr>
      <w:spacing w:after="0" w:line="240" w:lineRule="auto"/>
      <w:jc w:val="both"/>
    </w:pPr>
    <w:rPr>
      <w:rFonts w:ascii="Times New Roman" w:eastAsia="MS Mincho" w:hAnsi="Times New Roman"/>
      <w:sz w:val="24"/>
      <w:lang w:val="en-GB"/>
    </w:rPr>
  </w:style>
  <w:style w:type="paragraph" w:styleId="BlockText">
    <w:name w:val="Block Text"/>
    <w:basedOn w:val="Normal"/>
    <w:uiPriority w:val="99"/>
    <w:semiHidden/>
    <w:rsid w:val="00391EA1"/>
    <w:pPr>
      <w:pBdr>
        <w:top w:val="single" w:sz="2" w:space="10" w:color="0072BC" w:shadow="1" w:frame="1"/>
        <w:left w:val="single" w:sz="2" w:space="10" w:color="0072BC" w:shadow="1" w:frame="1"/>
        <w:bottom w:val="single" w:sz="2" w:space="10" w:color="0072BC" w:shadow="1" w:frame="1"/>
        <w:right w:val="single" w:sz="2" w:space="10" w:color="0072BC" w:shadow="1" w:frame="1"/>
      </w:pBdr>
      <w:spacing w:after="0" w:line="240" w:lineRule="auto"/>
      <w:ind w:left="1152" w:right="1152"/>
      <w:jc w:val="both"/>
    </w:pPr>
    <w:rPr>
      <w:rFonts w:ascii="Times New Roman" w:eastAsia="MS Mincho" w:hAnsi="Times New Roman"/>
      <w:i/>
      <w:iCs/>
      <w:color w:val="0072BC"/>
      <w:sz w:val="24"/>
      <w:lang w:val="en-GB"/>
    </w:rPr>
  </w:style>
  <w:style w:type="table" w:customStyle="1" w:styleId="ECHRHeaderTable">
    <w:name w:val="ECHR_Header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680"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391EA1"/>
    <w:pPr>
      <w:spacing w:after="120" w:line="240" w:lineRule="auto"/>
      <w:jc w:val="both"/>
    </w:pPr>
    <w:rPr>
      <w:rFonts w:ascii="Times New Roman" w:eastAsia="MS Mincho" w:hAnsi="Times New Roman"/>
      <w:sz w:val="24"/>
      <w:szCs w:val="20"/>
      <w:lang w:val="x-none" w:eastAsia="x-none"/>
    </w:rPr>
  </w:style>
  <w:style w:type="character" w:customStyle="1" w:styleId="BodyTextChar">
    <w:name w:val="Body Text Char"/>
    <w:basedOn w:val="DefaultParagraphFont"/>
    <w:link w:val="BodyText"/>
    <w:uiPriority w:val="99"/>
    <w:semiHidden/>
    <w:rsid w:val="00391EA1"/>
    <w:rPr>
      <w:rFonts w:ascii="Times New Roman" w:eastAsia="MS Mincho" w:hAnsi="Times New Roman" w:cs="Times New Roman"/>
      <w:kern w:val="0"/>
      <w:sz w:val="24"/>
      <w:szCs w:val="20"/>
      <w:lang w:val="x-none" w:eastAsia="x-none"/>
      <w14:ligatures w14:val="none"/>
    </w:rPr>
  </w:style>
  <w:style w:type="table" w:customStyle="1" w:styleId="ECHRTableOddBanded">
    <w:name w:val="ECHR_Table_Odd_Banded"/>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paragraph" w:styleId="BodyText2">
    <w:name w:val="Body Text 2"/>
    <w:basedOn w:val="Normal"/>
    <w:link w:val="BodyText2Char"/>
    <w:uiPriority w:val="99"/>
    <w:semiHidden/>
    <w:rsid w:val="00391EA1"/>
    <w:pPr>
      <w:spacing w:after="120" w:line="480" w:lineRule="auto"/>
      <w:jc w:val="both"/>
    </w:pPr>
    <w:rPr>
      <w:rFonts w:ascii="Times New Roman" w:eastAsia="MS Mincho" w:hAnsi="Times New Roman"/>
      <w:sz w:val="24"/>
      <w:szCs w:val="20"/>
      <w:lang w:val="x-none" w:eastAsia="x-none"/>
    </w:rPr>
  </w:style>
  <w:style w:type="character" w:customStyle="1" w:styleId="BodyText2Char">
    <w:name w:val="Body Text 2 Char"/>
    <w:basedOn w:val="DefaultParagraphFont"/>
    <w:link w:val="BodyText2"/>
    <w:uiPriority w:val="99"/>
    <w:semiHidden/>
    <w:rsid w:val="00391EA1"/>
    <w:rPr>
      <w:rFonts w:ascii="Times New Roman" w:eastAsia="MS Mincho" w:hAnsi="Times New Roman" w:cs="Times New Roman"/>
      <w:kern w:val="0"/>
      <w:sz w:val="24"/>
      <w:szCs w:val="20"/>
      <w:lang w:val="x-none" w:eastAsia="x-none"/>
      <w14:ligatures w14:val="none"/>
    </w:rPr>
  </w:style>
  <w:style w:type="table" w:customStyle="1" w:styleId="ECHRHeaderTableReduced">
    <w:name w:val="ECHR_Header_Table_Reduced"/>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680" w:type="dxa"/>
      <w:tblCellMar>
        <w:left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391EA1"/>
    <w:pPr>
      <w:spacing w:after="0" w:line="240" w:lineRule="auto"/>
      <w:ind w:firstLine="284"/>
      <w:jc w:val="both"/>
    </w:pPr>
    <w:rPr>
      <w:rFonts w:ascii="Times New Roman" w:eastAsia="MS Mincho" w:hAnsi="Times New Roman"/>
      <w:b/>
      <w:sz w:val="24"/>
      <w:lang w:val="en-GB"/>
    </w:rPr>
  </w:style>
  <w:style w:type="character" w:styleId="PageNumber">
    <w:name w:val="page number"/>
    <w:uiPriority w:val="99"/>
    <w:semiHidden/>
    <w:rsid w:val="00391EA1"/>
    <w:rPr>
      <w:sz w:val="18"/>
    </w:rPr>
  </w:style>
  <w:style w:type="paragraph" w:styleId="ListBullet">
    <w:name w:val="List Bullet"/>
    <w:basedOn w:val="Normal"/>
    <w:uiPriority w:val="99"/>
    <w:semiHidden/>
    <w:rsid w:val="00391EA1"/>
    <w:pPr>
      <w:numPr>
        <w:numId w:val="3"/>
      </w:numPr>
      <w:spacing w:after="0" w:line="240" w:lineRule="auto"/>
      <w:jc w:val="both"/>
    </w:pPr>
    <w:rPr>
      <w:rFonts w:ascii="Times New Roman" w:eastAsia="MS Mincho" w:hAnsi="Times New Roman"/>
      <w:sz w:val="24"/>
      <w:lang w:val="en-GB"/>
    </w:rPr>
  </w:style>
  <w:style w:type="paragraph" w:styleId="ListBullet3">
    <w:name w:val="List Bullet 3"/>
    <w:basedOn w:val="Normal"/>
    <w:uiPriority w:val="99"/>
    <w:semiHidden/>
    <w:rsid w:val="00391EA1"/>
    <w:pPr>
      <w:numPr>
        <w:numId w:val="2"/>
      </w:numPr>
      <w:spacing w:after="0" w:line="240" w:lineRule="auto"/>
      <w:contextualSpacing/>
      <w:jc w:val="both"/>
    </w:pPr>
    <w:rPr>
      <w:rFonts w:ascii="Times New Roman" w:eastAsia="MS Mincho" w:hAnsi="Times New Roman"/>
      <w:sz w:val="24"/>
      <w:lang w:val="en-GB"/>
    </w:rPr>
  </w:style>
  <w:style w:type="paragraph" w:styleId="BodyText3">
    <w:name w:val="Body Text 3"/>
    <w:basedOn w:val="Normal"/>
    <w:link w:val="BodyText3Char"/>
    <w:uiPriority w:val="99"/>
    <w:semiHidden/>
    <w:rsid w:val="00391EA1"/>
    <w:pPr>
      <w:spacing w:after="120" w:line="240" w:lineRule="auto"/>
      <w:jc w:val="both"/>
    </w:pPr>
    <w:rPr>
      <w:rFonts w:ascii="Times New Roman" w:eastAsia="MS Mincho" w:hAnsi="Times New Roman"/>
      <w:sz w:val="16"/>
      <w:szCs w:val="16"/>
      <w:lang w:val="x-none" w:eastAsia="x-none"/>
    </w:rPr>
  </w:style>
  <w:style w:type="character" w:customStyle="1" w:styleId="BodyText3Char">
    <w:name w:val="Body Text 3 Char"/>
    <w:basedOn w:val="DefaultParagraphFont"/>
    <w:link w:val="BodyText3"/>
    <w:uiPriority w:val="99"/>
    <w:semiHidden/>
    <w:rsid w:val="00391EA1"/>
    <w:rPr>
      <w:rFonts w:ascii="Times New Roman" w:eastAsia="MS Mincho" w:hAnsi="Times New Roman" w:cs="Times New Roman"/>
      <w:kern w:val="0"/>
      <w:sz w:val="16"/>
      <w:szCs w:val="16"/>
      <w:lang w:val="x-none" w:eastAsia="x-none"/>
      <w14:ligatures w14:val="none"/>
    </w:rPr>
  </w:style>
  <w:style w:type="paragraph" w:styleId="BodyTextFirstIndent">
    <w:name w:val="Body Text First Indent"/>
    <w:basedOn w:val="BodyText"/>
    <w:link w:val="BodyTextFirstIndentChar"/>
    <w:uiPriority w:val="99"/>
    <w:semiHidden/>
    <w:rsid w:val="00391EA1"/>
    <w:pPr>
      <w:spacing w:after="0"/>
      <w:ind w:firstLine="360"/>
    </w:pPr>
  </w:style>
  <w:style w:type="character" w:customStyle="1" w:styleId="BodyTextFirstIndentChar">
    <w:name w:val="Body Text First Indent Char"/>
    <w:basedOn w:val="BodyTextChar"/>
    <w:link w:val="BodyTextFirstIndent"/>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
    <w:name w:val="Body Text Indent"/>
    <w:basedOn w:val="Normal"/>
    <w:link w:val="BodyTextIndentChar"/>
    <w:uiPriority w:val="99"/>
    <w:semiHidden/>
    <w:rsid w:val="00391EA1"/>
    <w:pPr>
      <w:spacing w:after="120" w:line="240" w:lineRule="auto"/>
      <w:ind w:left="283"/>
      <w:jc w:val="both"/>
    </w:pPr>
    <w:rPr>
      <w:rFonts w:ascii="Times New Roman" w:eastAsia="MS Mincho" w:hAnsi="Times New Roman"/>
      <w:sz w:val="24"/>
      <w:szCs w:val="20"/>
      <w:lang w:val="x-none" w:eastAsia="x-none"/>
    </w:rPr>
  </w:style>
  <w:style w:type="character" w:customStyle="1" w:styleId="BodyTextIndentChar">
    <w:name w:val="Body Text Indent Char"/>
    <w:basedOn w:val="DefaultParagraphFont"/>
    <w:link w:val="BodyTextIndent"/>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FirstIndent2">
    <w:name w:val="Body Text First Indent 2"/>
    <w:basedOn w:val="BodyTextIndent"/>
    <w:link w:val="BodyTextFirstIndent2Char"/>
    <w:uiPriority w:val="99"/>
    <w:semiHidden/>
    <w:rsid w:val="00391EA1"/>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2">
    <w:name w:val="Body Text Indent 2"/>
    <w:basedOn w:val="Normal"/>
    <w:link w:val="BodyTextIndent2Char"/>
    <w:uiPriority w:val="99"/>
    <w:semiHidden/>
    <w:rsid w:val="00391EA1"/>
    <w:pPr>
      <w:spacing w:after="120" w:line="480" w:lineRule="auto"/>
      <w:ind w:left="283"/>
      <w:jc w:val="both"/>
    </w:pPr>
    <w:rPr>
      <w:rFonts w:ascii="Times New Roman" w:eastAsia="MS Mincho" w:hAnsi="Times New Roman"/>
      <w:sz w:val="24"/>
      <w:szCs w:val="20"/>
      <w:lang w:val="x-none" w:eastAsia="x-none"/>
    </w:rPr>
  </w:style>
  <w:style w:type="character" w:customStyle="1" w:styleId="BodyTextIndent2Char">
    <w:name w:val="Body Text Indent 2 Char"/>
    <w:basedOn w:val="DefaultParagraphFont"/>
    <w:link w:val="BodyTextIndent2"/>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3">
    <w:name w:val="Body Text Indent 3"/>
    <w:basedOn w:val="Normal"/>
    <w:link w:val="BodyTextIndent3Char"/>
    <w:uiPriority w:val="99"/>
    <w:semiHidden/>
    <w:rsid w:val="00391EA1"/>
    <w:pPr>
      <w:spacing w:after="120" w:line="240" w:lineRule="auto"/>
      <w:ind w:left="283"/>
      <w:jc w:val="both"/>
    </w:pPr>
    <w:rPr>
      <w:rFonts w:ascii="Times New Roman" w:eastAsia="MS Mincho" w:hAnsi="Times New Roman"/>
      <w:sz w:val="16"/>
      <w:szCs w:val="16"/>
      <w:lang w:val="x-none" w:eastAsia="x-none"/>
    </w:rPr>
  </w:style>
  <w:style w:type="character" w:customStyle="1" w:styleId="BodyTextIndent3Char">
    <w:name w:val="Body Text Indent 3 Char"/>
    <w:basedOn w:val="DefaultParagraphFont"/>
    <w:link w:val="BodyTextIndent3"/>
    <w:uiPriority w:val="99"/>
    <w:semiHidden/>
    <w:rsid w:val="00391EA1"/>
    <w:rPr>
      <w:rFonts w:ascii="Times New Roman" w:eastAsia="MS Mincho" w:hAnsi="Times New Roman" w:cs="Times New Roman"/>
      <w:kern w:val="0"/>
      <w:sz w:val="16"/>
      <w:szCs w:val="16"/>
      <w:lang w:val="x-none" w:eastAsia="x-none"/>
      <w14:ligatures w14:val="none"/>
    </w:rPr>
  </w:style>
  <w:style w:type="paragraph" w:styleId="Caption">
    <w:name w:val="caption"/>
    <w:basedOn w:val="Normal"/>
    <w:next w:val="Normal"/>
    <w:uiPriority w:val="99"/>
    <w:semiHidden/>
    <w:qFormat/>
    <w:rsid w:val="00391EA1"/>
    <w:pPr>
      <w:spacing w:line="240" w:lineRule="auto"/>
      <w:jc w:val="both"/>
    </w:pPr>
    <w:rPr>
      <w:rFonts w:ascii="Times New Roman" w:eastAsia="MS Mincho" w:hAnsi="Times New Roman"/>
      <w:b/>
      <w:bCs/>
      <w:color w:val="0072BC"/>
      <w:sz w:val="18"/>
      <w:szCs w:val="18"/>
      <w:lang w:val="en-GB"/>
    </w:rPr>
  </w:style>
  <w:style w:type="paragraph" w:styleId="Closing">
    <w:name w:val="Closing"/>
    <w:basedOn w:val="Normal"/>
    <w:link w:val="ClosingChar"/>
    <w:uiPriority w:val="99"/>
    <w:semiHidden/>
    <w:rsid w:val="00391EA1"/>
    <w:pPr>
      <w:spacing w:after="0" w:line="240" w:lineRule="auto"/>
      <w:ind w:left="4252"/>
      <w:jc w:val="both"/>
    </w:pPr>
    <w:rPr>
      <w:rFonts w:ascii="Times New Roman" w:eastAsia="MS Mincho" w:hAnsi="Times New Roman"/>
      <w:sz w:val="24"/>
      <w:szCs w:val="20"/>
      <w:lang w:val="x-none" w:eastAsia="x-none"/>
    </w:rPr>
  </w:style>
  <w:style w:type="character" w:customStyle="1" w:styleId="ClosingChar">
    <w:name w:val="Closing Char"/>
    <w:basedOn w:val="DefaultParagraphFont"/>
    <w:link w:val="Closing"/>
    <w:uiPriority w:val="99"/>
    <w:semiHidden/>
    <w:rsid w:val="00391EA1"/>
    <w:rPr>
      <w:rFonts w:ascii="Times New Roman" w:eastAsia="MS Mincho" w:hAnsi="Times New Roman" w:cs="Times New Roman"/>
      <w:kern w:val="0"/>
      <w:sz w:val="24"/>
      <w:szCs w:val="20"/>
      <w:lang w:val="x-none" w:eastAsia="x-none"/>
      <w14:ligatures w14:val="none"/>
    </w:rPr>
  </w:style>
  <w:style w:type="table" w:styleId="ColorfulGrid">
    <w:name w:val="Colorful Grid"/>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styleId="ColorfulList">
    <w:name w:val="Colorful List"/>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Shading">
    <w:name w:val="Colorful Shading"/>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character" w:styleId="CommentReference">
    <w:name w:val="annotation reference"/>
    <w:uiPriority w:val="99"/>
    <w:semiHidden/>
    <w:rsid w:val="00391EA1"/>
    <w:rPr>
      <w:sz w:val="16"/>
      <w:szCs w:val="16"/>
    </w:rPr>
  </w:style>
  <w:style w:type="paragraph" w:styleId="CommentText">
    <w:name w:val="annotation text"/>
    <w:basedOn w:val="Normal"/>
    <w:link w:val="CommentTextChar"/>
    <w:uiPriority w:val="99"/>
    <w:semiHidden/>
    <w:rsid w:val="00391EA1"/>
    <w:pPr>
      <w:spacing w:after="0" w:line="240" w:lineRule="auto"/>
      <w:jc w:val="both"/>
    </w:pPr>
    <w:rPr>
      <w:rFonts w:ascii="Times New Roman" w:eastAsia="MS Mincho" w:hAnsi="Times New Roman"/>
      <w:sz w:val="20"/>
      <w:szCs w:val="20"/>
      <w:lang w:val="x-none" w:eastAsia="x-none"/>
    </w:rPr>
  </w:style>
  <w:style w:type="character" w:customStyle="1" w:styleId="CommentTextChar">
    <w:name w:val="Comment Text Char"/>
    <w:basedOn w:val="DefaultParagraphFont"/>
    <w:link w:val="CommentText"/>
    <w:uiPriority w:val="99"/>
    <w:semiHidden/>
    <w:rsid w:val="00391EA1"/>
    <w:rPr>
      <w:rFonts w:ascii="Times New Roman" w:eastAsia="MS Mincho" w:hAnsi="Times New Roman" w:cs="Times New Roman"/>
      <w:kern w:val="0"/>
      <w:sz w:val="20"/>
      <w:szCs w:val="20"/>
      <w:lang w:val="x-none" w:eastAsia="x-none"/>
      <w14:ligatures w14:val="none"/>
    </w:rPr>
  </w:style>
  <w:style w:type="paragraph" w:styleId="CommentSubject">
    <w:name w:val="annotation subject"/>
    <w:basedOn w:val="CommentText"/>
    <w:next w:val="CommentText"/>
    <w:link w:val="CommentSubjectChar"/>
    <w:uiPriority w:val="99"/>
    <w:semiHidden/>
    <w:rsid w:val="00391EA1"/>
    <w:rPr>
      <w:b/>
      <w:bCs/>
    </w:rPr>
  </w:style>
  <w:style w:type="character" w:customStyle="1" w:styleId="CommentSubjectChar">
    <w:name w:val="Comment Subject Char"/>
    <w:basedOn w:val="CommentTextChar"/>
    <w:link w:val="CommentSubject"/>
    <w:uiPriority w:val="99"/>
    <w:semiHidden/>
    <w:rsid w:val="00391EA1"/>
    <w:rPr>
      <w:rFonts w:ascii="Times New Roman" w:eastAsia="MS Mincho" w:hAnsi="Times New Roman" w:cs="Times New Roman"/>
      <w:b/>
      <w:bCs/>
      <w:kern w:val="0"/>
      <w:sz w:val="20"/>
      <w:szCs w:val="20"/>
      <w:lang w:val="x-none" w:eastAsia="x-none"/>
      <w14:ligatures w14:val="none"/>
    </w:rPr>
  </w:style>
  <w:style w:type="table" w:styleId="DarkList">
    <w:name w:val="Dark List"/>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DateChar">
    <w:name w:val="Date Char"/>
    <w:basedOn w:val="DefaultParagraphFont"/>
    <w:link w:val="Date"/>
    <w:uiPriority w:val="99"/>
    <w:semiHidden/>
    <w:rsid w:val="00391EA1"/>
    <w:rPr>
      <w:rFonts w:ascii="Times New Roman" w:eastAsia="MS Mincho" w:hAnsi="Times New Roman" w:cs="Times New Roman"/>
      <w:kern w:val="0"/>
      <w:sz w:val="24"/>
      <w:szCs w:val="20"/>
      <w:lang w:val="x-none" w:eastAsia="x-none"/>
      <w14:ligatures w14:val="none"/>
    </w:rPr>
  </w:style>
  <w:style w:type="paragraph" w:styleId="DocumentMap">
    <w:name w:val="Document Map"/>
    <w:basedOn w:val="Normal"/>
    <w:link w:val="DocumentMapChar"/>
    <w:uiPriority w:val="99"/>
    <w:semiHidden/>
    <w:rsid w:val="00391EA1"/>
    <w:pPr>
      <w:spacing w:after="0" w:line="240" w:lineRule="auto"/>
      <w:jc w:val="both"/>
    </w:pPr>
    <w:rPr>
      <w:rFonts w:ascii="Tahoma" w:eastAsia="MS Mincho" w:hAnsi="Tahoma"/>
      <w:sz w:val="16"/>
      <w:szCs w:val="16"/>
      <w:lang w:val="x-none" w:eastAsia="x-none"/>
    </w:rPr>
  </w:style>
  <w:style w:type="character" w:customStyle="1" w:styleId="DocumentMapChar">
    <w:name w:val="Document Map Char"/>
    <w:basedOn w:val="DefaultParagraphFont"/>
    <w:link w:val="DocumentMap"/>
    <w:uiPriority w:val="99"/>
    <w:semiHidden/>
    <w:rsid w:val="00391EA1"/>
    <w:rPr>
      <w:rFonts w:ascii="Tahoma" w:eastAsia="MS Mincho" w:hAnsi="Tahoma" w:cs="Times New Roman"/>
      <w:kern w:val="0"/>
      <w:sz w:val="16"/>
      <w:szCs w:val="16"/>
      <w:lang w:val="x-none" w:eastAsia="x-none"/>
      <w14:ligatures w14:val="none"/>
    </w:rPr>
  </w:style>
  <w:style w:type="paragraph" w:styleId="E-mailSignature">
    <w:name w:val="E-mail Signature"/>
    <w:basedOn w:val="Normal"/>
    <w:link w:val="E-mailSignature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E-mailSignatureChar">
    <w:name w:val="E-mail Signature Char"/>
    <w:basedOn w:val="DefaultParagraphFont"/>
    <w:link w:val="E-mailSignature"/>
    <w:uiPriority w:val="99"/>
    <w:semiHidden/>
    <w:rsid w:val="00391EA1"/>
    <w:rPr>
      <w:rFonts w:ascii="Times New Roman" w:eastAsia="MS Mincho" w:hAnsi="Times New Roman" w:cs="Times New Roman"/>
      <w:kern w:val="0"/>
      <w:sz w:val="24"/>
      <w:szCs w:val="20"/>
      <w:lang w:val="x-none" w:eastAsia="x-none"/>
      <w14:ligatures w14:val="none"/>
    </w:rPr>
  </w:style>
  <w:style w:type="character" w:styleId="EndnoteReference">
    <w:name w:val="endnote reference"/>
    <w:uiPriority w:val="99"/>
    <w:semiHidden/>
    <w:rsid w:val="00391EA1"/>
    <w:rPr>
      <w:vertAlign w:val="superscript"/>
    </w:rPr>
  </w:style>
  <w:style w:type="paragraph" w:styleId="EndnoteText">
    <w:name w:val="endnote text"/>
    <w:basedOn w:val="Normal"/>
    <w:link w:val="EndnoteTextChar"/>
    <w:uiPriority w:val="99"/>
    <w:semiHidden/>
    <w:rsid w:val="00391EA1"/>
    <w:pPr>
      <w:spacing w:after="0" w:line="240" w:lineRule="auto"/>
      <w:jc w:val="both"/>
    </w:pPr>
    <w:rPr>
      <w:rFonts w:ascii="Times New Roman" w:eastAsia="MS Mincho" w:hAnsi="Times New Roman"/>
      <w:sz w:val="20"/>
      <w:szCs w:val="20"/>
      <w:lang w:val="en-GB" w:eastAsia="x-none"/>
    </w:rPr>
  </w:style>
  <w:style w:type="character" w:customStyle="1" w:styleId="EndnoteTextChar">
    <w:name w:val="Endnote Text Char"/>
    <w:basedOn w:val="DefaultParagraphFont"/>
    <w:link w:val="EndnoteText"/>
    <w:uiPriority w:val="99"/>
    <w:semiHidden/>
    <w:rsid w:val="00391EA1"/>
    <w:rPr>
      <w:rFonts w:ascii="Times New Roman" w:eastAsia="MS Mincho" w:hAnsi="Times New Roman" w:cs="Times New Roman"/>
      <w:kern w:val="0"/>
      <w:sz w:val="20"/>
      <w:szCs w:val="20"/>
      <w:lang w:val="en-GB" w:eastAsia="x-none"/>
      <w14:ligatures w14:val="none"/>
    </w:rPr>
  </w:style>
  <w:style w:type="paragraph" w:styleId="EnvelopeAddress">
    <w:name w:val="envelope address"/>
    <w:basedOn w:val="Normal"/>
    <w:uiPriority w:val="99"/>
    <w:semiHidden/>
    <w:rsid w:val="00391EA1"/>
    <w:pPr>
      <w:framePr w:w="7938" w:h="1985" w:hRule="exact" w:hSpace="141" w:wrap="auto" w:hAnchor="page" w:xAlign="center" w:yAlign="bottom"/>
      <w:spacing w:after="0" w:line="240" w:lineRule="auto"/>
      <w:ind w:left="2835"/>
      <w:jc w:val="both"/>
    </w:pPr>
    <w:rPr>
      <w:rFonts w:ascii="Times New Roman" w:eastAsia="MS Gothic" w:hAnsi="Times New Roman"/>
      <w:sz w:val="24"/>
      <w:szCs w:val="24"/>
      <w:lang w:val="en-GB"/>
    </w:rPr>
  </w:style>
  <w:style w:type="paragraph" w:styleId="EnvelopeReturn">
    <w:name w:val="envelope return"/>
    <w:basedOn w:val="Normal"/>
    <w:uiPriority w:val="99"/>
    <w:semiHidden/>
    <w:rsid w:val="00391EA1"/>
    <w:pPr>
      <w:spacing w:after="0" w:line="240" w:lineRule="auto"/>
      <w:jc w:val="both"/>
    </w:pPr>
    <w:rPr>
      <w:rFonts w:ascii="Times New Roman" w:eastAsia="MS Gothic" w:hAnsi="Times New Roman"/>
      <w:sz w:val="20"/>
      <w:szCs w:val="20"/>
      <w:lang w:val="en-GB"/>
    </w:rPr>
  </w:style>
  <w:style w:type="character" w:styleId="FollowedHyperlink">
    <w:name w:val="FollowedHyperlink"/>
    <w:uiPriority w:val="99"/>
    <w:semiHidden/>
    <w:rsid w:val="00391EA1"/>
    <w:rPr>
      <w:color w:val="7030A0"/>
      <w:u w:val="single"/>
    </w:rPr>
  </w:style>
  <w:style w:type="character" w:styleId="HTMLAcronym">
    <w:name w:val="HTML Acronym"/>
    <w:basedOn w:val="DefaultParagraphFont"/>
    <w:uiPriority w:val="99"/>
    <w:semiHidden/>
    <w:rsid w:val="00391EA1"/>
  </w:style>
  <w:style w:type="paragraph" w:styleId="HTMLAddress">
    <w:name w:val="HTML Address"/>
    <w:basedOn w:val="Normal"/>
    <w:link w:val="HTMLAddressChar"/>
    <w:uiPriority w:val="99"/>
    <w:semiHidden/>
    <w:rsid w:val="00391EA1"/>
    <w:pPr>
      <w:spacing w:after="0" w:line="240" w:lineRule="auto"/>
      <w:jc w:val="both"/>
    </w:pPr>
    <w:rPr>
      <w:rFonts w:ascii="Times New Roman" w:eastAsia="MS Mincho" w:hAnsi="Times New Roman"/>
      <w:i/>
      <w:iCs/>
      <w:sz w:val="24"/>
      <w:szCs w:val="20"/>
      <w:lang w:val="x-none" w:eastAsia="x-none"/>
    </w:rPr>
  </w:style>
  <w:style w:type="character" w:customStyle="1" w:styleId="HTMLAddressChar">
    <w:name w:val="HTML Address Char"/>
    <w:basedOn w:val="DefaultParagraphFont"/>
    <w:link w:val="HTMLAddress"/>
    <w:uiPriority w:val="99"/>
    <w:semiHidden/>
    <w:rsid w:val="00391EA1"/>
    <w:rPr>
      <w:rFonts w:ascii="Times New Roman" w:eastAsia="MS Mincho" w:hAnsi="Times New Roman" w:cs="Times New Roman"/>
      <w:i/>
      <w:iCs/>
      <w:kern w:val="0"/>
      <w:sz w:val="24"/>
      <w:szCs w:val="20"/>
      <w:lang w:val="x-none" w:eastAsia="x-none"/>
      <w14:ligatures w14:val="none"/>
    </w:rPr>
  </w:style>
  <w:style w:type="character" w:styleId="HTMLCite">
    <w:name w:val="HTML Cite"/>
    <w:uiPriority w:val="99"/>
    <w:semiHidden/>
    <w:rsid w:val="00391EA1"/>
    <w:rPr>
      <w:i/>
      <w:iCs/>
    </w:rPr>
  </w:style>
  <w:style w:type="character" w:styleId="HTMLCode">
    <w:name w:val="HTML Code"/>
    <w:uiPriority w:val="99"/>
    <w:semiHidden/>
    <w:rsid w:val="00391EA1"/>
    <w:rPr>
      <w:rFonts w:ascii="Consolas" w:hAnsi="Consolas" w:cs="Consolas"/>
      <w:sz w:val="20"/>
      <w:szCs w:val="20"/>
    </w:rPr>
  </w:style>
  <w:style w:type="character" w:styleId="HTMLDefinition">
    <w:name w:val="HTML Definition"/>
    <w:uiPriority w:val="99"/>
    <w:semiHidden/>
    <w:rsid w:val="00391EA1"/>
    <w:rPr>
      <w:i/>
      <w:iCs/>
    </w:rPr>
  </w:style>
  <w:style w:type="character" w:styleId="HTMLKeyboard">
    <w:name w:val="HTML Keyboard"/>
    <w:uiPriority w:val="99"/>
    <w:semiHidden/>
    <w:rsid w:val="00391EA1"/>
    <w:rPr>
      <w:rFonts w:ascii="Consolas" w:hAnsi="Consolas" w:cs="Consolas"/>
      <w:sz w:val="20"/>
      <w:szCs w:val="20"/>
    </w:rPr>
  </w:style>
  <w:style w:type="paragraph" w:styleId="HTMLPreformatted">
    <w:name w:val="HTML Preformatted"/>
    <w:basedOn w:val="Normal"/>
    <w:link w:val="HTMLPreformattedChar"/>
    <w:uiPriority w:val="99"/>
    <w:semiHidden/>
    <w:rsid w:val="00391EA1"/>
    <w:pPr>
      <w:spacing w:after="0" w:line="240" w:lineRule="auto"/>
      <w:jc w:val="both"/>
    </w:pPr>
    <w:rPr>
      <w:rFonts w:ascii="Consolas" w:eastAsia="MS Mincho" w:hAnsi="Consolas"/>
      <w:sz w:val="20"/>
      <w:szCs w:val="20"/>
      <w:lang w:val="x-none" w:eastAsia="x-none"/>
    </w:rPr>
  </w:style>
  <w:style w:type="character" w:customStyle="1" w:styleId="HTMLPreformattedChar">
    <w:name w:val="HTML Preformatted Char"/>
    <w:basedOn w:val="DefaultParagraphFont"/>
    <w:link w:val="HTMLPreformatted"/>
    <w:uiPriority w:val="99"/>
    <w:semiHidden/>
    <w:rsid w:val="00391EA1"/>
    <w:rPr>
      <w:rFonts w:ascii="Consolas" w:eastAsia="MS Mincho" w:hAnsi="Consolas" w:cs="Times New Roman"/>
      <w:kern w:val="0"/>
      <w:sz w:val="20"/>
      <w:szCs w:val="20"/>
      <w:lang w:val="x-none" w:eastAsia="x-none"/>
      <w14:ligatures w14:val="none"/>
    </w:rPr>
  </w:style>
  <w:style w:type="character" w:styleId="HTMLSample">
    <w:name w:val="HTML Sample"/>
    <w:uiPriority w:val="99"/>
    <w:semiHidden/>
    <w:rsid w:val="00391EA1"/>
    <w:rPr>
      <w:rFonts w:ascii="Consolas" w:hAnsi="Consolas" w:cs="Consolas"/>
      <w:sz w:val="24"/>
      <w:szCs w:val="24"/>
    </w:rPr>
  </w:style>
  <w:style w:type="character" w:styleId="HTMLTypewriter">
    <w:name w:val="HTML Typewriter"/>
    <w:uiPriority w:val="99"/>
    <w:semiHidden/>
    <w:rsid w:val="00391EA1"/>
    <w:rPr>
      <w:rFonts w:ascii="Consolas" w:hAnsi="Consolas" w:cs="Consolas"/>
      <w:sz w:val="20"/>
      <w:szCs w:val="20"/>
    </w:rPr>
  </w:style>
  <w:style w:type="character" w:styleId="HTMLVariable">
    <w:name w:val="HTML Variable"/>
    <w:uiPriority w:val="99"/>
    <w:semiHidden/>
    <w:rsid w:val="00391EA1"/>
    <w:rPr>
      <w:i/>
      <w:iCs/>
    </w:rPr>
  </w:style>
  <w:style w:type="paragraph" w:styleId="Index1">
    <w:name w:val="index 1"/>
    <w:basedOn w:val="Normal"/>
    <w:next w:val="Normal"/>
    <w:autoRedefine/>
    <w:uiPriority w:val="99"/>
    <w:semiHidden/>
    <w:rsid w:val="00391EA1"/>
    <w:pPr>
      <w:spacing w:after="0" w:line="240" w:lineRule="auto"/>
      <w:ind w:left="240" w:hanging="240"/>
      <w:jc w:val="both"/>
    </w:pPr>
    <w:rPr>
      <w:rFonts w:ascii="Times New Roman" w:eastAsia="MS Mincho" w:hAnsi="Times New Roman"/>
      <w:sz w:val="24"/>
      <w:lang w:val="en-GB"/>
    </w:rPr>
  </w:style>
  <w:style w:type="paragraph" w:styleId="Index2">
    <w:name w:val="index 2"/>
    <w:basedOn w:val="Normal"/>
    <w:next w:val="Normal"/>
    <w:autoRedefine/>
    <w:uiPriority w:val="99"/>
    <w:semiHidden/>
    <w:rsid w:val="00391EA1"/>
    <w:pPr>
      <w:spacing w:after="0" w:line="240" w:lineRule="auto"/>
      <w:ind w:left="480" w:hanging="240"/>
      <w:jc w:val="both"/>
    </w:pPr>
    <w:rPr>
      <w:rFonts w:ascii="Times New Roman" w:eastAsia="MS Mincho" w:hAnsi="Times New Roman"/>
      <w:sz w:val="24"/>
      <w:lang w:val="en-GB"/>
    </w:rPr>
  </w:style>
  <w:style w:type="paragraph" w:styleId="Index3">
    <w:name w:val="index 3"/>
    <w:basedOn w:val="Normal"/>
    <w:next w:val="Normal"/>
    <w:autoRedefine/>
    <w:uiPriority w:val="99"/>
    <w:semiHidden/>
    <w:rsid w:val="00391EA1"/>
    <w:pPr>
      <w:spacing w:after="0" w:line="240" w:lineRule="auto"/>
      <w:ind w:left="720" w:hanging="240"/>
      <w:jc w:val="both"/>
    </w:pPr>
    <w:rPr>
      <w:rFonts w:ascii="Times New Roman" w:eastAsia="MS Mincho" w:hAnsi="Times New Roman"/>
      <w:sz w:val="24"/>
      <w:lang w:val="en-GB"/>
    </w:rPr>
  </w:style>
  <w:style w:type="paragraph" w:styleId="Index4">
    <w:name w:val="index 4"/>
    <w:basedOn w:val="Normal"/>
    <w:next w:val="Normal"/>
    <w:autoRedefine/>
    <w:uiPriority w:val="99"/>
    <w:semiHidden/>
    <w:rsid w:val="00391EA1"/>
    <w:pPr>
      <w:spacing w:after="0" w:line="240" w:lineRule="auto"/>
      <w:ind w:left="960" w:hanging="240"/>
      <w:jc w:val="both"/>
    </w:pPr>
    <w:rPr>
      <w:rFonts w:ascii="Times New Roman" w:eastAsia="MS Mincho" w:hAnsi="Times New Roman"/>
      <w:sz w:val="24"/>
      <w:lang w:val="en-GB"/>
    </w:rPr>
  </w:style>
  <w:style w:type="paragraph" w:styleId="Index5">
    <w:name w:val="index 5"/>
    <w:basedOn w:val="Normal"/>
    <w:next w:val="Normal"/>
    <w:autoRedefine/>
    <w:uiPriority w:val="99"/>
    <w:semiHidden/>
    <w:rsid w:val="00391EA1"/>
    <w:pPr>
      <w:spacing w:after="0" w:line="240" w:lineRule="auto"/>
      <w:ind w:left="1200" w:hanging="240"/>
      <w:jc w:val="both"/>
    </w:pPr>
    <w:rPr>
      <w:rFonts w:ascii="Times New Roman" w:eastAsia="MS Mincho" w:hAnsi="Times New Roman"/>
      <w:sz w:val="24"/>
      <w:lang w:val="en-GB"/>
    </w:rPr>
  </w:style>
  <w:style w:type="paragraph" w:styleId="Index6">
    <w:name w:val="index 6"/>
    <w:basedOn w:val="Normal"/>
    <w:next w:val="Normal"/>
    <w:autoRedefine/>
    <w:uiPriority w:val="99"/>
    <w:semiHidden/>
    <w:rsid w:val="00391EA1"/>
    <w:pPr>
      <w:spacing w:after="0" w:line="240" w:lineRule="auto"/>
      <w:ind w:left="1440" w:hanging="240"/>
      <w:jc w:val="both"/>
    </w:pPr>
    <w:rPr>
      <w:rFonts w:ascii="Times New Roman" w:eastAsia="MS Mincho" w:hAnsi="Times New Roman"/>
      <w:sz w:val="24"/>
      <w:lang w:val="en-GB"/>
    </w:rPr>
  </w:style>
  <w:style w:type="paragraph" w:styleId="Index7">
    <w:name w:val="index 7"/>
    <w:basedOn w:val="Normal"/>
    <w:next w:val="Normal"/>
    <w:autoRedefine/>
    <w:uiPriority w:val="99"/>
    <w:semiHidden/>
    <w:rsid w:val="00391EA1"/>
    <w:pPr>
      <w:spacing w:after="0" w:line="240" w:lineRule="auto"/>
      <w:ind w:left="1680" w:hanging="240"/>
      <w:jc w:val="both"/>
    </w:pPr>
    <w:rPr>
      <w:rFonts w:ascii="Times New Roman" w:eastAsia="MS Mincho" w:hAnsi="Times New Roman"/>
      <w:sz w:val="24"/>
      <w:lang w:val="en-GB"/>
    </w:rPr>
  </w:style>
  <w:style w:type="paragraph" w:styleId="Index8">
    <w:name w:val="index 8"/>
    <w:basedOn w:val="Normal"/>
    <w:next w:val="Normal"/>
    <w:autoRedefine/>
    <w:uiPriority w:val="99"/>
    <w:semiHidden/>
    <w:rsid w:val="00391EA1"/>
    <w:pPr>
      <w:spacing w:after="0" w:line="240" w:lineRule="auto"/>
      <w:ind w:left="1920" w:hanging="240"/>
      <w:jc w:val="both"/>
    </w:pPr>
    <w:rPr>
      <w:rFonts w:ascii="Times New Roman" w:eastAsia="MS Mincho" w:hAnsi="Times New Roman"/>
      <w:sz w:val="24"/>
      <w:lang w:val="en-GB"/>
    </w:rPr>
  </w:style>
  <w:style w:type="paragraph" w:styleId="Index9">
    <w:name w:val="index 9"/>
    <w:basedOn w:val="Normal"/>
    <w:next w:val="Normal"/>
    <w:autoRedefine/>
    <w:uiPriority w:val="99"/>
    <w:semiHidden/>
    <w:rsid w:val="00391EA1"/>
    <w:pPr>
      <w:spacing w:after="0" w:line="240" w:lineRule="auto"/>
      <w:ind w:left="2160" w:hanging="240"/>
      <w:jc w:val="both"/>
    </w:pPr>
    <w:rPr>
      <w:rFonts w:ascii="Times New Roman" w:eastAsia="MS Mincho" w:hAnsi="Times New Roman"/>
      <w:sz w:val="24"/>
      <w:lang w:val="en-GB"/>
    </w:rPr>
  </w:style>
  <w:style w:type="paragraph" w:styleId="IndexHeading">
    <w:name w:val="index heading"/>
    <w:basedOn w:val="Normal"/>
    <w:next w:val="Index1"/>
    <w:uiPriority w:val="99"/>
    <w:semiHidden/>
    <w:rsid w:val="00391EA1"/>
    <w:pPr>
      <w:spacing w:after="0" w:line="240" w:lineRule="auto"/>
      <w:jc w:val="both"/>
    </w:pPr>
    <w:rPr>
      <w:rFonts w:ascii="Times New Roman" w:eastAsia="MS Gothic" w:hAnsi="Times New Roman"/>
      <w:b/>
      <w:bCs/>
      <w:sz w:val="24"/>
      <w:lang w:val="en-GB"/>
    </w:rPr>
  </w:style>
  <w:style w:type="table" w:styleId="LightGrid">
    <w:name w:val="Light Grid"/>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MS Gothic"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MS Gothic"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MS Gothic"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MS Gothic"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LightList">
    <w:name w:val="Light List"/>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Shading">
    <w:name w:val="Light Shading"/>
    <w:basedOn w:val="TableNormal"/>
    <w:uiPriority w:val="60"/>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91EA1"/>
    <w:pPr>
      <w:spacing w:after="0" w:line="240" w:lineRule="auto"/>
    </w:pPr>
    <w:rPr>
      <w:rFonts w:ascii="Times New Roman" w:eastAsia="Times New Roman" w:hAnsi="Times New Roman" w:cs="Times New Roman"/>
      <w:color w:val="00548C"/>
      <w:kern w:val="0"/>
      <w:sz w:val="20"/>
      <w:szCs w:val="20"/>
      <w14:ligatures w14:val="none"/>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rsid w:val="00391EA1"/>
    <w:pPr>
      <w:spacing w:after="0" w:line="240" w:lineRule="auto"/>
    </w:pPr>
    <w:rPr>
      <w:rFonts w:ascii="Times New Roman" w:eastAsia="Times New Roman" w:hAnsi="Times New Roman" w:cs="Times New Roman"/>
      <w:color w:val="8F0000"/>
      <w:kern w:val="0"/>
      <w:sz w:val="20"/>
      <w:szCs w:val="20"/>
      <w14:ligatures w14:val="none"/>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rsid w:val="00391EA1"/>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rsid w:val="00391EA1"/>
    <w:pPr>
      <w:spacing w:after="0" w:line="240" w:lineRule="auto"/>
    </w:pPr>
    <w:rPr>
      <w:rFonts w:ascii="Times New Roman" w:eastAsia="Times New Roman" w:hAnsi="Times New Roman" w:cs="Times New Roman"/>
      <w:color w:val="707070"/>
      <w:kern w:val="0"/>
      <w:sz w:val="20"/>
      <w:szCs w:val="20"/>
      <w14:ligatures w14:val="none"/>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rsid w:val="00391EA1"/>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rsid w:val="00391EA1"/>
    <w:pPr>
      <w:spacing w:after="0" w:line="240" w:lineRule="auto"/>
    </w:pPr>
    <w:rPr>
      <w:rFonts w:ascii="Times New Roman" w:eastAsia="Times New Roman" w:hAnsi="Times New Roman" w:cs="Times New Roman"/>
      <w:color w:val="393939"/>
      <w:kern w:val="0"/>
      <w:sz w:val="20"/>
      <w:szCs w:val="20"/>
      <w14:ligatures w14:val="none"/>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basedOn w:val="DefaultParagraphFont"/>
    <w:uiPriority w:val="99"/>
    <w:semiHidden/>
    <w:rsid w:val="00391EA1"/>
  </w:style>
  <w:style w:type="paragraph" w:styleId="List">
    <w:name w:val="List"/>
    <w:basedOn w:val="Normal"/>
    <w:uiPriority w:val="99"/>
    <w:semiHidden/>
    <w:rsid w:val="00391EA1"/>
    <w:pPr>
      <w:spacing w:after="0" w:line="240" w:lineRule="auto"/>
      <w:ind w:left="283" w:hanging="283"/>
      <w:contextualSpacing/>
      <w:jc w:val="both"/>
    </w:pPr>
    <w:rPr>
      <w:rFonts w:ascii="Times New Roman" w:eastAsia="MS Mincho" w:hAnsi="Times New Roman"/>
      <w:sz w:val="24"/>
      <w:lang w:val="en-GB"/>
    </w:rPr>
  </w:style>
  <w:style w:type="paragraph" w:styleId="List2">
    <w:name w:val="List 2"/>
    <w:basedOn w:val="Normal"/>
    <w:uiPriority w:val="99"/>
    <w:semiHidden/>
    <w:rsid w:val="00391EA1"/>
    <w:pPr>
      <w:spacing w:after="0" w:line="240" w:lineRule="auto"/>
      <w:ind w:left="566" w:hanging="283"/>
      <w:contextualSpacing/>
      <w:jc w:val="both"/>
    </w:pPr>
    <w:rPr>
      <w:rFonts w:ascii="Times New Roman" w:eastAsia="MS Mincho" w:hAnsi="Times New Roman"/>
      <w:sz w:val="24"/>
      <w:lang w:val="en-GB"/>
    </w:rPr>
  </w:style>
  <w:style w:type="paragraph" w:styleId="List3">
    <w:name w:val="List 3"/>
    <w:basedOn w:val="Normal"/>
    <w:uiPriority w:val="99"/>
    <w:semiHidden/>
    <w:rsid w:val="00391EA1"/>
    <w:pPr>
      <w:spacing w:after="0" w:line="240" w:lineRule="auto"/>
      <w:ind w:left="849" w:hanging="283"/>
      <w:contextualSpacing/>
      <w:jc w:val="both"/>
    </w:pPr>
    <w:rPr>
      <w:rFonts w:ascii="Times New Roman" w:eastAsia="MS Mincho" w:hAnsi="Times New Roman"/>
      <w:sz w:val="24"/>
      <w:lang w:val="en-GB"/>
    </w:rPr>
  </w:style>
  <w:style w:type="paragraph" w:styleId="List4">
    <w:name w:val="List 4"/>
    <w:basedOn w:val="Normal"/>
    <w:uiPriority w:val="99"/>
    <w:semiHidden/>
    <w:rsid w:val="00391EA1"/>
    <w:pPr>
      <w:spacing w:after="0" w:line="240" w:lineRule="auto"/>
      <w:ind w:left="1132" w:hanging="283"/>
      <w:contextualSpacing/>
      <w:jc w:val="both"/>
    </w:pPr>
    <w:rPr>
      <w:rFonts w:ascii="Times New Roman" w:eastAsia="MS Mincho" w:hAnsi="Times New Roman"/>
      <w:sz w:val="24"/>
      <w:lang w:val="en-GB"/>
    </w:rPr>
  </w:style>
  <w:style w:type="paragraph" w:styleId="List5">
    <w:name w:val="List 5"/>
    <w:basedOn w:val="Normal"/>
    <w:uiPriority w:val="99"/>
    <w:semiHidden/>
    <w:rsid w:val="00391EA1"/>
    <w:pPr>
      <w:spacing w:after="0" w:line="240" w:lineRule="auto"/>
      <w:ind w:left="1415" w:hanging="283"/>
      <w:contextualSpacing/>
      <w:jc w:val="both"/>
    </w:pPr>
    <w:rPr>
      <w:rFonts w:ascii="Times New Roman" w:eastAsia="MS Mincho" w:hAnsi="Times New Roman"/>
      <w:sz w:val="24"/>
      <w:lang w:val="en-GB"/>
    </w:rPr>
  </w:style>
  <w:style w:type="paragraph" w:styleId="ListBullet2">
    <w:name w:val="List Bullet 2"/>
    <w:basedOn w:val="Normal"/>
    <w:uiPriority w:val="99"/>
    <w:semiHidden/>
    <w:rsid w:val="00391EA1"/>
    <w:pPr>
      <w:numPr>
        <w:numId w:val="7"/>
      </w:numPr>
      <w:spacing w:after="0" w:line="240" w:lineRule="auto"/>
      <w:contextualSpacing/>
      <w:jc w:val="both"/>
    </w:pPr>
    <w:rPr>
      <w:rFonts w:ascii="Times New Roman" w:eastAsia="MS Mincho" w:hAnsi="Times New Roman"/>
      <w:sz w:val="24"/>
      <w:lang w:val="en-GB"/>
    </w:rPr>
  </w:style>
  <w:style w:type="paragraph" w:styleId="ListBullet4">
    <w:name w:val="List Bullet 4"/>
    <w:basedOn w:val="Normal"/>
    <w:uiPriority w:val="99"/>
    <w:semiHidden/>
    <w:rsid w:val="00391EA1"/>
    <w:pPr>
      <w:numPr>
        <w:numId w:val="8"/>
      </w:numPr>
      <w:spacing w:after="0" w:line="240" w:lineRule="auto"/>
      <w:contextualSpacing/>
      <w:jc w:val="both"/>
    </w:pPr>
    <w:rPr>
      <w:rFonts w:ascii="Times New Roman" w:eastAsia="MS Mincho" w:hAnsi="Times New Roman"/>
      <w:sz w:val="24"/>
      <w:lang w:val="en-GB"/>
    </w:rPr>
  </w:style>
  <w:style w:type="paragraph" w:styleId="ListBullet5">
    <w:name w:val="List Bullet 5"/>
    <w:basedOn w:val="Normal"/>
    <w:uiPriority w:val="99"/>
    <w:semiHidden/>
    <w:rsid w:val="00391EA1"/>
    <w:pPr>
      <w:numPr>
        <w:numId w:val="9"/>
      </w:numPr>
      <w:spacing w:after="0" w:line="240" w:lineRule="auto"/>
      <w:contextualSpacing/>
      <w:jc w:val="both"/>
    </w:pPr>
    <w:rPr>
      <w:rFonts w:ascii="Times New Roman" w:eastAsia="MS Mincho" w:hAnsi="Times New Roman"/>
      <w:sz w:val="24"/>
      <w:lang w:val="en-GB"/>
    </w:rPr>
  </w:style>
  <w:style w:type="paragraph" w:styleId="ListContinue">
    <w:name w:val="List Continue"/>
    <w:basedOn w:val="Normal"/>
    <w:uiPriority w:val="99"/>
    <w:semiHidden/>
    <w:rsid w:val="00391EA1"/>
    <w:pPr>
      <w:spacing w:after="120" w:line="240" w:lineRule="auto"/>
      <w:ind w:left="283"/>
      <w:contextualSpacing/>
      <w:jc w:val="both"/>
    </w:pPr>
    <w:rPr>
      <w:rFonts w:ascii="Times New Roman" w:eastAsia="MS Mincho" w:hAnsi="Times New Roman"/>
      <w:sz w:val="24"/>
      <w:lang w:val="en-GB"/>
    </w:rPr>
  </w:style>
  <w:style w:type="paragraph" w:styleId="ListContinue2">
    <w:name w:val="List Continue 2"/>
    <w:basedOn w:val="Normal"/>
    <w:uiPriority w:val="99"/>
    <w:semiHidden/>
    <w:rsid w:val="00391EA1"/>
    <w:pPr>
      <w:spacing w:after="120" w:line="240" w:lineRule="auto"/>
      <w:ind w:left="566"/>
      <w:contextualSpacing/>
      <w:jc w:val="both"/>
    </w:pPr>
    <w:rPr>
      <w:rFonts w:ascii="Times New Roman" w:eastAsia="MS Mincho" w:hAnsi="Times New Roman"/>
      <w:sz w:val="24"/>
      <w:lang w:val="en-GB"/>
    </w:rPr>
  </w:style>
  <w:style w:type="paragraph" w:styleId="ListContinue3">
    <w:name w:val="List Continue 3"/>
    <w:basedOn w:val="Normal"/>
    <w:uiPriority w:val="99"/>
    <w:semiHidden/>
    <w:rsid w:val="00391EA1"/>
    <w:pPr>
      <w:spacing w:after="120" w:line="240" w:lineRule="auto"/>
      <w:ind w:left="849"/>
      <w:contextualSpacing/>
      <w:jc w:val="both"/>
    </w:pPr>
    <w:rPr>
      <w:rFonts w:ascii="Times New Roman" w:eastAsia="MS Mincho" w:hAnsi="Times New Roman"/>
      <w:sz w:val="24"/>
      <w:lang w:val="en-GB"/>
    </w:rPr>
  </w:style>
  <w:style w:type="paragraph" w:styleId="ListContinue4">
    <w:name w:val="List Continue 4"/>
    <w:basedOn w:val="Normal"/>
    <w:uiPriority w:val="99"/>
    <w:semiHidden/>
    <w:rsid w:val="00391EA1"/>
    <w:pPr>
      <w:spacing w:after="120" w:line="240" w:lineRule="auto"/>
      <w:ind w:left="1132"/>
      <w:contextualSpacing/>
      <w:jc w:val="both"/>
    </w:pPr>
    <w:rPr>
      <w:rFonts w:ascii="Times New Roman" w:eastAsia="MS Mincho" w:hAnsi="Times New Roman"/>
      <w:sz w:val="24"/>
      <w:lang w:val="en-GB"/>
    </w:rPr>
  </w:style>
  <w:style w:type="paragraph" w:styleId="ListContinue5">
    <w:name w:val="List Continue 5"/>
    <w:basedOn w:val="Normal"/>
    <w:uiPriority w:val="99"/>
    <w:semiHidden/>
    <w:rsid w:val="00391EA1"/>
    <w:pPr>
      <w:spacing w:after="120" w:line="240" w:lineRule="auto"/>
      <w:ind w:left="1415"/>
      <w:contextualSpacing/>
      <w:jc w:val="both"/>
    </w:pPr>
    <w:rPr>
      <w:rFonts w:ascii="Times New Roman" w:eastAsia="MS Mincho" w:hAnsi="Times New Roman"/>
      <w:sz w:val="24"/>
      <w:lang w:val="en-GB"/>
    </w:rPr>
  </w:style>
  <w:style w:type="paragraph" w:styleId="ListNumber">
    <w:name w:val="List Number"/>
    <w:basedOn w:val="Normal"/>
    <w:uiPriority w:val="99"/>
    <w:semiHidden/>
    <w:rsid w:val="00391EA1"/>
    <w:pPr>
      <w:numPr>
        <w:numId w:val="10"/>
      </w:numPr>
      <w:spacing w:after="0" w:line="240" w:lineRule="auto"/>
      <w:contextualSpacing/>
      <w:jc w:val="both"/>
    </w:pPr>
    <w:rPr>
      <w:rFonts w:ascii="Times New Roman" w:eastAsia="MS Mincho" w:hAnsi="Times New Roman"/>
      <w:sz w:val="24"/>
      <w:lang w:val="en-GB"/>
    </w:rPr>
  </w:style>
  <w:style w:type="paragraph" w:styleId="ListNumber2">
    <w:name w:val="List Number 2"/>
    <w:basedOn w:val="Normal"/>
    <w:uiPriority w:val="99"/>
    <w:semiHidden/>
    <w:rsid w:val="00391EA1"/>
    <w:pPr>
      <w:numPr>
        <w:numId w:val="11"/>
      </w:numPr>
      <w:spacing w:after="0" w:line="240" w:lineRule="auto"/>
      <w:contextualSpacing/>
      <w:jc w:val="both"/>
    </w:pPr>
    <w:rPr>
      <w:rFonts w:ascii="Times New Roman" w:eastAsia="MS Mincho" w:hAnsi="Times New Roman"/>
      <w:sz w:val="24"/>
      <w:lang w:val="en-GB"/>
    </w:rPr>
  </w:style>
  <w:style w:type="paragraph" w:styleId="ListNumber3">
    <w:name w:val="List Number 3"/>
    <w:basedOn w:val="Normal"/>
    <w:uiPriority w:val="99"/>
    <w:semiHidden/>
    <w:rsid w:val="00391EA1"/>
    <w:pPr>
      <w:numPr>
        <w:numId w:val="12"/>
      </w:numPr>
      <w:spacing w:after="0" w:line="240" w:lineRule="auto"/>
      <w:contextualSpacing/>
      <w:jc w:val="both"/>
    </w:pPr>
    <w:rPr>
      <w:rFonts w:ascii="Times New Roman" w:eastAsia="MS Mincho" w:hAnsi="Times New Roman"/>
      <w:sz w:val="24"/>
      <w:lang w:val="en-GB"/>
    </w:rPr>
  </w:style>
  <w:style w:type="paragraph" w:styleId="ListNumber4">
    <w:name w:val="List Number 4"/>
    <w:basedOn w:val="Normal"/>
    <w:uiPriority w:val="99"/>
    <w:semiHidden/>
    <w:rsid w:val="00391EA1"/>
    <w:pPr>
      <w:numPr>
        <w:numId w:val="13"/>
      </w:numPr>
      <w:spacing w:after="0" w:line="240" w:lineRule="auto"/>
      <w:contextualSpacing/>
      <w:jc w:val="both"/>
    </w:pPr>
    <w:rPr>
      <w:rFonts w:ascii="Times New Roman" w:eastAsia="MS Mincho" w:hAnsi="Times New Roman"/>
      <w:sz w:val="24"/>
      <w:lang w:val="en-GB"/>
    </w:rPr>
  </w:style>
  <w:style w:type="paragraph" w:styleId="ListNumber5">
    <w:name w:val="List Number 5"/>
    <w:basedOn w:val="Normal"/>
    <w:uiPriority w:val="99"/>
    <w:semiHidden/>
    <w:rsid w:val="00391EA1"/>
    <w:pPr>
      <w:numPr>
        <w:numId w:val="14"/>
      </w:numPr>
      <w:spacing w:after="0" w:line="240" w:lineRule="auto"/>
      <w:contextualSpacing/>
      <w:jc w:val="both"/>
    </w:pPr>
    <w:rPr>
      <w:rFonts w:ascii="Times New Roman" w:eastAsia="MS Mincho" w:hAnsi="Times New Roman"/>
      <w:sz w:val="24"/>
      <w:lang w:val="en-GB"/>
    </w:rPr>
  </w:style>
  <w:style w:type="paragraph" w:styleId="MacroText">
    <w:name w:val="macro"/>
    <w:link w:val="MacroTextChar"/>
    <w:uiPriority w:val="99"/>
    <w:semiHidden/>
    <w:rsid w:val="00391EA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MS Mincho" w:hAnsi="Consolas" w:cs="Consolas"/>
      <w:kern w:val="0"/>
      <w:sz w:val="20"/>
      <w:szCs w:val="20"/>
      <w14:ligatures w14:val="none"/>
    </w:rPr>
  </w:style>
  <w:style w:type="character" w:customStyle="1" w:styleId="MacroTextChar">
    <w:name w:val="Macro Text Char"/>
    <w:basedOn w:val="DefaultParagraphFont"/>
    <w:link w:val="MacroText"/>
    <w:uiPriority w:val="99"/>
    <w:semiHidden/>
    <w:rsid w:val="00391EA1"/>
    <w:rPr>
      <w:rFonts w:ascii="Consolas" w:eastAsia="MS Mincho" w:hAnsi="Consolas" w:cs="Consolas"/>
      <w:kern w:val="0"/>
      <w:sz w:val="20"/>
      <w:szCs w:val="20"/>
      <w14:ligatures w14:val="none"/>
    </w:rPr>
  </w:style>
  <w:style w:type="table" w:styleId="MediumGrid1">
    <w:name w:val="Medium Grid 1"/>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
    <w:name w:val="Medium Grid 2"/>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
    <w:name w:val="Medium Grid 3"/>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MediumList1">
    <w:name w:val="Medium List 1"/>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72BC"/>
        <w:bottom w:val="single" w:sz="8" w:space="0" w:color="0072BC"/>
      </w:tblBorders>
    </w:tblPr>
    <w:tblStylePr w:type="firstRow">
      <w:rPr>
        <w:rFonts w:ascii="Times New Roman" w:eastAsia="MS Gothic"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C00000"/>
        <w:bottom w:val="single" w:sz="8" w:space="0" w:color="C00000"/>
      </w:tblBorders>
    </w:tblPr>
    <w:tblStylePr w:type="firstRow">
      <w:rPr>
        <w:rFonts w:ascii="Times New Roman" w:eastAsia="MS Gothic"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969696"/>
        <w:bottom w:val="single" w:sz="8" w:space="0" w:color="969696"/>
      </w:tblBorders>
    </w:tblPr>
    <w:tblStylePr w:type="firstRow">
      <w:rPr>
        <w:rFonts w:ascii="Times New Roman" w:eastAsia="MS Gothic"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4D4D4D"/>
        <w:bottom w:val="single" w:sz="8" w:space="0" w:color="4D4D4D"/>
      </w:tblBorders>
    </w:tblPr>
    <w:tblStylePr w:type="firstRow">
      <w:rPr>
        <w:rFonts w:ascii="Times New Roman" w:eastAsia="MS Gothic"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
    <w:name w:val="Medium List 2"/>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Shading1">
    <w:name w:val="Medium Shading 1"/>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
    <w:name w:val="Medium Shading 2"/>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EA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Times New Roman" w:eastAsia="MS Gothic" w:hAnsi="Times New Roman"/>
      <w:sz w:val="24"/>
      <w:szCs w:val="24"/>
      <w:lang w:val="x-none" w:eastAsia="x-none"/>
    </w:rPr>
  </w:style>
  <w:style w:type="character" w:customStyle="1" w:styleId="MessageHeaderChar">
    <w:name w:val="Message Header Char"/>
    <w:basedOn w:val="DefaultParagraphFont"/>
    <w:link w:val="MessageHeader"/>
    <w:uiPriority w:val="99"/>
    <w:semiHidden/>
    <w:rsid w:val="00391EA1"/>
    <w:rPr>
      <w:rFonts w:ascii="Times New Roman" w:eastAsia="MS Gothic" w:hAnsi="Times New Roman" w:cs="Times New Roman"/>
      <w:kern w:val="0"/>
      <w:sz w:val="24"/>
      <w:szCs w:val="24"/>
      <w:shd w:val="pct20" w:color="auto" w:fill="auto"/>
      <w:lang w:val="x-none" w:eastAsia="x-none"/>
      <w14:ligatures w14:val="none"/>
    </w:rPr>
  </w:style>
  <w:style w:type="paragraph" w:styleId="NormalWeb">
    <w:name w:val="Normal (Web)"/>
    <w:basedOn w:val="Normal"/>
    <w:uiPriority w:val="99"/>
    <w:semiHidden/>
    <w:rsid w:val="00391EA1"/>
    <w:pPr>
      <w:spacing w:after="0" w:line="240" w:lineRule="auto"/>
      <w:jc w:val="both"/>
    </w:pPr>
    <w:rPr>
      <w:rFonts w:ascii="Times New Roman" w:eastAsia="MS Mincho" w:hAnsi="Times New Roman"/>
      <w:sz w:val="24"/>
      <w:szCs w:val="24"/>
      <w:lang w:val="en-GB"/>
    </w:rPr>
  </w:style>
  <w:style w:type="paragraph" w:styleId="NormalIndent">
    <w:name w:val="Normal Indent"/>
    <w:basedOn w:val="Normal"/>
    <w:uiPriority w:val="99"/>
    <w:semiHidden/>
    <w:rsid w:val="00391EA1"/>
    <w:pPr>
      <w:spacing w:after="0" w:line="240" w:lineRule="auto"/>
      <w:ind w:left="720"/>
      <w:jc w:val="both"/>
    </w:pPr>
    <w:rPr>
      <w:rFonts w:ascii="Times New Roman" w:eastAsia="MS Mincho" w:hAnsi="Times New Roman"/>
      <w:sz w:val="24"/>
      <w:lang w:val="en-GB"/>
    </w:rPr>
  </w:style>
  <w:style w:type="paragraph" w:styleId="NoteHeading">
    <w:name w:val="Note Heading"/>
    <w:basedOn w:val="Normal"/>
    <w:next w:val="Normal"/>
    <w:link w:val="NoteHeading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NoteHeadingChar">
    <w:name w:val="Note Heading Char"/>
    <w:basedOn w:val="DefaultParagraphFont"/>
    <w:link w:val="NoteHeading"/>
    <w:uiPriority w:val="99"/>
    <w:semiHidden/>
    <w:rsid w:val="00391EA1"/>
    <w:rPr>
      <w:rFonts w:ascii="Times New Roman" w:eastAsia="MS Mincho" w:hAnsi="Times New Roman" w:cs="Times New Roman"/>
      <w:kern w:val="0"/>
      <w:sz w:val="24"/>
      <w:szCs w:val="20"/>
      <w:lang w:val="x-none" w:eastAsia="x-none"/>
      <w14:ligatures w14:val="none"/>
    </w:rPr>
  </w:style>
  <w:style w:type="character" w:styleId="PlaceholderText">
    <w:name w:val="Placeholder Text"/>
    <w:uiPriority w:val="99"/>
    <w:semiHidden/>
    <w:rsid w:val="00391EA1"/>
    <w:rPr>
      <w:color w:val="auto"/>
      <w:bdr w:val="none" w:sz="0" w:space="0" w:color="auto"/>
      <w:shd w:val="clear" w:color="auto" w:fill="DFDFDF"/>
    </w:rPr>
  </w:style>
  <w:style w:type="paragraph" w:styleId="PlainText">
    <w:name w:val="Plain Text"/>
    <w:basedOn w:val="Normal"/>
    <w:link w:val="PlainTextChar"/>
    <w:uiPriority w:val="99"/>
    <w:semiHidden/>
    <w:rsid w:val="00391EA1"/>
    <w:pPr>
      <w:spacing w:after="0" w:line="240" w:lineRule="auto"/>
      <w:jc w:val="both"/>
    </w:pPr>
    <w:rPr>
      <w:rFonts w:ascii="Consolas" w:eastAsia="MS Mincho" w:hAnsi="Consolas"/>
      <w:sz w:val="21"/>
      <w:szCs w:val="21"/>
      <w:lang w:val="x-none" w:eastAsia="x-none"/>
    </w:rPr>
  </w:style>
  <w:style w:type="character" w:customStyle="1" w:styleId="PlainTextChar">
    <w:name w:val="Plain Text Char"/>
    <w:basedOn w:val="DefaultParagraphFont"/>
    <w:link w:val="PlainText"/>
    <w:uiPriority w:val="99"/>
    <w:semiHidden/>
    <w:rsid w:val="00391EA1"/>
    <w:rPr>
      <w:rFonts w:ascii="Consolas" w:eastAsia="MS Mincho" w:hAnsi="Consolas" w:cs="Times New Roman"/>
      <w:kern w:val="0"/>
      <w:sz w:val="21"/>
      <w:szCs w:val="21"/>
      <w:lang w:val="x-none" w:eastAsia="x-none"/>
      <w14:ligatures w14:val="none"/>
    </w:rPr>
  </w:style>
  <w:style w:type="paragraph" w:styleId="Salutation">
    <w:name w:val="Salutation"/>
    <w:basedOn w:val="Normal"/>
    <w:next w:val="Normal"/>
    <w:link w:val="Salutation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SalutationChar">
    <w:name w:val="Salutation Char"/>
    <w:basedOn w:val="DefaultParagraphFont"/>
    <w:link w:val="Salutation"/>
    <w:uiPriority w:val="99"/>
    <w:semiHidden/>
    <w:rsid w:val="00391EA1"/>
    <w:rPr>
      <w:rFonts w:ascii="Times New Roman" w:eastAsia="MS Mincho" w:hAnsi="Times New Roman" w:cs="Times New Roman"/>
      <w:kern w:val="0"/>
      <w:sz w:val="24"/>
      <w:szCs w:val="20"/>
      <w:lang w:val="x-none" w:eastAsia="x-none"/>
      <w14:ligatures w14:val="none"/>
    </w:rPr>
  </w:style>
  <w:style w:type="paragraph" w:styleId="Signature">
    <w:name w:val="Signature"/>
    <w:basedOn w:val="Normal"/>
    <w:link w:val="SignatureChar"/>
    <w:uiPriority w:val="99"/>
    <w:semiHidden/>
    <w:rsid w:val="00391EA1"/>
    <w:pPr>
      <w:spacing w:after="0" w:line="240" w:lineRule="auto"/>
      <w:ind w:left="4252"/>
      <w:jc w:val="both"/>
    </w:pPr>
    <w:rPr>
      <w:rFonts w:ascii="Times New Roman" w:eastAsia="MS Mincho" w:hAnsi="Times New Roman"/>
      <w:sz w:val="24"/>
      <w:szCs w:val="20"/>
      <w:lang w:val="x-none" w:eastAsia="x-none"/>
    </w:rPr>
  </w:style>
  <w:style w:type="character" w:customStyle="1" w:styleId="SignatureChar">
    <w:name w:val="Signature Char"/>
    <w:basedOn w:val="DefaultParagraphFont"/>
    <w:link w:val="Signature"/>
    <w:uiPriority w:val="99"/>
    <w:semiHidden/>
    <w:rsid w:val="00391EA1"/>
    <w:rPr>
      <w:rFonts w:ascii="Times New Roman" w:eastAsia="MS Mincho" w:hAnsi="Times New Roman" w:cs="Times New Roman"/>
      <w:kern w:val="0"/>
      <w:sz w:val="24"/>
      <w:szCs w:val="20"/>
      <w:lang w:val="x-none" w:eastAsia="x-none"/>
      <w14:ligatures w14:val="none"/>
    </w:rPr>
  </w:style>
  <w:style w:type="table" w:styleId="Table3Deffects1">
    <w:name w:val="Table 3D effects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EA1"/>
    <w:pPr>
      <w:spacing w:after="0" w:line="240" w:lineRule="auto"/>
      <w:jc w:val="both"/>
    </w:pPr>
    <w:rPr>
      <w:rFonts w:ascii="Times New Roman" w:eastAsia="Times New Roma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EA1"/>
    <w:pPr>
      <w:spacing w:after="0" w:line="240" w:lineRule="auto"/>
      <w:jc w:val="both"/>
    </w:pPr>
    <w:rPr>
      <w:rFonts w:ascii="Times New Roman" w:eastAsia="Times New Roman" w:hAnsi="Times New Roman" w:cs="Times New Roman"/>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EA1"/>
    <w:pPr>
      <w:spacing w:after="0" w:line="240" w:lineRule="auto"/>
      <w:ind w:left="240" w:hanging="240"/>
      <w:jc w:val="both"/>
    </w:pPr>
    <w:rPr>
      <w:rFonts w:ascii="Times New Roman" w:eastAsia="MS Mincho" w:hAnsi="Times New Roman"/>
      <w:sz w:val="24"/>
      <w:lang w:val="en-GB"/>
    </w:rPr>
  </w:style>
  <w:style w:type="paragraph" w:styleId="TableofFigures">
    <w:name w:val="table of figures"/>
    <w:basedOn w:val="Normal"/>
    <w:next w:val="Normal"/>
    <w:uiPriority w:val="99"/>
    <w:semiHidden/>
    <w:rsid w:val="00391EA1"/>
    <w:pPr>
      <w:spacing w:after="0" w:line="240" w:lineRule="auto"/>
      <w:jc w:val="both"/>
    </w:pPr>
    <w:rPr>
      <w:rFonts w:ascii="Times New Roman" w:eastAsia="MS Mincho" w:hAnsi="Times New Roman"/>
      <w:sz w:val="24"/>
      <w:lang w:val="en-GB"/>
    </w:rPr>
  </w:style>
  <w:style w:type="table" w:styleId="TableProfessional">
    <w:name w:val="Table Professional"/>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EA1"/>
    <w:pPr>
      <w:tabs>
        <w:tab w:val="right" w:leader="dot" w:pos="7371"/>
      </w:tabs>
      <w:spacing w:after="60" w:line="240" w:lineRule="exact"/>
      <w:ind w:left="2041" w:right="567" w:hanging="340"/>
      <w:jc w:val="both"/>
    </w:pPr>
    <w:rPr>
      <w:rFonts w:ascii="Times New Roman" w:eastAsia="MS Mincho" w:hAnsi="Times New Roman"/>
      <w:sz w:val="20"/>
      <w:lang w:val="en-GB"/>
    </w:rPr>
  </w:style>
  <w:style w:type="paragraph" w:styleId="TOC7">
    <w:name w:val="toc 7"/>
    <w:basedOn w:val="Normal"/>
    <w:next w:val="Normal"/>
    <w:autoRedefine/>
    <w:uiPriority w:val="99"/>
    <w:semiHidden/>
    <w:rsid w:val="00391EA1"/>
    <w:pPr>
      <w:tabs>
        <w:tab w:val="right" w:leader="dot" w:pos="7371"/>
      </w:tabs>
      <w:spacing w:after="60" w:line="240" w:lineRule="exact"/>
      <w:ind w:left="2381" w:right="567" w:hanging="340"/>
      <w:jc w:val="both"/>
    </w:pPr>
    <w:rPr>
      <w:rFonts w:ascii="Times New Roman" w:eastAsia="MS Mincho" w:hAnsi="Times New Roman"/>
      <w:sz w:val="20"/>
      <w:lang w:val="en-GB"/>
    </w:rPr>
  </w:style>
  <w:style w:type="paragraph" w:styleId="TOC8">
    <w:name w:val="toc 8"/>
    <w:basedOn w:val="Normal"/>
    <w:next w:val="Normal"/>
    <w:autoRedefine/>
    <w:uiPriority w:val="99"/>
    <w:semiHidden/>
    <w:rsid w:val="00391EA1"/>
    <w:pPr>
      <w:spacing w:after="100" w:line="240" w:lineRule="auto"/>
      <w:ind w:left="1680"/>
      <w:jc w:val="both"/>
    </w:pPr>
    <w:rPr>
      <w:rFonts w:ascii="Times New Roman" w:eastAsia="MS Mincho" w:hAnsi="Times New Roman"/>
      <w:sz w:val="24"/>
      <w:lang w:val="en-GB"/>
    </w:rPr>
  </w:style>
  <w:style w:type="paragraph" w:styleId="TOC9">
    <w:name w:val="toc 9"/>
    <w:basedOn w:val="Normal"/>
    <w:next w:val="Normal"/>
    <w:autoRedefine/>
    <w:uiPriority w:val="99"/>
    <w:semiHidden/>
    <w:rsid w:val="00391EA1"/>
    <w:pPr>
      <w:spacing w:after="100" w:line="240" w:lineRule="auto"/>
      <w:ind w:left="1920"/>
      <w:jc w:val="both"/>
    </w:pPr>
    <w:rPr>
      <w:rFonts w:ascii="Times New Roman" w:eastAsia="MS Mincho" w:hAnsi="Times New Roman"/>
      <w:sz w:val="24"/>
      <w:lang w:val="en-GB"/>
    </w:rPr>
  </w:style>
  <w:style w:type="paragraph" w:customStyle="1" w:styleId="OpiPara">
    <w:name w:val="Opi_Para"/>
    <w:basedOn w:val="ECHRPara"/>
    <w:uiPriority w:val="46"/>
    <w:qFormat/>
    <w:rsid w:val="00391EA1"/>
  </w:style>
  <w:style w:type="paragraph" w:customStyle="1" w:styleId="OpiParaSub">
    <w:name w:val="Opi_Para_Sub"/>
    <w:basedOn w:val="JuParaSub"/>
    <w:uiPriority w:val="47"/>
    <w:qFormat/>
    <w:rsid w:val="00391EA1"/>
  </w:style>
  <w:style w:type="paragraph" w:customStyle="1" w:styleId="ECHRFooter">
    <w:name w:val="ECHR_Footer"/>
    <w:aliases w:val="Footer_ECHR"/>
    <w:basedOn w:val="Footer"/>
    <w:uiPriority w:val="57"/>
    <w:semiHidden/>
    <w:rsid w:val="00391EA1"/>
    <w:pPr>
      <w:tabs>
        <w:tab w:val="clear" w:pos="4513"/>
        <w:tab w:val="clear" w:pos="9026"/>
        <w:tab w:val="center" w:pos="4536"/>
        <w:tab w:val="right" w:pos="9696"/>
      </w:tabs>
      <w:ind w:left="-680" w:right="-680"/>
    </w:pPr>
    <w:rPr>
      <w:rFonts w:ascii="Times New Roman" w:hAnsi="Times New Roman"/>
      <w:sz w:val="8"/>
      <w:lang w:eastAsia="x-none"/>
    </w:rPr>
  </w:style>
  <w:style w:type="paragraph" w:customStyle="1" w:styleId="ECHRFooterLine">
    <w:name w:val="ECHR_Footer_Line"/>
    <w:aliases w:val="Footer_Line"/>
    <w:basedOn w:val="Normal"/>
    <w:next w:val="ECHRFooter"/>
    <w:uiPriority w:val="57"/>
    <w:semiHidden/>
    <w:rsid w:val="00391EA1"/>
    <w:pPr>
      <w:pBdr>
        <w:top w:val="single" w:sz="6" w:space="1" w:color="5F5F5F"/>
      </w:pBdr>
      <w:tabs>
        <w:tab w:val="center" w:pos="4536"/>
        <w:tab w:val="right" w:pos="9696"/>
      </w:tabs>
      <w:spacing w:after="0" w:line="240" w:lineRule="auto"/>
      <w:ind w:left="-680" w:right="-680"/>
    </w:pPr>
    <w:rPr>
      <w:rFonts w:ascii="Times New Roman" w:eastAsia="MS Mincho" w:hAnsi="Times New Roman"/>
      <w:color w:val="5F5F5F"/>
      <w:sz w:val="24"/>
      <w:lang w:val="en-GB"/>
    </w:rPr>
  </w:style>
  <w:style w:type="paragraph" w:customStyle="1" w:styleId="ECHRTitleCentre2">
    <w:name w:val="ECHR_Title_Centre_2"/>
    <w:aliases w:val="Dec_H_Case"/>
    <w:basedOn w:val="Normal"/>
    <w:next w:val="ECHRPara"/>
    <w:uiPriority w:val="8"/>
    <w:semiHidden/>
    <w:qFormat/>
    <w:rsid w:val="00391EA1"/>
    <w:pPr>
      <w:spacing w:after="240" w:line="240" w:lineRule="auto"/>
      <w:jc w:val="center"/>
      <w:outlineLvl w:val="0"/>
    </w:pPr>
    <w:rPr>
      <w:rFonts w:ascii="Times New Roman" w:eastAsia="MS Mincho" w:hAnsi="Times New Roman"/>
      <w:sz w:val="24"/>
      <w:lang w:val="en-GB"/>
    </w:rPr>
  </w:style>
  <w:style w:type="paragraph" w:customStyle="1" w:styleId="OpiQuot">
    <w:name w:val="Opi_Quot"/>
    <w:basedOn w:val="ECHRParaQuote"/>
    <w:uiPriority w:val="48"/>
    <w:qFormat/>
    <w:rsid w:val="00391EA1"/>
  </w:style>
  <w:style w:type="paragraph" w:customStyle="1" w:styleId="OpiQuotSub">
    <w:name w:val="Opi_Quot_Sub"/>
    <w:basedOn w:val="JuQuotSub"/>
    <w:uiPriority w:val="49"/>
    <w:qFormat/>
    <w:rsid w:val="00391EA1"/>
  </w:style>
  <w:style w:type="paragraph" w:customStyle="1" w:styleId="OpiTranslation">
    <w:name w:val="Opi_Translation"/>
    <w:basedOn w:val="Normal"/>
    <w:next w:val="OpiPara"/>
    <w:uiPriority w:val="40"/>
    <w:qFormat/>
    <w:rsid w:val="00391EA1"/>
    <w:pPr>
      <w:spacing w:after="0" w:line="240" w:lineRule="auto"/>
      <w:jc w:val="center"/>
      <w:outlineLvl w:val="0"/>
    </w:pPr>
    <w:rPr>
      <w:rFonts w:ascii="Times New Roman" w:eastAsia="MS Mincho" w:hAnsi="Times New Roman"/>
      <w:i/>
      <w:sz w:val="24"/>
      <w:lang w:val="en-GB"/>
    </w:rPr>
  </w:style>
  <w:style w:type="character" w:customStyle="1" w:styleId="ECHRParaChar">
    <w:name w:val="ECHR_Para Char"/>
    <w:aliases w:val="Ju_Para Char"/>
    <w:link w:val="ECHRPara"/>
    <w:uiPriority w:val="12"/>
    <w:rsid w:val="00391EA1"/>
    <w:rPr>
      <w:rFonts w:ascii="Times New Roman" w:eastAsia="MS Mincho" w:hAnsi="Times New Roman" w:cs="Times New Roman"/>
      <w:kern w:val="0"/>
      <w:sz w:val="24"/>
      <w:szCs w:val="20"/>
      <w:lang w:val="en-GB" w:eastAsia="x-none"/>
      <w14:ligatures w14:val="none"/>
    </w:rPr>
  </w:style>
  <w:style w:type="paragraph" w:customStyle="1" w:styleId="jupara">
    <w:name w:val="jupara"/>
    <w:basedOn w:val="Normal"/>
    <w:rsid w:val="00391EA1"/>
    <w:pPr>
      <w:spacing w:after="0" w:line="240" w:lineRule="auto"/>
      <w:ind w:firstLine="284"/>
      <w:jc w:val="both"/>
    </w:pPr>
    <w:rPr>
      <w:rFonts w:ascii="Times New Roman" w:hAnsi="Times New Roman"/>
      <w:sz w:val="24"/>
      <w:szCs w:val="24"/>
      <w:lang w:val="en-GB" w:eastAsia="en-GB"/>
    </w:rPr>
  </w:style>
  <w:style w:type="paragraph" w:customStyle="1" w:styleId="jucase0">
    <w:name w:val="jucase"/>
    <w:basedOn w:val="Normal"/>
    <w:rsid w:val="00391EA1"/>
    <w:pPr>
      <w:spacing w:after="0" w:line="240" w:lineRule="auto"/>
      <w:ind w:firstLine="284"/>
      <w:jc w:val="both"/>
    </w:pPr>
    <w:rPr>
      <w:rFonts w:ascii="Times New Roman" w:hAnsi="Times New Roman"/>
      <w:b/>
      <w:bCs/>
      <w:sz w:val="24"/>
      <w:szCs w:val="24"/>
      <w:lang w:val="en-GB" w:eastAsia="en-GB"/>
    </w:rPr>
  </w:style>
  <w:style w:type="paragraph" w:customStyle="1" w:styleId="xp1">
    <w:name w:val="x_p1"/>
    <w:basedOn w:val="Normal"/>
    <w:rsid w:val="00391EA1"/>
    <w:pPr>
      <w:spacing w:before="100" w:beforeAutospacing="1" w:after="100" w:afterAutospacing="1" w:line="240" w:lineRule="auto"/>
    </w:pPr>
    <w:rPr>
      <w:rFonts w:ascii="Times New Roman" w:hAnsi="Times New Roman"/>
      <w:sz w:val="24"/>
      <w:szCs w:val="24"/>
    </w:rPr>
  </w:style>
  <w:style w:type="character" w:customStyle="1" w:styleId="xs1">
    <w:name w:val="x_s1"/>
    <w:rsid w:val="00391EA1"/>
  </w:style>
  <w:style w:type="paragraph" w:customStyle="1" w:styleId="xp2">
    <w:name w:val="x_p2"/>
    <w:basedOn w:val="Normal"/>
    <w:rsid w:val="00391EA1"/>
    <w:pPr>
      <w:spacing w:before="100" w:beforeAutospacing="1" w:after="100" w:afterAutospacing="1" w:line="240" w:lineRule="auto"/>
    </w:pPr>
    <w:rPr>
      <w:rFonts w:ascii="Times New Roman" w:hAnsi="Times New Roman"/>
      <w:sz w:val="24"/>
      <w:szCs w:val="24"/>
    </w:rPr>
  </w:style>
  <w:style w:type="character" w:customStyle="1" w:styleId="xs2">
    <w:name w:val="x_s2"/>
    <w:rsid w:val="00391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672075">
      <w:bodyDiv w:val="1"/>
      <w:marLeft w:val="0"/>
      <w:marRight w:val="0"/>
      <w:marTop w:val="0"/>
      <w:marBottom w:val="0"/>
      <w:divBdr>
        <w:top w:val="none" w:sz="0" w:space="0" w:color="auto"/>
        <w:left w:val="none" w:sz="0" w:space="0" w:color="auto"/>
        <w:bottom w:val="none" w:sz="0" w:space="0" w:color="auto"/>
        <w:right w:val="none" w:sz="0" w:space="0" w:color="auto"/>
      </w:divBdr>
      <w:divsChild>
        <w:div w:id="876544189">
          <w:marLeft w:val="0"/>
          <w:marRight w:val="0"/>
          <w:marTop w:val="0"/>
          <w:marBottom w:val="0"/>
          <w:divBdr>
            <w:top w:val="none" w:sz="0" w:space="0" w:color="auto"/>
            <w:left w:val="none" w:sz="0" w:space="0" w:color="auto"/>
            <w:bottom w:val="none" w:sz="0" w:space="0" w:color="auto"/>
            <w:right w:val="none" w:sz="0" w:space="0" w:color="auto"/>
          </w:divBdr>
        </w:div>
        <w:div w:id="1338653899">
          <w:marLeft w:val="0"/>
          <w:marRight w:val="0"/>
          <w:marTop w:val="0"/>
          <w:marBottom w:val="0"/>
          <w:divBdr>
            <w:top w:val="none" w:sz="0" w:space="0" w:color="auto"/>
            <w:left w:val="none" w:sz="0" w:space="0" w:color="auto"/>
            <w:bottom w:val="none" w:sz="0" w:space="0" w:color="auto"/>
            <w:right w:val="none" w:sz="0" w:space="0" w:color="auto"/>
          </w:divBdr>
        </w:div>
        <w:div w:id="1148549056">
          <w:marLeft w:val="0"/>
          <w:marRight w:val="0"/>
          <w:marTop w:val="0"/>
          <w:marBottom w:val="0"/>
          <w:divBdr>
            <w:top w:val="none" w:sz="0" w:space="0" w:color="auto"/>
            <w:left w:val="none" w:sz="0" w:space="0" w:color="auto"/>
            <w:bottom w:val="none" w:sz="0" w:space="0" w:color="auto"/>
            <w:right w:val="none" w:sz="0" w:space="0" w:color="auto"/>
          </w:divBdr>
        </w:div>
        <w:div w:id="896361412">
          <w:marLeft w:val="0"/>
          <w:marRight w:val="0"/>
          <w:marTop w:val="0"/>
          <w:marBottom w:val="0"/>
          <w:divBdr>
            <w:top w:val="none" w:sz="0" w:space="0" w:color="auto"/>
            <w:left w:val="none" w:sz="0" w:space="0" w:color="auto"/>
            <w:bottom w:val="none" w:sz="0" w:space="0" w:color="auto"/>
            <w:right w:val="none" w:sz="0" w:space="0" w:color="auto"/>
          </w:divBdr>
        </w:div>
        <w:div w:id="1870678400">
          <w:marLeft w:val="0"/>
          <w:marRight w:val="0"/>
          <w:marTop w:val="0"/>
          <w:marBottom w:val="0"/>
          <w:divBdr>
            <w:top w:val="none" w:sz="0" w:space="0" w:color="auto"/>
            <w:left w:val="none" w:sz="0" w:space="0" w:color="auto"/>
            <w:bottom w:val="none" w:sz="0" w:space="0" w:color="auto"/>
            <w:right w:val="none" w:sz="0" w:space="0" w:color="auto"/>
          </w:divBdr>
        </w:div>
        <w:div w:id="1438479748">
          <w:marLeft w:val="0"/>
          <w:marRight w:val="0"/>
          <w:marTop w:val="0"/>
          <w:marBottom w:val="0"/>
          <w:divBdr>
            <w:top w:val="none" w:sz="0" w:space="0" w:color="auto"/>
            <w:left w:val="none" w:sz="0" w:space="0" w:color="auto"/>
            <w:bottom w:val="none" w:sz="0" w:space="0" w:color="auto"/>
            <w:right w:val="none" w:sz="0" w:space="0" w:color="auto"/>
          </w:divBdr>
        </w:div>
        <w:div w:id="1861577929">
          <w:marLeft w:val="0"/>
          <w:marRight w:val="0"/>
          <w:marTop w:val="0"/>
          <w:marBottom w:val="0"/>
          <w:divBdr>
            <w:top w:val="none" w:sz="0" w:space="0" w:color="auto"/>
            <w:left w:val="none" w:sz="0" w:space="0" w:color="auto"/>
            <w:bottom w:val="none" w:sz="0" w:space="0" w:color="auto"/>
            <w:right w:val="none" w:sz="0" w:space="0" w:color="auto"/>
          </w:divBdr>
        </w:div>
        <w:div w:id="7022664">
          <w:marLeft w:val="0"/>
          <w:marRight w:val="0"/>
          <w:marTop w:val="0"/>
          <w:marBottom w:val="0"/>
          <w:divBdr>
            <w:top w:val="none" w:sz="0" w:space="0" w:color="auto"/>
            <w:left w:val="none" w:sz="0" w:space="0" w:color="auto"/>
            <w:bottom w:val="none" w:sz="0" w:space="0" w:color="auto"/>
            <w:right w:val="none" w:sz="0" w:space="0" w:color="auto"/>
          </w:divBdr>
        </w:div>
        <w:div w:id="1996492317">
          <w:marLeft w:val="0"/>
          <w:marRight w:val="0"/>
          <w:marTop w:val="0"/>
          <w:marBottom w:val="0"/>
          <w:divBdr>
            <w:top w:val="none" w:sz="0" w:space="0" w:color="auto"/>
            <w:left w:val="none" w:sz="0" w:space="0" w:color="auto"/>
            <w:bottom w:val="none" w:sz="0" w:space="0" w:color="auto"/>
            <w:right w:val="none" w:sz="0" w:space="0" w:color="auto"/>
          </w:divBdr>
        </w:div>
        <w:div w:id="1787190140">
          <w:marLeft w:val="0"/>
          <w:marRight w:val="0"/>
          <w:marTop w:val="0"/>
          <w:marBottom w:val="0"/>
          <w:divBdr>
            <w:top w:val="none" w:sz="0" w:space="0" w:color="auto"/>
            <w:left w:val="none" w:sz="0" w:space="0" w:color="auto"/>
            <w:bottom w:val="none" w:sz="0" w:space="0" w:color="auto"/>
            <w:right w:val="none" w:sz="0" w:space="0" w:color="auto"/>
          </w:divBdr>
        </w:div>
        <w:div w:id="1122308729">
          <w:marLeft w:val="0"/>
          <w:marRight w:val="0"/>
          <w:marTop w:val="0"/>
          <w:marBottom w:val="0"/>
          <w:divBdr>
            <w:top w:val="none" w:sz="0" w:space="0" w:color="auto"/>
            <w:left w:val="none" w:sz="0" w:space="0" w:color="auto"/>
            <w:bottom w:val="none" w:sz="0" w:space="0" w:color="auto"/>
            <w:right w:val="none" w:sz="0" w:space="0" w:color="auto"/>
          </w:divBdr>
        </w:div>
        <w:div w:id="1162621191">
          <w:marLeft w:val="0"/>
          <w:marRight w:val="0"/>
          <w:marTop w:val="0"/>
          <w:marBottom w:val="0"/>
          <w:divBdr>
            <w:top w:val="none" w:sz="0" w:space="0" w:color="auto"/>
            <w:left w:val="none" w:sz="0" w:space="0" w:color="auto"/>
            <w:bottom w:val="none" w:sz="0" w:space="0" w:color="auto"/>
            <w:right w:val="none" w:sz="0" w:space="0" w:color="auto"/>
          </w:divBdr>
        </w:div>
        <w:div w:id="1857965845">
          <w:marLeft w:val="0"/>
          <w:marRight w:val="0"/>
          <w:marTop w:val="0"/>
          <w:marBottom w:val="0"/>
          <w:divBdr>
            <w:top w:val="none" w:sz="0" w:space="0" w:color="auto"/>
            <w:left w:val="none" w:sz="0" w:space="0" w:color="auto"/>
            <w:bottom w:val="none" w:sz="0" w:space="0" w:color="auto"/>
            <w:right w:val="none" w:sz="0" w:space="0" w:color="auto"/>
          </w:divBdr>
        </w:div>
      </w:divsChild>
    </w:div>
    <w:div w:id="151411739">
      <w:bodyDiv w:val="1"/>
      <w:marLeft w:val="0"/>
      <w:marRight w:val="0"/>
      <w:marTop w:val="0"/>
      <w:marBottom w:val="0"/>
      <w:divBdr>
        <w:top w:val="none" w:sz="0" w:space="0" w:color="auto"/>
        <w:left w:val="none" w:sz="0" w:space="0" w:color="auto"/>
        <w:bottom w:val="none" w:sz="0" w:space="0" w:color="auto"/>
        <w:right w:val="none" w:sz="0" w:space="0" w:color="auto"/>
      </w:divBdr>
      <w:divsChild>
        <w:div w:id="1737508370">
          <w:marLeft w:val="0"/>
          <w:marRight w:val="0"/>
          <w:marTop w:val="0"/>
          <w:marBottom w:val="0"/>
          <w:divBdr>
            <w:top w:val="none" w:sz="0" w:space="0" w:color="auto"/>
            <w:left w:val="none" w:sz="0" w:space="0" w:color="auto"/>
            <w:bottom w:val="none" w:sz="0" w:space="0" w:color="auto"/>
            <w:right w:val="none" w:sz="0" w:space="0" w:color="auto"/>
          </w:divBdr>
        </w:div>
        <w:div w:id="1243176847">
          <w:marLeft w:val="0"/>
          <w:marRight w:val="0"/>
          <w:marTop w:val="0"/>
          <w:marBottom w:val="0"/>
          <w:divBdr>
            <w:top w:val="none" w:sz="0" w:space="0" w:color="auto"/>
            <w:left w:val="none" w:sz="0" w:space="0" w:color="auto"/>
            <w:bottom w:val="none" w:sz="0" w:space="0" w:color="auto"/>
            <w:right w:val="none" w:sz="0" w:space="0" w:color="auto"/>
          </w:divBdr>
        </w:div>
      </w:divsChild>
    </w:div>
    <w:div w:id="219944363">
      <w:bodyDiv w:val="1"/>
      <w:marLeft w:val="0"/>
      <w:marRight w:val="0"/>
      <w:marTop w:val="0"/>
      <w:marBottom w:val="0"/>
      <w:divBdr>
        <w:top w:val="none" w:sz="0" w:space="0" w:color="auto"/>
        <w:left w:val="none" w:sz="0" w:space="0" w:color="auto"/>
        <w:bottom w:val="none" w:sz="0" w:space="0" w:color="auto"/>
        <w:right w:val="none" w:sz="0" w:space="0" w:color="auto"/>
      </w:divBdr>
      <w:divsChild>
        <w:div w:id="474302189">
          <w:marLeft w:val="0"/>
          <w:marRight w:val="0"/>
          <w:marTop w:val="0"/>
          <w:marBottom w:val="0"/>
          <w:divBdr>
            <w:top w:val="none" w:sz="0" w:space="0" w:color="auto"/>
            <w:left w:val="none" w:sz="0" w:space="0" w:color="auto"/>
            <w:bottom w:val="none" w:sz="0" w:space="0" w:color="auto"/>
            <w:right w:val="none" w:sz="0" w:space="0" w:color="auto"/>
          </w:divBdr>
        </w:div>
        <w:div w:id="528371887">
          <w:marLeft w:val="0"/>
          <w:marRight w:val="0"/>
          <w:marTop w:val="0"/>
          <w:marBottom w:val="0"/>
          <w:divBdr>
            <w:top w:val="none" w:sz="0" w:space="0" w:color="auto"/>
            <w:left w:val="none" w:sz="0" w:space="0" w:color="auto"/>
            <w:bottom w:val="none" w:sz="0" w:space="0" w:color="auto"/>
            <w:right w:val="none" w:sz="0" w:space="0" w:color="auto"/>
          </w:divBdr>
        </w:div>
        <w:div w:id="1578978998">
          <w:marLeft w:val="0"/>
          <w:marRight w:val="0"/>
          <w:marTop w:val="0"/>
          <w:marBottom w:val="0"/>
          <w:divBdr>
            <w:top w:val="none" w:sz="0" w:space="0" w:color="auto"/>
            <w:left w:val="none" w:sz="0" w:space="0" w:color="auto"/>
            <w:bottom w:val="none" w:sz="0" w:space="0" w:color="auto"/>
            <w:right w:val="none" w:sz="0" w:space="0" w:color="auto"/>
          </w:divBdr>
        </w:div>
        <w:div w:id="1219587169">
          <w:marLeft w:val="0"/>
          <w:marRight w:val="0"/>
          <w:marTop w:val="0"/>
          <w:marBottom w:val="0"/>
          <w:divBdr>
            <w:top w:val="none" w:sz="0" w:space="0" w:color="auto"/>
            <w:left w:val="none" w:sz="0" w:space="0" w:color="auto"/>
            <w:bottom w:val="none" w:sz="0" w:space="0" w:color="auto"/>
            <w:right w:val="none" w:sz="0" w:space="0" w:color="auto"/>
          </w:divBdr>
        </w:div>
        <w:div w:id="1597398379">
          <w:marLeft w:val="0"/>
          <w:marRight w:val="0"/>
          <w:marTop w:val="0"/>
          <w:marBottom w:val="0"/>
          <w:divBdr>
            <w:top w:val="none" w:sz="0" w:space="0" w:color="auto"/>
            <w:left w:val="none" w:sz="0" w:space="0" w:color="auto"/>
            <w:bottom w:val="none" w:sz="0" w:space="0" w:color="auto"/>
            <w:right w:val="none" w:sz="0" w:space="0" w:color="auto"/>
          </w:divBdr>
        </w:div>
        <w:div w:id="130024906">
          <w:marLeft w:val="0"/>
          <w:marRight w:val="0"/>
          <w:marTop w:val="0"/>
          <w:marBottom w:val="0"/>
          <w:divBdr>
            <w:top w:val="none" w:sz="0" w:space="0" w:color="auto"/>
            <w:left w:val="none" w:sz="0" w:space="0" w:color="auto"/>
            <w:bottom w:val="none" w:sz="0" w:space="0" w:color="auto"/>
            <w:right w:val="none" w:sz="0" w:space="0" w:color="auto"/>
          </w:divBdr>
        </w:div>
        <w:div w:id="786117422">
          <w:marLeft w:val="0"/>
          <w:marRight w:val="0"/>
          <w:marTop w:val="0"/>
          <w:marBottom w:val="0"/>
          <w:divBdr>
            <w:top w:val="none" w:sz="0" w:space="0" w:color="auto"/>
            <w:left w:val="none" w:sz="0" w:space="0" w:color="auto"/>
            <w:bottom w:val="none" w:sz="0" w:space="0" w:color="auto"/>
            <w:right w:val="none" w:sz="0" w:space="0" w:color="auto"/>
          </w:divBdr>
        </w:div>
        <w:div w:id="370347723">
          <w:marLeft w:val="0"/>
          <w:marRight w:val="0"/>
          <w:marTop w:val="0"/>
          <w:marBottom w:val="0"/>
          <w:divBdr>
            <w:top w:val="none" w:sz="0" w:space="0" w:color="auto"/>
            <w:left w:val="none" w:sz="0" w:space="0" w:color="auto"/>
            <w:bottom w:val="none" w:sz="0" w:space="0" w:color="auto"/>
            <w:right w:val="none" w:sz="0" w:space="0" w:color="auto"/>
          </w:divBdr>
        </w:div>
        <w:div w:id="186259424">
          <w:marLeft w:val="0"/>
          <w:marRight w:val="0"/>
          <w:marTop w:val="0"/>
          <w:marBottom w:val="0"/>
          <w:divBdr>
            <w:top w:val="none" w:sz="0" w:space="0" w:color="auto"/>
            <w:left w:val="none" w:sz="0" w:space="0" w:color="auto"/>
            <w:bottom w:val="none" w:sz="0" w:space="0" w:color="auto"/>
            <w:right w:val="none" w:sz="0" w:space="0" w:color="auto"/>
          </w:divBdr>
        </w:div>
        <w:div w:id="221019149">
          <w:marLeft w:val="0"/>
          <w:marRight w:val="0"/>
          <w:marTop w:val="0"/>
          <w:marBottom w:val="0"/>
          <w:divBdr>
            <w:top w:val="none" w:sz="0" w:space="0" w:color="auto"/>
            <w:left w:val="none" w:sz="0" w:space="0" w:color="auto"/>
            <w:bottom w:val="none" w:sz="0" w:space="0" w:color="auto"/>
            <w:right w:val="none" w:sz="0" w:space="0" w:color="auto"/>
          </w:divBdr>
        </w:div>
        <w:div w:id="804468330">
          <w:marLeft w:val="0"/>
          <w:marRight w:val="0"/>
          <w:marTop w:val="0"/>
          <w:marBottom w:val="0"/>
          <w:divBdr>
            <w:top w:val="none" w:sz="0" w:space="0" w:color="auto"/>
            <w:left w:val="none" w:sz="0" w:space="0" w:color="auto"/>
            <w:bottom w:val="none" w:sz="0" w:space="0" w:color="auto"/>
            <w:right w:val="none" w:sz="0" w:space="0" w:color="auto"/>
          </w:divBdr>
        </w:div>
        <w:div w:id="564537156">
          <w:marLeft w:val="0"/>
          <w:marRight w:val="0"/>
          <w:marTop w:val="0"/>
          <w:marBottom w:val="0"/>
          <w:divBdr>
            <w:top w:val="none" w:sz="0" w:space="0" w:color="auto"/>
            <w:left w:val="none" w:sz="0" w:space="0" w:color="auto"/>
            <w:bottom w:val="none" w:sz="0" w:space="0" w:color="auto"/>
            <w:right w:val="none" w:sz="0" w:space="0" w:color="auto"/>
          </w:divBdr>
        </w:div>
        <w:div w:id="1863980501">
          <w:marLeft w:val="0"/>
          <w:marRight w:val="0"/>
          <w:marTop w:val="0"/>
          <w:marBottom w:val="0"/>
          <w:divBdr>
            <w:top w:val="none" w:sz="0" w:space="0" w:color="auto"/>
            <w:left w:val="none" w:sz="0" w:space="0" w:color="auto"/>
            <w:bottom w:val="none" w:sz="0" w:space="0" w:color="auto"/>
            <w:right w:val="none" w:sz="0" w:space="0" w:color="auto"/>
          </w:divBdr>
        </w:div>
        <w:div w:id="486626106">
          <w:marLeft w:val="0"/>
          <w:marRight w:val="0"/>
          <w:marTop w:val="0"/>
          <w:marBottom w:val="0"/>
          <w:divBdr>
            <w:top w:val="none" w:sz="0" w:space="0" w:color="auto"/>
            <w:left w:val="none" w:sz="0" w:space="0" w:color="auto"/>
            <w:bottom w:val="none" w:sz="0" w:space="0" w:color="auto"/>
            <w:right w:val="none" w:sz="0" w:space="0" w:color="auto"/>
          </w:divBdr>
        </w:div>
        <w:div w:id="39980172">
          <w:marLeft w:val="0"/>
          <w:marRight w:val="0"/>
          <w:marTop w:val="0"/>
          <w:marBottom w:val="0"/>
          <w:divBdr>
            <w:top w:val="none" w:sz="0" w:space="0" w:color="auto"/>
            <w:left w:val="none" w:sz="0" w:space="0" w:color="auto"/>
            <w:bottom w:val="none" w:sz="0" w:space="0" w:color="auto"/>
            <w:right w:val="none" w:sz="0" w:space="0" w:color="auto"/>
          </w:divBdr>
        </w:div>
        <w:div w:id="1939363421">
          <w:marLeft w:val="0"/>
          <w:marRight w:val="0"/>
          <w:marTop w:val="0"/>
          <w:marBottom w:val="0"/>
          <w:divBdr>
            <w:top w:val="none" w:sz="0" w:space="0" w:color="auto"/>
            <w:left w:val="none" w:sz="0" w:space="0" w:color="auto"/>
            <w:bottom w:val="none" w:sz="0" w:space="0" w:color="auto"/>
            <w:right w:val="none" w:sz="0" w:space="0" w:color="auto"/>
          </w:divBdr>
        </w:div>
        <w:div w:id="1073893006">
          <w:marLeft w:val="0"/>
          <w:marRight w:val="0"/>
          <w:marTop w:val="0"/>
          <w:marBottom w:val="0"/>
          <w:divBdr>
            <w:top w:val="none" w:sz="0" w:space="0" w:color="auto"/>
            <w:left w:val="none" w:sz="0" w:space="0" w:color="auto"/>
            <w:bottom w:val="none" w:sz="0" w:space="0" w:color="auto"/>
            <w:right w:val="none" w:sz="0" w:space="0" w:color="auto"/>
          </w:divBdr>
        </w:div>
        <w:div w:id="865021231">
          <w:marLeft w:val="0"/>
          <w:marRight w:val="0"/>
          <w:marTop w:val="0"/>
          <w:marBottom w:val="0"/>
          <w:divBdr>
            <w:top w:val="none" w:sz="0" w:space="0" w:color="auto"/>
            <w:left w:val="none" w:sz="0" w:space="0" w:color="auto"/>
            <w:bottom w:val="none" w:sz="0" w:space="0" w:color="auto"/>
            <w:right w:val="none" w:sz="0" w:space="0" w:color="auto"/>
          </w:divBdr>
        </w:div>
        <w:div w:id="45683863">
          <w:marLeft w:val="0"/>
          <w:marRight w:val="0"/>
          <w:marTop w:val="0"/>
          <w:marBottom w:val="0"/>
          <w:divBdr>
            <w:top w:val="none" w:sz="0" w:space="0" w:color="auto"/>
            <w:left w:val="none" w:sz="0" w:space="0" w:color="auto"/>
            <w:bottom w:val="none" w:sz="0" w:space="0" w:color="auto"/>
            <w:right w:val="none" w:sz="0" w:space="0" w:color="auto"/>
          </w:divBdr>
        </w:div>
        <w:div w:id="1783108163">
          <w:marLeft w:val="0"/>
          <w:marRight w:val="0"/>
          <w:marTop w:val="0"/>
          <w:marBottom w:val="0"/>
          <w:divBdr>
            <w:top w:val="none" w:sz="0" w:space="0" w:color="auto"/>
            <w:left w:val="none" w:sz="0" w:space="0" w:color="auto"/>
            <w:bottom w:val="none" w:sz="0" w:space="0" w:color="auto"/>
            <w:right w:val="none" w:sz="0" w:space="0" w:color="auto"/>
          </w:divBdr>
        </w:div>
        <w:div w:id="393355112">
          <w:marLeft w:val="0"/>
          <w:marRight w:val="0"/>
          <w:marTop w:val="0"/>
          <w:marBottom w:val="0"/>
          <w:divBdr>
            <w:top w:val="none" w:sz="0" w:space="0" w:color="auto"/>
            <w:left w:val="none" w:sz="0" w:space="0" w:color="auto"/>
            <w:bottom w:val="none" w:sz="0" w:space="0" w:color="auto"/>
            <w:right w:val="none" w:sz="0" w:space="0" w:color="auto"/>
          </w:divBdr>
        </w:div>
        <w:div w:id="1584216068">
          <w:marLeft w:val="0"/>
          <w:marRight w:val="0"/>
          <w:marTop w:val="0"/>
          <w:marBottom w:val="0"/>
          <w:divBdr>
            <w:top w:val="none" w:sz="0" w:space="0" w:color="auto"/>
            <w:left w:val="none" w:sz="0" w:space="0" w:color="auto"/>
            <w:bottom w:val="none" w:sz="0" w:space="0" w:color="auto"/>
            <w:right w:val="none" w:sz="0" w:space="0" w:color="auto"/>
          </w:divBdr>
        </w:div>
        <w:div w:id="10887060">
          <w:marLeft w:val="0"/>
          <w:marRight w:val="0"/>
          <w:marTop w:val="0"/>
          <w:marBottom w:val="0"/>
          <w:divBdr>
            <w:top w:val="none" w:sz="0" w:space="0" w:color="auto"/>
            <w:left w:val="none" w:sz="0" w:space="0" w:color="auto"/>
            <w:bottom w:val="none" w:sz="0" w:space="0" w:color="auto"/>
            <w:right w:val="none" w:sz="0" w:space="0" w:color="auto"/>
          </w:divBdr>
        </w:div>
        <w:div w:id="1865559856">
          <w:marLeft w:val="0"/>
          <w:marRight w:val="0"/>
          <w:marTop w:val="0"/>
          <w:marBottom w:val="0"/>
          <w:divBdr>
            <w:top w:val="none" w:sz="0" w:space="0" w:color="auto"/>
            <w:left w:val="none" w:sz="0" w:space="0" w:color="auto"/>
            <w:bottom w:val="none" w:sz="0" w:space="0" w:color="auto"/>
            <w:right w:val="none" w:sz="0" w:space="0" w:color="auto"/>
          </w:divBdr>
        </w:div>
        <w:div w:id="1368603164">
          <w:marLeft w:val="0"/>
          <w:marRight w:val="0"/>
          <w:marTop w:val="0"/>
          <w:marBottom w:val="0"/>
          <w:divBdr>
            <w:top w:val="none" w:sz="0" w:space="0" w:color="auto"/>
            <w:left w:val="none" w:sz="0" w:space="0" w:color="auto"/>
            <w:bottom w:val="none" w:sz="0" w:space="0" w:color="auto"/>
            <w:right w:val="none" w:sz="0" w:space="0" w:color="auto"/>
          </w:divBdr>
        </w:div>
        <w:div w:id="1880047290">
          <w:marLeft w:val="0"/>
          <w:marRight w:val="0"/>
          <w:marTop w:val="0"/>
          <w:marBottom w:val="0"/>
          <w:divBdr>
            <w:top w:val="none" w:sz="0" w:space="0" w:color="auto"/>
            <w:left w:val="none" w:sz="0" w:space="0" w:color="auto"/>
            <w:bottom w:val="none" w:sz="0" w:space="0" w:color="auto"/>
            <w:right w:val="none" w:sz="0" w:space="0" w:color="auto"/>
          </w:divBdr>
        </w:div>
        <w:div w:id="1979801354">
          <w:marLeft w:val="0"/>
          <w:marRight w:val="0"/>
          <w:marTop w:val="0"/>
          <w:marBottom w:val="0"/>
          <w:divBdr>
            <w:top w:val="none" w:sz="0" w:space="0" w:color="auto"/>
            <w:left w:val="none" w:sz="0" w:space="0" w:color="auto"/>
            <w:bottom w:val="none" w:sz="0" w:space="0" w:color="auto"/>
            <w:right w:val="none" w:sz="0" w:space="0" w:color="auto"/>
          </w:divBdr>
        </w:div>
        <w:div w:id="501556207">
          <w:marLeft w:val="0"/>
          <w:marRight w:val="0"/>
          <w:marTop w:val="0"/>
          <w:marBottom w:val="0"/>
          <w:divBdr>
            <w:top w:val="none" w:sz="0" w:space="0" w:color="auto"/>
            <w:left w:val="none" w:sz="0" w:space="0" w:color="auto"/>
            <w:bottom w:val="none" w:sz="0" w:space="0" w:color="auto"/>
            <w:right w:val="none" w:sz="0" w:space="0" w:color="auto"/>
          </w:divBdr>
        </w:div>
        <w:div w:id="461844108">
          <w:marLeft w:val="0"/>
          <w:marRight w:val="0"/>
          <w:marTop w:val="0"/>
          <w:marBottom w:val="0"/>
          <w:divBdr>
            <w:top w:val="none" w:sz="0" w:space="0" w:color="auto"/>
            <w:left w:val="none" w:sz="0" w:space="0" w:color="auto"/>
            <w:bottom w:val="none" w:sz="0" w:space="0" w:color="auto"/>
            <w:right w:val="none" w:sz="0" w:space="0" w:color="auto"/>
          </w:divBdr>
        </w:div>
        <w:div w:id="1295872638">
          <w:marLeft w:val="0"/>
          <w:marRight w:val="0"/>
          <w:marTop w:val="0"/>
          <w:marBottom w:val="0"/>
          <w:divBdr>
            <w:top w:val="none" w:sz="0" w:space="0" w:color="auto"/>
            <w:left w:val="none" w:sz="0" w:space="0" w:color="auto"/>
            <w:bottom w:val="none" w:sz="0" w:space="0" w:color="auto"/>
            <w:right w:val="none" w:sz="0" w:space="0" w:color="auto"/>
          </w:divBdr>
        </w:div>
        <w:div w:id="1823112182">
          <w:marLeft w:val="0"/>
          <w:marRight w:val="0"/>
          <w:marTop w:val="0"/>
          <w:marBottom w:val="0"/>
          <w:divBdr>
            <w:top w:val="none" w:sz="0" w:space="0" w:color="auto"/>
            <w:left w:val="none" w:sz="0" w:space="0" w:color="auto"/>
            <w:bottom w:val="none" w:sz="0" w:space="0" w:color="auto"/>
            <w:right w:val="none" w:sz="0" w:space="0" w:color="auto"/>
          </w:divBdr>
        </w:div>
        <w:div w:id="699087540">
          <w:marLeft w:val="0"/>
          <w:marRight w:val="0"/>
          <w:marTop w:val="0"/>
          <w:marBottom w:val="0"/>
          <w:divBdr>
            <w:top w:val="none" w:sz="0" w:space="0" w:color="auto"/>
            <w:left w:val="none" w:sz="0" w:space="0" w:color="auto"/>
            <w:bottom w:val="none" w:sz="0" w:space="0" w:color="auto"/>
            <w:right w:val="none" w:sz="0" w:space="0" w:color="auto"/>
          </w:divBdr>
        </w:div>
        <w:div w:id="642468141">
          <w:marLeft w:val="0"/>
          <w:marRight w:val="0"/>
          <w:marTop w:val="0"/>
          <w:marBottom w:val="0"/>
          <w:divBdr>
            <w:top w:val="none" w:sz="0" w:space="0" w:color="auto"/>
            <w:left w:val="none" w:sz="0" w:space="0" w:color="auto"/>
            <w:bottom w:val="none" w:sz="0" w:space="0" w:color="auto"/>
            <w:right w:val="none" w:sz="0" w:space="0" w:color="auto"/>
          </w:divBdr>
        </w:div>
        <w:div w:id="1909609276">
          <w:marLeft w:val="0"/>
          <w:marRight w:val="0"/>
          <w:marTop w:val="0"/>
          <w:marBottom w:val="0"/>
          <w:divBdr>
            <w:top w:val="none" w:sz="0" w:space="0" w:color="auto"/>
            <w:left w:val="none" w:sz="0" w:space="0" w:color="auto"/>
            <w:bottom w:val="none" w:sz="0" w:space="0" w:color="auto"/>
            <w:right w:val="none" w:sz="0" w:space="0" w:color="auto"/>
          </w:divBdr>
        </w:div>
        <w:div w:id="1263800656">
          <w:marLeft w:val="0"/>
          <w:marRight w:val="0"/>
          <w:marTop w:val="0"/>
          <w:marBottom w:val="0"/>
          <w:divBdr>
            <w:top w:val="none" w:sz="0" w:space="0" w:color="auto"/>
            <w:left w:val="none" w:sz="0" w:space="0" w:color="auto"/>
            <w:bottom w:val="none" w:sz="0" w:space="0" w:color="auto"/>
            <w:right w:val="none" w:sz="0" w:space="0" w:color="auto"/>
          </w:divBdr>
        </w:div>
        <w:div w:id="959608006">
          <w:marLeft w:val="0"/>
          <w:marRight w:val="0"/>
          <w:marTop w:val="0"/>
          <w:marBottom w:val="0"/>
          <w:divBdr>
            <w:top w:val="none" w:sz="0" w:space="0" w:color="auto"/>
            <w:left w:val="none" w:sz="0" w:space="0" w:color="auto"/>
            <w:bottom w:val="none" w:sz="0" w:space="0" w:color="auto"/>
            <w:right w:val="none" w:sz="0" w:space="0" w:color="auto"/>
          </w:divBdr>
        </w:div>
      </w:divsChild>
    </w:div>
    <w:div w:id="483159465">
      <w:bodyDiv w:val="1"/>
      <w:marLeft w:val="0"/>
      <w:marRight w:val="0"/>
      <w:marTop w:val="0"/>
      <w:marBottom w:val="0"/>
      <w:divBdr>
        <w:top w:val="none" w:sz="0" w:space="0" w:color="auto"/>
        <w:left w:val="none" w:sz="0" w:space="0" w:color="auto"/>
        <w:bottom w:val="none" w:sz="0" w:space="0" w:color="auto"/>
        <w:right w:val="none" w:sz="0" w:space="0" w:color="auto"/>
      </w:divBdr>
      <w:divsChild>
        <w:div w:id="579952050">
          <w:marLeft w:val="0"/>
          <w:marRight w:val="0"/>
          <w:marTop w:val="0"/>
          <w:marBottom w:val="0"/>
          <w:divBdr>
            <w:top w:val="none" w:sz="0" w:space="0" w:color="auto"/>
            <w:left w:val="none" w:sz="0" w:space="0" w:color="auto"/>
            <w:bottom w:val="none" w:sz="0" w:space="0" w:color="auto"/>
            <w:right w:val="none" w:sz="0" w:space="0" w:color="auto"/>
          </w:divBdr>
        </w:div>
        <w:div w:id="133639766">
          <w:marLeft w:val="0"/>
          <w:marRight w:val="0"/>
          <w:marTop w:val="0"/>
          <w:marBottom w:val="0"/>
          <w:divBdr>
            <w:top w:val="none" w:sz="0" w:space="0" w:color="auto"/>
            <w:left w:val="none" w:sz="0" w:space="0" w:color="auto"/>
            <w:bottom w:val="none" w:sz="0" w:space="0" w:color="auto"/>
            <w:right w:val="none" w:sz="0" w:space="0" w:color="auto"/>
          </w:divBdr>
        </w:div>
      </w:divsChild>
    </w:div>
    <w:div w:id="528421936">
      <w:bodyDiv w:val="1"/>
      <w:marLeft w:val="0"/>
      <w:marRight w:val="0"/>
      <w:marTop w:val="0"/>
      <w:marBottom w:val="0"/>
      <w:divBdr>
        <w:top w:val="none" w:sz="0" w:space="0" w:color="auto"/>
        <w:left w:val="none" w:sz="0" w:space="0" w:color="auto"/>
        <w:bottom w:val="none" w:sz="0" w:space="0" w:color="auto"/>
        <w:right w:val="none" w:sz="0" w:space="0" w:color="auto"/>
      </w:divBdr>
    </w:div>
    <w:div w:id="584148942">
      <w:bodyDiv w:val="1"/>
      <w:marLeft w:val="0"/>
      <w:marRight w:val="0"/>
      <w:marTop w:val="0"/>
      <w:marBottom w:val="0"/>
      <w:divBdr>
        <w:top w:val="none" w:sz="0" w:space="0" w:color="auto"/>
        <w:left w:val="none" w:sz="0" w:space="0" w:color="auto"/>
        <w:bottom w:val="none" w:sz="0" w:space="0" w:color="auto"/>
        <w:right w:val="none" w:sz="0" w:space="0" w:color="auto"/>
      </w:divBdr>
      <w:divsChild>
        <w:div w:id="1093942219">
          <w:marLeft w:val="0"/>
          <w:marRight w:val="0"/>
          <w:marTop w:val="15"/>
          <w:marBottom w:val="0"/>
          <w:divBdr>
            <w:top w:val="none" w:sz="0" w:space="0" w:color="auto"/>
            <w:left w:val="none" w:sz="0" w:space="0" w:color="auto"/>
            <w:bottom w:val="none" w:sz="0" w:space="0" w:color="auto"/>
            <w:right w:val="none" w:sz="0" w:space="0" w:color="auto"/>
          </w:divBdr>
          <w:divsChild>
            <w:div w:id="2135364114">
              <w:marLeft w:val="0"/>
              <w:marRight w:val="0"/>
              <w:marTop w:val="0"/>
              <w:marBottom w:val="0"/>
              <w:divBdr>
                <w:top w:val="single" w:sz="6" w:space="0" w:color="808080"/>
                <w:left w:val="single" w:sz="6" w:space="0" w:color="808080"/>
                <w:bottom w:val="single" w:sz="6" w:space="0" w:color="808080"/>
                <w:right w:val="single" w:sz="6" w:space="0" w:color="808080"/>
              </w:divBdr>
              <w:divsChild>
                <w:div w:id="1470050477">
                  <w:marLeft w:val="0"/>
                  <w:marRight w:val="0"/>
                  <w:marTop w:val="0"/>
                  <w:marBottom w:val="0"/>
                  <w:divBdr>
                    <w:top w:val="none" w:sz="0" w:space="0" w:color="auto"/>
                    <w:left w:val="none" w:sz="0" w:space="0" w:color="auto"/>
                    <w:bottom w:val="none" w:sz="0" w:space="0" w:color="auto"/>
                    <w:right w:val="none" w:sz="0" w:space="0" w:color="auto"/>
                  </w:divBdr>
                </w:div>
                <w:div w:id="2030835273">
                  <w:marLeft w:val="0"/>
                  <w:marRight w:val="0"/>
                  <w:marTop w:val="0"/>
                  <w:marBottom w:val="0"/>
                  <w:divBdr>
                    <w:top w:val="none" w:sz="0" w:space="0" w:color="auto"/>
                    <w:left w:val="none" w:sz="0" w:space="0" w:color="auto"/>
                    <w:bottom w:val="none" w:sz="0" w:space="0" w:color="auto"/>
                    <w:right w:val="none" w:sz="0" w:space="0" w:color="auto"/>
                  </w:divBdr>
                </w:div>
                <w:div w:id="2028946123">
                  <w:marLeft w:val="0"/>
                  <w:marRight w:val="0"/>
                  <w:marTop w:val="0"/>
                  <w:marBottom w:val="0"/>
                  <w:divBdr>
                    <w:top w:val="none" w:sz="0" w:space="0" w:color="auto"/>
                    <w:left w:val="none" w:sz="0" w:space="0" w:color="auto"/>
                    <w:bottom w:val="none" w:sz="0" w:space="0" w:color="auto"/>
                    <w:right w:val="none" w:sz="0" w:space="0" w:color="auto"/>
                  </w:divBdr>
                </w:div>
                <w:div w:id="203951462">
                  <w:marLeft w:val="0"/>
                  <w:marRight w:val="0"/>
                  <w:marTop w:val="0"/>
                  <w:marBottom w:val="0"/>
                  <w:divBdr>
                    <w:top w:val="none" w:sz="0" w:space="0" w:color="auto"/>
                    <w:left w:val="none" w:sz="0" w:space="0" w:color="auto"/>
                    <w:bottom w:val="none" w:sz="0" w:space="0" w:color="auto"/>
                    <w:right w:val="none" w:sz="0" w:space="0" w:color="auto"/>
                  </w:divBdr>
                </w:div>
                <w:div w:id="68046182">
                  <w:marLeft w:val="0"/>
                  <w:marRight w:val="0"/>
                  <w:marTop w:val="0"/>
                  <w:marBottom w:val="0"/>
                  <w:divBdr>
                    <w:top w:val="none" w:sz="0" w:space="0" w:color="auto"/>
                    <w:left w:val="none" w:sz="0" w:space="0" w:color="auto"/>
                    <w:bottom w:val="none" w:sz="0" w:space="0" w:color="auto"/>
                    <w:right w:val="none" w:sz="0" w:space="0" w:color="auto"/>
                  </w:divBdr>
                </w:div>
                <w:div w:id="1880127596">
                  <w:marLeft w:val="0"/>
                  <w:marRight w:val="0"/>
                  <w:marTop w:val="0"/>
                  <w:marBottom w:val="0"/>
                  <w:divBdr>
                    <w:top w:val="none" w:sz="0" w:space="0" w:color="auto"/>
                    <w:left w:val="none" w:sz="0" w:space="0" w:color="auto"/>
                    <w:bottom w:val="none" w:sz="0" w:space="0" w:color="auto"/>
                    <w:right w:val="none" w:sz="0" w:space="0" w:color="auto"/>
                  </w:divBdr>
                </w:div>
                <w:div w:id="2059545303">
                  <w:marLeft w:val="0"/>
                  <w:marRight w:val="0"/>
                  <w:marTop w:val="0"/>
                  <w:marBottom w:val="0"/>
                  <w:divBdr>
                    <w:top w:val="none" w:sz="0" w:space="0" w:color="auto"/>
                    <w:left w:val="none" w:sz="0" w:space="0" w:color="auto"/>
                    <w:bottom w:val="none" w:sz="0" w:space="0" w:color="auto"/>
                    <w:right w:val="none" w:sz="0" w:space="0" w:color="auto"/>
                  </w:divBdr>
                </w:div>
                <w:div w:id="550460704">
                  <w:marLeft w:val="0"/>
                  <w:marRight w:val="0"/>
                  <w:marTop w:val="0"/>
                  <w:marBottom w:val="0"/>
                  <w:divBdr>
                    <w:top w:val="none" w:sz="0" w:space="0" w:color="auto"/>
                    <w:left w:val="none" w:sz="0" w:space="0" w:color="auto"/>
                    <w:bottom w:val="none" w:sz="0" w:space="0" w:color="auto"/>
                    <w:right w:val="none" w:sz="0" w:space="0" w:color="auto"/>
                  </w:divBdr>
                </w:div>
                <w:div w:id="1230775288">
                  <w:marLeft w:val="0"/>
                  <w:marRight w:val="0"/>
                  <w:marTop w:val="0"/>
                  <w:marBottom w:val="0"/>
                  <w:divBdr>
                    <w:top w:val="none" w:sz="0" w:space="0" w:color="auto"/>
                    <w:left w:val="none" w:sz="0" w:space="0" w:color="auto"/>
                    <w:bottom w:val="none" w:sz="0" w:space="0" w:color="auto"/>
                    <w:right w:val="none" w:sz="0" w:space="0" w:color="auto"/>
                  </w:divBdr>
                </w:div>
                <w:div w:id="1639918841">
                  <w:marLeft w:val="0"/>
                  <w:marRight w:val="0"/>
                  <w:marTop w:val="0"/>
                  <w:marBottom w:val="0"/>
                  <w:divBdr>
                    <w:top w:val="none" w:sz="0" w:space="0" w:color="auto"/>
                    <w:left w:val="none" w:sz="0" w:space="0" w:color="auto"/>
                    <w:bottom w:val="none" w:sz="0" w:space="0" w:color="auto"/>
                    <w:right w:val="none" w:sz="0" w:space="0" w:color="auto"/>
                  </w:divBdr>
                </w:div>
                <w:div w:id="1724057719">
                  <w:marLeft w:val="0"/>
                  <w:marRight w:val="0"/>
                  <w:marTop w:val="0"/>
                  <w:marBottom w:val="0"/>
                  <w:divBdr>
                    <w:top w:val="none" w:sz="0" w:space="0" w:color="auto"/>
                    <w:left w:val="none" w:sz="0" w:space="0" w:color="auto"/>
                    <w:bottom w:val="none" w:sz="0" w:space="0" w:color="auto"/>
                    <w:right w:val="none" w:sz="0" w:space="0" w:color="auto"/>
                  </w:divBdr>
                </w:div>
                <w:div w:id="1347554682">
                  <w:marLeft w:val="0"/>
                  <w:marRight w:val="0"/>
                  <w:marTop w:val="0"/>
                  <w:marBottom w:val="0"/>
                  <w:divBdr>
                    <w:top w:val="none" w:sz="0" w:space="0" w:color="auto"/>
                    <w:left w:val="none" w:sz="0" w:space="0" w:color="auto"/>
                    <w:bottom w:val="none" w:sz="0" w:space="0" w:color="auto"/>
                    <w:right w:val="none" w:sz="0" w:space="0" w:color="auto"/>
                  </w:divBdr>
                </w:div>
                <w:div w:id="529270930">
                  <w:marLeft w:val="0"/>
                  <w:marRight w:val="0"/>
                  <w:marTop w:val="0"/>
                  <w:marBottom w:val="0"/>
                  <w:divBdr>
                    <w:top w:val="none" w:sz="0" w:space="0" w:color="auto"/>
                    <w:left w:val="none" w:sz="0" w:space="0" w:color="auto"/>
                    <w:bottom w:val="none" w:sz="0" w:space="0" w:color="auto"/>
                    <w:right w:val="none" w:sz="0" w:space="0" w:color="auto"/>
                  </w:divBdr>
                </w:div>
                <w:div w:id="1669167467">
                  <w:marLeft w:val="0"/>
                  <w:marRight w:val="0"/>
                  <w:marTop w:val="0"/>
                  <w:marBottom w:val="0"/>
                  <w:divBdr>
                    <w:top w:val="none" w:sz="0" w:space="0" w:color="auto"/>
                    <w:left w:val="none" w:sz="0" w:space="0" w:color="auto"/>
                    <w:bottom w:val="none" w:sz="0" w:space="0" w:color="auto"/>
                    <w:right w:val="none" w:sz="0" w:space="0" w:color="auto"/>
                  </w:divBdr>
                </w:div>
                <w:div w:id="1022046550">
                  <w:marLeft w:val="0"/>
                  <w:marRight w:val="0"/>
                  <w:marTop w:val="0"/>
                  <w:marBottom w:val="0"/>
                  <w:divBdr>
                    <w:top w:val="none" w:sz="0" w:space="0" w:color="auto"/>
                    <w:left w:val="none" w:sz="0" w:space="0" w:color="auto"/>
                    <w:bottom w:val="none" w:sz="0" w:space="0" w:color="auto"/>
                    <w:right w:val="none" w:sz="0" w:space="0" w:color="auto"/>
                  </w:divBdr>
                </w:div>
                <w:div w:id="1240869290">
                  <w:marLeft w:val="0"/>
                  <w:marRight w:val="0"/>
                  <w:marTop w:val="0"/>
                  <w:marBottom w:val="0"/>
                  <w:divBdr>
                    <w:top w:val="none" w:sz="0" w:space="0" w:color="auto"/>
                    <w:left w:val="none" w:sz="0" w:space="0" w:color="auto"/>
                    <w:bottom w:val="none" w:sz="0" w:space="0" w:color="auto"/>
                    <w:right w:val="none" w:sz="0" w:space="0" w:color="auto"/>
                  </w:divBdr>
                </w:div>
                <w:div w:id="1761412939">
                  <w:marLeft w:val="0"/>
                  <w:marRight w:val="0"/>
                  <w:marTop w:val="0"/>
                  <w:marBottom w:val="0"/>
                  <w:divBdr>
                    <w:top w:val="none" w:sz="0" w:space="0" w:color="auto"/>
                    <w:left w:val="none" w:sz="0" w:space="0" w:color="auto"/>
                    <w:bottom w:val="none" w:sz="0" w:space="0" w:color="auto"/>
                    <w:right w:val="none" w:sz="0" w:space="0" w:color="auto"/>
                  </w:divBdr>
                </w:div>
                <w:div w:id="1182816496">
                  <w:marLeft w:val="0"/>
                  <w:marRight w:val="0"/>
                  <w:marTop w:val="0"/>
                  <w:marBottom w:val="0"/>
                  <w:divBdr>
                    <w:top w:val="none" w:sz="0" w:space="0" w:color="auto"/>
                    <w:left w:val="none" w:sz="0" w:space="0" w:color="auto"/>
                    <w:bottom w:val="none" w:sz="0" w:space="0" w:color="auto"/>
                    <w:right w:val="none" w:sz="0" w:space="0" w:color="auto"/>
                  </w:divBdr>
                </w:div>
                <w:div w:id="186719966">
                  <w:marLeft w:val="0"/>
                  <w:marRight w:val="0"/>
                  <w:marTop w:val="0"/>
                  <w:marBottom w:val="0"/>
                  <w:divBdr>
                    <w:top w:val="none" w:sz="0" w:space="0" w:color="auto"/>
                    <w:left w:val="none" w:sz="0" w:space="0" w:color="auto"/>
                    <w:bottom w:val="none" w:sz="0" w:space="0" w:color="auto"/>
                    <w:right w:val="none" w:sz="0" w:space="0" w:color="auto"/>
                  </w:divBdr>
                </w:div>
                <w:div w:id="1081683685">
                  <w:marLeft w:val="0"/>
                  <w:marRight w:val="0"/>
                  <w:marTop w:val="0"/>
                  <w:marBottom w:val="0"/>
                  <w:divBdr>
                    <w:top w:val="none" w:sz="0" w:space="0" w:color="auto"/>
                    <w:left w:val="none" w:sz="0" w:space="0" w:color="auto"/>
                    <w:bottom w:val="none" w:sz="0" w:space="0" w:color="auto"/>
                    <w:right w:val="none" w:sz="0" w:space="0" w:color="auto"/>
                  </w:divBdr>
                </w:div>
                <w:div w:id="654996513">
                  <w:marLeft w:val="0"/>
                  <w:marRight w:val="0"/>
                  <w:marTop w:val="0"/>
                  <w:marBottom w:val="0"/>
                  <w:divBdr>
                    <w:top w:val="none" w:sz="0" w:space="0" w:color="auto"/>
                    <w:left w:val="none" w:sz="0" w:space="0" w:color="auto"/>
                    <w:bottom w:val="none" w:sz="0" w:space="0" w:color="auto"/>
                    <w:right w:val="none" w:sz="0" w:space="0" w:color="auto"/>
                  </w:divBdr>
                </w:div>
                <w:div w:id="903830678">
                  <w:marLeft w:val="0"/>
                  <w:marRight w:val="0"/>
                  <w:marTop w:val="0"/>
                  <w:marBottom w:val="0"/>
                  <w:divBdr>
                    <w:top w:val="none" w:sz="0" w:space="0" w:color="auto"/>
                    <w:left w:val="none" w:sz="0" w:space="0" w:color="auto"/>
                    <w:bottom w:val="none" w:sz="0" w:space="0" w:color="auto"/>
                    <w:right w:val="none" w:sz="0" w:space="0" w:color="auto"/>
                  </w:divBdr>
                </w:div>
                <w:div w:id="324015445">
                  <w:marLeft w:val="0"/>
                  <w:marRight w:val="0"/>
                  <w:marTop w:val="0"/>
                  <w:marBottom w:val="0"/>
                  <w:divBdr>
                    <w:top w:val="none" w:sz="0" w:space="0" w:color="auto"/>
                    <w:left w:val="none" w:sz="0" w:space="0" w:color="auto"/>
                    <w:bottom w:val="none" w:sz="0" w:space="0" w:color="auto"/>
                    <w:right w:val="none" w:sz="0" w:space="0" w:color="auto"/>
                  </w:divBdr>
                </w:div>
                <w:div w:id="1826434237">
                  <w:marLeft w:val="0"/>
                  <w:marRight w:val="0"/>
                  <w:marTop w:val="0"/>
                  <w:marBottom w:val="0"/>
                  <w:divBdr>
                    <w:top w:val="none" w:sz="0" w:space="0" w:color="auto"/>
                    <w:left w:val="none" w:sz="0" w:space="0" w:color="auto"/>
                    <w:bottom w:val="none" w:sz="0" w:space="0" w:color="auto"/>
                    <w:right w:val="none" w:sz="0" w:space="0" w:color="auto"/>
                  </w:divBdr>
                </w:div>
                <w:div w:id="1834487922">
                  <w:marLeft w:val="0"/>
                  <w:marRight w:val="0"/>
                  <w:marTop w:val="0"/>
                  <w:marBottom w:val="0"/>
                  <w:divBdr>
                    <w:top w:val="none" w:sz="0" w:space="0" w:color="auto"/>
                    <w:left w:val="none" w:sz="0" w:space="0" w:color="auto"/>
                    <w:bottom w:val="none" w:sz="0" w:space="0" w:color="auto"/>
                    <w:right w:val="none" w:sz="0" w:space="0" w:color="auto"/>
                  </w:divBdr>
                </w:div>
                <w:div w:id="1793864423">
                  <w:marLeft w:val="0"/>
                  <w:marRight w:val="0"/>
                  <w:marTop w:val="0"/>
                  <w:marBottom w:val="0"/>
                  <w:divBdr>
                    <w:top w:val="none" w:sz="0" w:space="0" w:color="auto"/>
                    <w:left w:val="none" w:sz="0" w:space="0" w:color="auto"/>
                    <w:bottom w:val="none" w:sz="0" w:space="0" w:color="auto"/>
                    <w:right w:val="none" w:sz="0" w:space="0" w:color="auto"/>
                  </w:divBdr>
                </w:div>
                <w:div w:id="1307931330">
                  <w:marLeft w:val="0"/>
                  <w:marRight w:val="0"/>
                  <w:marTop w:val="0"/>
                  <w:marBottom w:val="0"/>
                  <w:divBdr>
                    <w:top w:val="none" w:sz="0" w:space="0" w:color="auto"/>
                    <w:left w:val="none" w:sz="0" w:space="0" w:color="auto"/>
                    <w:bottom w:val="none" w:sz="0" w:space="0" w:color="auto"/>
                    <w:right w:val="none" w:sz="0" w:space="0" w:color="auto"/>
                  </w:divBdr>
                </w:div>
                <w:div w:id="36602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115190">
          <w:marLeft w:val="0"/>
          <w:marRight w:val="0"/>
          <w:marTop w:val="15"/>
          <w:marBottom w:val="0"/>
          <w:divBdr>
            <w:top w:val="none" w:sz="0" w:space="0" w:color="auto"/>
            <w:left w:val="none" w:sz="0" w:space="0" w:color="auto"/>
            <w:bottom w:val="none" w:sz="0" w:space="0" w:color="auto"/>
            <w:right w:val="none" w:sz="0" w:space="0" w:color="auto"/>
          </w:divBdr>
          <w:divsChild>
            <w:div w:id="1703168364">
              <w:marLeft w:val="0"/>
              <w:marRight w:val="0"/>
              <w:marTop w:val="0"/>
              <w:marBottom w:val="0"/>
              <w:divBdr>
                <w:top w:val="single" w:sz="6" w:space="0" w:color="808080"/>
                <w:left w:val="single" w:sz="6" w:space="0" w:color="808080"/>
                <w:bottom w:val="single" w:sz="6" w:space="0" w:color="808080"/>
                <w:right w:val="single" w:sz="6" w:space="0" w:color="808080"/>
              </w:divBdr>
              <w:divsChild>
                <w:div w:id="2126995787">
                  <w:marLeft w:val="0"/>
                  <w:marRight w:val="0"/>
                  <w:marTop w:val="0"/>
                  <w:marBottom w:val="0"/>
                  <w:divBdr>
                    <w:top w:val="none" w:sz="0" w:space="0" w:color="auto"/>
                    <w:left w:val="none" w:sz="0" w:space="0" w:color="auto"/>
                    <w:bottom w:val="none" w:sz="0" w:space="0" w:color="auto"/>
                    <w:right w:val="none" w:sz="0" w:space="0" w:color="auto"/>
                  </w:divBdr>
                </w:div>
                <w:div w:id="828525338">
                  <w:marLeft w:val="0"/>
                  <w:marRight w:val="0"/>
                  <w:marTop w:val="0"/>
                  <w:marBottom w:val="0"/>
                  <w:divBdr>
                    <w:top w:val="none" w:sz="0" w:space="0" w:color="auto"/>
                    <w:left w:val="none" w:sz="0" w:space="0" w:color="auto"/>
                    <w:bottom w:val="none" w:sz="0" w:space="0" w:color="auto"/>
                    <w:right w:val="none" w:sz="0" w:space="0" w:color="auto"/>
                  </w:divBdr>
                </w:div>
                <w:div w:id="1317345292">
                  <w:marLeft w:val="0"/>
                  <w:marRight w:val="0"/>
                  <w:marTop w:val="0"/>
                  <w:marBottom w:val="0"/>
                  <w:divBdr>
                    <w:top w:val="none" w:sz="0" w:space="0" w:color="auto"/>
                    <w:left w:val="none" w:sz="0" w:space="0" w:color="auto"/>
                    <w:bottom w:val="none" w:sz="0" w:space="0" w:color="auto"/>
                    <w:right w:val="none" w:sz="0" w:space="0" w:color="auto"/>
                  </w:divBdr>
                </w:div>
                <w:div w:id="291981264">
                  <w:marLeft w:val="0"/>
                  <w:marRight w:val="0"/>
                  <w:marTop w:val="0"/>
                  <w:marBottom w:val="0"/>
                  <w:divBdr>
                    <w:top w:val="none" w:sz="0" w:space="0" w:color="auto"/>
                    <w:left w:val="none" w:sz="0" w:space="0" w:color="auto"/>
                    <w:bottom w:val="none" w:sz="0" w:space="0" w:color="auto"/>
                    <w:right w:val="none" w:sz="0" w:space="0" w:color="auto"/>
                  </w:divBdr>
                </w:div>
                <w:div w:id="164709910">
                  <w:marLeft w:val="0"/>
                  <w:marRight w:val="0"/>
                  <w:marTop w:val="0"/>
                  <w:marBottom w:val="0"/>
                  <w:divBdr>
                    <w:top w:val="none" w:sz="0" w:space="0" w:color="auto"/>
                    <w:left w:val="none" w:sz="0" w:space="0" w:color="auto"/>
                    <w:bottom w:val="none" w:sz="0" w:space="0" w:color="auto"/>
                    <w:right w:val="none" w:sz="0" w:space="0" w:color="auto"/>
                  </w:divBdr>
                </w:div>
                <w:div w:id="1455559010">
                  <w:marLeft w:val="0"/>
                  <w:marRight w:val="0"/>
                  <w:marTop w:val="0"/>
                  <w:marBottom w:val="0"/>
                  <w:divBdr>
                    <w:top w:val="none" w:sz="0" w:space="0" w:color="auto"/>
                    <w:left w:val="none" w:sz="0" w:space="0" w:color="auto"/>
                    <w:bottom w:val="none" w:sz="0" w:space="0" w:color="auto"/>
                    <w:right w:val="none" w:sz="0" w:space="0" w:color="auto"/>
                  </w:divBdr>
                </w:div>
                <w:div w:id="1491169591">
                  <w:marLeft w:val="0"/>
                  <w:marRight w:val="0"/>
                  <w:marTop w:val="0"/>
                  <w:marBottom w:val="0"/>
                  <w:divBdr>
                    <w:top w:val="none" w:sz="0" w:space="0" w:color="auto"/>
                    <w:left w:val="none" w:sz="0" w:space="0" w:color="auto"/>
                    <w:bottom w:val="none" w:sz="0" w:space="0" w:color="auto"/>
                    <w:right w:val="none" w:sz="0" w:space="0" w:color="auto"/>
                  </w:divBdr>
                </w:div>
                <w:div w:id="1727949898">
                  <w:marLeft w:val="0"/>
                  <w:marRight w:val="0"/>
                  <w:marTop w:val="0"/>
                  <w:marBottom w:val="0"/>
                  <w:divBdr>
                    <w:top w:val="none" w:sz="0" w:space="0" w:color="auto"/>
                    <w:left w:val="none" w:sz="0" w:space="0" w:color="auto"/>
                    <w:bottom w:val="none" w:sz="0" w:space="0" w:color="auto"/>
                    <w:right w:val="none" w:sz="0" w:space="0" w:color="auto"/>
                  </w:divBdr>
                </w:div>
                <w:div w:id="1989356818">
                  <w:marLeft w:val="0"/>
                  <w:marRight w:val="0"/>
                  <w:marTop w:val="0"/>
                  <w:marBottom w:val="0"/>
                  <w:divBdr>
                    <w:top w:val="none" w:sz="0" w:space="0" w:color="auto"/>
                    <w:left w:val="none" w:sz="0" w:space="0" w:color="auto"/>
                    <w:bottom w:val="none" w:sz="0" w:space="0" w:color="auto"/>
                    <w:right w:val="none" w:sz="0" w:space="0" w:color="auto"/>
                  </w:divBdr>
                </w:div>
                <w:div w:id="859397067">
                  <w:marLeft w:val="0"/>
                  <w:marRight w:val="0"/>
                  <w:marTop w:val="0"/>
                  <w:marBottom w:val="0"/>
                  <w:divBdr>
                    <w:top w:val="none" w:sz="0" w:space="0" w:color="auto"/>
                    <w:left w:val="none" w:sz="0" w:space="0" w:color="auto"/>
                    <w:bottom w:val="none" w:sz="0" w:space="0" w:color="auto"/>
                    <w:right w:val="none" w:sz="0" w:space="0" w:color="auto"/>
                  </w:divBdr>
                </w:div>
                <w:div w:id="769735898">
                  <w:marLeft w:val="0"/>
                  <w:marRight w:val="0"/>
                  <w:marTop w:val="0"/>
                  <w:marBottom w:val="0"/>
                  <w:divBdr>
                    <w:top w:val="none" w:sz="0" w:space="0" w:color="auto"/>
                    <w:left w:val="none" w:sz="0" w:space="0" w:color="auto"/>
                    <w:bottom w:val="none" w:sz="0" w:space="0" w:color="auto"/>
                    <w:right w:val="none" w:sz="0" w:space="0" w:color="auto"/>
                  </w:divBdr>
                </w:div>
                <w:div w:id="19939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970064">
      <w:bodyDiv w:val="1"/>
      <w:marLeft w:val="0"/>
      <w:marRight w:val="0"/>
      <w:marTop w:val="0"/>
      <w:marBottom w:val="0"/>
      <w:divBdr>
        <w:top w:val="none" w:sz="0" w:space="0" w:color="auto"/>
        <w:left w:val="none" w:sz="0" w:space="0" w:color="auto"/>
        <w:bottom w:val="none" w:sz="0" w:space="0" w:color="auto"/>
        <w:right w:val="none" w:sz="0" w:space="0" w:color="auto"/>
      </w:divBdr>
    </w:div>
    <w:div w:id="843281715">
      <w:bodyDiv w:val="1"/>
      <w:marLeft w:val="0"/>
      <w:marRight w:val="0"/>
      <w:marTop w:val="0"/>
      <w:marBottom w:val="0"/>
      <w:divBdr>
        <w:top w:val="none" w:sz="0" w:space="0" w:color="auto"/>
        <w:left w:val="none" w:sz="0" w:space="0" w:color="auto"/>
        <w:bottom w:val="none" w:sz="0" w:space="0" w:color="auto"/>
        <w:right w:val="none" w:sz="0" w:space="0" w:color="auto"/>
      </w:divBdr>
      <w:divsChild>
        <w:div w:id="2078243805">
          <w:marLeft w:val="0"/>
          <w:marRight w:val="0"/>
          <w:marTop w:val="0"/>
          <w:marBottom w:val="0"/>
          <w:divBdr>
            <w:top w:val="none" w:sz="0" w:space="0" w:color="auto"/>
            <w:left w:val="none" w:sz="0" w:space="0" w:color="auto"/>
            <w:bottom w:val="none" w:sz="0" w:space="0" w:color="auto"/>
            <w:right w:val="none" w:sz="0" w:space="0" w:color="auto"/>
          </w:divBdr>
        </w:div>
        <w:div w:id="1755006481">
          <w:marLeft w:val="0"/>
          <w:marRight w:val="0"/>
          <w:marTop w:val="0"/>
          <w:marBottom w:val="0"/>
          <w:divBdr>
            <w:top w:val="none" w:sz="0" w:space="0" w:color="auto"/>
            <w:left w:val="none" w:sz="0" w:space="0" w:color="auto"/>
            <w:bottom w:val="none" w:sz="0" w:space="0" w:color="auto"/>
            <w:right w:val="none" w:sz="0" w:space="0" w:color="auto"/>
          </w:divBdr>
        </w:div>
        <w:div w:id="155348086">
          <w:marLeft w:val="0"/>
          <w:marRight w:val="0"/>
          <w:marTop w:val="0"/>
          <w:marBottom w:val="0"/>
          <w:divBdr>
            <w:top w:val="none" w:sz="0" w:space="0" w:color="auto"/>
            <w:left w:val="none" w:sz="0" w:space="0" w:color="auto"/>
            <w:bottom w:val="none" w:sz="0" w:space="0" w:color="auto"/>
            <w:right w:val="none" w:sz="0" w:space="0" w:color="auto"/>
          </w:divBdr>
        </w:div>
        <w:div w:id="336346281">
          <w:marLeft w:val="0"/>
          <w:marRight w:val="0"/>
          <w:marTop w:val="0"/>
          <w:marBottom w:val="0"/>
          <w:divBdr>
            <w:top w:val="none" w:sz="0" w:space="0" w:color="auto"/>
            <w:left w:val="none" w:sz="0" w:space="0" w:color="auto"/>
            <w:bottom w:val="none" w:sz="0" w:space="0" w:color="auto"/>
            <w:right w:val="none" w:sz="0" w:space="0" w:color="auto"/>
          </w:divBdr>
        </w:div>
      </w:divsChild>
    </w:div>
    <w:div w:id="883179866">
      <w:bodyDiv w:val="1"/>
      <w:marLeft w:val="0"/>
      <w:marRight w:val="0"/>
      <w:marTop w:val="0"/>
      <w:marBottom w:val="0"/>
      <w:divBdr>
        <w:top w:val="none" w:sz="0" w:space="0" w:color="auto"/>
        <w:left w:val="none" w:sz="0" w:space="0" w:color="auto"/>
        <w:bottom w:val="none" w:sz="0" w:space="0" w:color="auto"/>
        <w:right w:val="none" w:sz="0" w:space="0" w:color="auto"/>
      </w:divBdr>
      <w:divsChild>
        <w:div w:id="53435095">
          <w:marLeft w:val="0"/>
          <w:marRight w:val="0"/>
          <w:marTop w:val="0"/>
          <w:marBottom w:val="0"/>
          <w:divBdr>
            <w:top w:val="none" w:sz="0" w:space="0" w:color="auto"/>
            <w:left w:val="none" w:sz="0" w:space="0" w:color="auto"/>
            <w:bottom w:val="none" w:sz="0" w:space="0" w:color="auto"/>
            <w:right w:val="none" w:sz="0" w:space="0" w:color="auto"/>
          </w:divBdr>
        </w:div>
        <w:div w:id="2090885979">
          <w:marLeft w:val="0"/>
          <w:marRight w:val="0"/>
          <w:marTop w:val="0"/>
          <w:marBottom w:val="0"/>
          <w:divBdr>
            <w:top w:val="none" w:sz="0" w:space="0" w:color="auto"/>
            <w:left w:val="none" w:sz="0" w:space="0" w:color="auto"/>
            <w:bottom w:val="none" w:sz="0" w:space="0" w:color="auto"/>
            <w:right w:val="none" w:sz="0" w:space="0" w:color="auto"/>
          </w:divBdr>
        </w:div>
        <w:div w:id="761683847">
          <w:marLeft w:val="0"/>
          <w:marRight w:val="0"/>
          <w:marTop w:val="0"/>
          <w:marBottom w:val="0"/>
          <w:divBdr>
            <w:top w:val="none" w:sz="0" w:space="0" w:color="auto"/>
            <w:left w:val="none" w:sz="0" w:space="0" w:color="auto"/>
            <w:bottom w:val="none" w:sz="0" w:space="0" w:color="auto"/>
            <w:right w:val="none" w:sz="0" w:space="0" w:color="auto"/>
          </w:divBdr>
        </w:div>
        <w:div w:id="1770734984">
          <w:marLeft w:val="0"/>
          <w:marRight w:val="0"/>
          <w:marTop w:val="0"/>
          <w:marBottom w:val="0"/>
          <w:divBdr>
            <w:top w:val="none" w:sz="0" w:space="0" w:color="auto"/>
            <w:left w:val="none" w:sz="0" w:space="0" w:color="auto"/>
            <w:bottom w:val="none" w:sz="0" w:space="0" w:color="auto"/>
            <w:right w:val="none" w:sz="0" w:space="0" w:color="auto"/>
          </w:divBdr>
        </w:div>
        <w:div w:id="381950052">
          <w:marLeft w:val="0"/>
          <w:marRight w:val="0"/>
          <w:marTop w:val="0"/>
          <w:marBottom w:val="0"/>
          <w:divBdr>
            <w:top w:val="none" w:sz="0" w:space="0" w:color="auto"/>
            <w:left w:val="none" w:sz="0" w:space="0" w:color="auto"/>
            <w:bottom w:val="none" w:sz="0" w:space="0" w:color="auto"/>
            <w:right w:val="none" w:sz="0" w:space="0" w:color="auto"/>
          </w:divBdr>
        </w:div>
        <w:div w:id="1248155471">
          <w:marLeft w:val="0"/>
          <w:marRight w:val="0"/>
          <w:marTop w:val="0"/>
          <w:marBottom w:val="0"/>
          <w:divBdr>
            <w:top w:val="none" w:sz="0" w:space="0" w:color="auto"/>
            <w:left w:val="none" w:sz="0" w:space="0" w:color="auto"/>
            <w:bottom w:val="none" w:sz="0" w:space="0" w:color="auto"/>
            <w:right w:val="none" w:sz="0" w:space="0" w:color="auto"/>
          </w:divBdr>
        </w:div>
        <w:div w:id="202908246">
          <w:marLeft w:val="0"/>
          <w:marRight w:val="0"/>
          <w:marTop w:val="0"/>
          <w:marBottom w:val="0"/>
          <w:divBdr>
            <w:top w:val="none" w:sz="0" w:space="0" w:color="auto"/>
            <w:left w:val="none" w:sz="0" w:space="0" w:color="auto"/>
            <w:bottom w:val="none" w:sz="0" w:space="0" w:color="auto"/>
            <w:right w:val="none" w:sz="0" w:space="0" w:color="auto"/>
          </w:divBdr>
        </w:div>
        <w:div w:id="1477911981">
          <w:marLeft w:val="0"/>
          <w:marRight w:val="0"/>
          <w:marTop w:val="0"/>
          <w:marBottom w:val="0"/>
          <w:divBdr>
            <w:top w:val="none" w:sz="0" w:space="0" w:color="auto"/>
            <w:left w:val="none" w:sz="0" w:space="0" w:color="auto"/>
            <w:bottom w:val="none" w:sz="0" w:space="0" w:color="auto"/>
            <w:right w:val="none" w:sz="0" w:space="0" w:color="auto"/>
          </w:divBdr>
        </w:div>
        <w:div w:id="1972199776">
          <w:marLeft w:val="0"/>
          <w:marRight w:val="0"/>
          <w:marTop w:val="0"/>
          <w:marBottom w:val="0"/>
          <w:divBdr>
            <w:top w:val="none" w:sz="0" w:space="0" w:color="auto"/>
            <w:left w:val="none" w:sz="0" w:space="0" w:color="auto"/>
            <w:bottom w:val="none" w:sz="0" w:space="0" w:color="auto"/>
            <w:right w:val="none" w:sz="0" w:space="0" w:color="auto"/>
          </w:divBdr>
        </w:div>
        <w:div w:id="934938663">
          <w:marLeft w:val="0"/>
          <w:marRight w:val="0"/>
          <w:marTop w:val="0"/>
          <w:marBottom w:val="0"/>
          <w:divBdr>
            <w:top w:val="none" w:sz="0" w:space="0" w:color="auto"/>
            <w:left w:val="none" w:sz="0" w:space="0" w:color="auto"/>
            <w:bottom w:val="none" w:sz="0" w:space="0" w:color="auto"/>
            <w:right w:val="none" w:sz="0" w:space="0" w:color="auto"/>
          </w:divBdr>
        </w:div>
        <w:div w:id="1446265915">
          <w:marLeft w:val="0"/>
          <w:marRight w:val="0"/>
          <w:marTop w:val="0"/>
          <w:marBottom w:val="0"/>
          <w:divBdr>
            <w:top w:val="none" w:sz="0" w:space="0" w:color="auto"/>
            <w:left w:val="none" w:sz="0" w:space="0" w:color="auto"/>
            <w:bottom w:val="none" w:sz="0" w:space="0" w:color="auto"/>
            <w:right w:val="none" w:sz="0" w:space="0" w:color="auto"/>
          </w:divBdr>
        </w:div>
        <w:div w:id="380599716">
          <w:marLeft w:val="0"/>
          <w:marRight w:val="0"/>
          <w:marTop w:val="0"/>
          <w:marBottom w:val="0"/>
          <w:divBdr>
            <w:top w:val="none" w:sz="0" w:space="0" w:color="auto"/>
            <w:left w:val="none" w:sz="0" w:space="0" w:color="auto"/>
            <w:bottom w:val="none" w:sz="0" w:space="0" w:color="auto"/>
            <w:right w:val="none" w:sz="0" w:space="0" w:color="auto"/>
          </w:divBdr>
        </w:div>
        <w:div w:id="607857983">
          <w:marLeft w:val="0"/>
          <w:marRight w:val="0"/>
          <w:marTop w:val="0"/>
          <w:marBottom w:val="0"/>
          <w:divBdr>
            <w:top w:val="none" w:sz="0" w:space="0" w:color="auto"/>
            <w:left w:val="none" w:sz="0" w:space="0" w:color="auto"/>
            <w:bottom w:val="none" w:sz="0" w:space="0" w:color="auto"/>
            <w:right w:val="none" w:sz="0" w:space="0" w:color="auto"/>
          </w:divBdr>
        </w:div>
        <w:div w:id="1409158833">
          <w:marLeft w:val="0"/>
          <w:marRight w:val="0"/>
          <w:marTop w:val="0"/>
          <w:marBottom w:val="0"/>
          <w:divBdr>
            <w:top w:val="none" w:sz="0" w:space="0" w:color="auto"/>
            <w:left w:val="none" w:sz="0" w:space="0" w:color="auto"/>
            <w:bottom w:val="none" w:sz="0" w:space="0" w:color="auto"/>
            <w:right w:val="none" w:sz="0" w:space="0" w:color="auto"/>
          </w:divBdr>
        </w:div>
        <w:div w:id="374932762">
          <w:marLeft w:val="0"/>
          <w:marRight w:val="0"/>
          <w:marTop w:val="0"/>
          <w:marBottom w:val="0"/>
          <w:divBdr>
            <w:top w:val="none" w:sz="0" w:space="0" w:color="auto"/>
            <w:left w:val="none" w:sz="0" w:space="0" w:color="auto"/>
            <w:bottom w:val="none" w:sz="0" w:space="0" w:color="auto"/>
            <w:right w:val="none" w:sz="0" w:space="0" w:color="auto"/>
          </w:divBdr>
        </w:div>
        <w:div w:id="849299336">
          <w:marLeft w:val="0"/>
          <w:marRight w:val="0"/>
          <w:marTop w:val="0"/>
          <w:marBottom w:val="0"/>
          <w:divBdr>
            <w:top w:val="none" w:sz="0" w:space="0" w:color="auto"/>
            <w:left w:val="none" w:sz="0" w:space="0" w:color="auto"/>
            <w:bottom w:val="none" w:sz="0" w:space="0" w:color="auto"/>
            <w:right w:val="none" w:sz="0" w:space="0" w:color="auto"/>
          </w:divBdr>
        </w:div>
        <w:div w:id="1297220120">
          <w:marLeft w:val="0"/>
          <w:marRight w:val="0"/>
          <w:marTop w:val="0"/>
          <w:marBottom w:val="0"/>
          <w:divBdr>
            <w:top w:val="none" w:sz="0" w:space="0" w:color="auto"/>
            <w:left w:val="none" w:sz="0" w:space="0" w:color="auto"/>
            <w:bottom w:val="none" w:sz="0" w:space="0" w:color="auto"/>
            <w:right w:val="none" w:sz="0" w:space="0" w:color="auto"/>
          </w:divBdr>
        </w:div>
        <w:div w:id="1447652934">
          <w:marLeft w:val="0"/>
          <w:marRight w:val="0"/>
          <w:marTop w:val="0"/>
          <w:marBottom w:val="0"/>
          <w:divBdr>
            <w:top w:val="none" w:sz="0" w:space="0" w:color="auto"/>
            <w:left w:val="none" w:sz="0" w:space="0" w:color="auto"/>
            <w:bottom w:val="none" w:sz="0" w:space="0" w:color="auto"/>
            <w:right w:val="none" w:sz="0" w:space="0" w:color="auto"/>
          </w:divBdr>
        </w:div>
        <w:div w:id="577860001">
          <w:marLeft w:val="0"/>
          <w:marRight w:val="0"/>
          <w:marTop w:val="0"/>
          <w:marBottom w:val="0"/>
          <w:divBdr>
            <w:top w:val="none" w:sz="0" w:space="0" w:color="auto"/>
            <w:left w:val="none" w:sz="0" w:space="0" w:color="auto"/>
            <w:bottom w:val="none" w:sz="0" w:space="0" w:color="auto"/>
            <w:right w:val="none" w:sz="0" w:space="0" w:color="auto"/>
          </w:divBdr>
        </w:div>
        <w:div w:id="1486243792">
          <w:marLeft w:val="0"/>
          <w:marRight w:val="0"/>
          <w:marTop w:val="0"/>
          <w:marBottom w:val="0"/>
          <w:divBdr>
            <w:top w:val="none" w:sz="0" w:space="0" w:color="auto"/>
            <w:left w:val="none" w:sz="0" w:space="0" w:color="auto"/>
            <w:bottom w:val="none" w:sz="0" w:space="0" w:color="auto"/>
            <w:right w:val="none" w:sz="0" w:space="0" w:color="auto"/>
          </w:divBdr>
        </w:div>
        <w:div w:id="281035570">
          <w:marLeft w:val="0"/>
          <w:marRight w:val="0"/>
          <w:marTop w:val="0"/>
          <w:marBottom w:val="0"/>
          <w:divBdr>
            <w:top w:val="none" w:sz="0" w:space="0" w:color="auto"/>
            <w:left w:val="none" w:sz="0" w:space="0" w:color="auto"/>
            <w:bottom w:val="none" w:sz="0" w:space="0" w:color="auto"/>
            <w:right w:val="none" w:sz="0" w:space="0" w:color="auto"/>
          </w:divBdr>
        </w:div>
        <w:div w:id="2111197386">
          <w:marLeft w:val="0"/>
          <w:marRight w:val="0"/>
          <w:marTop w:val="0"/>
          <w:marBottom w:val="0"/>
          <w:divBdr>
            <w:top w:val="none" w:sz="0" w:space="0" w:color="auto"/>
            <w:left w:val="none" w:sz="0" w:space="0" w:color="auto"/>
            <w:bottom w:val="none" w:sz="0" w:space="0" w:color="auto"/>
            <w:right w:val="none" w:sz="0" w:space="0" w:color="auto"/>
          </w:divBdr>
        </w:div>
        <w:div w:id="2071536144">
          <w:marLeft w:val="0"/>
          <w:marRight w:val="0"/>
          <w:marTop w:val="0"/>
          <w:marBottom w:val="0"/>
          <w:divBdr>
            <w:top w:val="none" w:sz="0" w:space="0" w:color="auto"/>
            <w:left w:val="none" w:sz="0" w:space="0" w:color="auto"/>
            <w:bottom w:val="none" w:sz="0" w:space="0" w:color="auto"/>
            <w:right w:val="none" w:sz="0" w:space="0" w:color="auto"/>
          </w:divBdr>
        </w:div>
        <w:div w:id="1536042683">
          <w:marLeft w:val="0"/>
          <w:marRight w:val="0"/>
          <w:marTop w:val="0"/>
          <w:marBottom w:val="0"/>
          <w:divBdr>
            <w:top w:val="none" w:sz="0" w:space="0" w:color="auto"/>
            <w:left w:val="none" w:sz="0" w:space="0" w:color="auto"/>
            <w:bottom w:val="none" w:sz="0" w:space="0" w:color="auto"/>
            <w:right w:val="none" w:sz="0" w:space="0" w:color="auto"/>
          </w:divBdr>
        </w:div>
        <w:div w:id="1683699711">
          <w:marLeft w:val="0"/>
          <w:marRight w:val="0"/>
          <w:marTop w:val="0"/>
          <w:marBottom w:val="0"/>
          <w:divBdr>
            <w:top w:val="none" w:sz="0" w:space="0" w:color="auto"/>
            <w:left w:val="none" w:sz="0" w:space="0" w:color="auto"/>
            <w:bottom w:val="none" w:sz="0" w:space="0" w:color="auto"/>
            <w:right w:val="none" w:sz="0" w:space="0" w:color="auto"/>
          </w:divBdr>
        </w:div>
        <w:div w:id="1345478393">
          <w:marLeft w:val="0"/>
          <w:marRight w:val="0"/>
          <w:marTop w:val="0"/>
          <w:marBottom w:val="0"/>
          <w:divBdr>
            <w:top w:val="none" w:sz="0" w:space="0" w:color="auto"/>
            <w:left w:val="none" w:sz="0" w:space="0" w:color="auto"/>
            <w:bottom w:val="none" w:sz="0" w:space="0" w:color="auto"/>
            <w:right w:val="none" w:sz="0" w:space="0" w:color="auto"/>
          </w:divBdr>
        </w:div>
        <w:div w:id="133111307">
          <w:marLeft w:val="0"/>
          <w:marRight w:val="0"/>
          <w:marTop w:val="0"/>
          <w:marBottom w:val="0"/>
          <w:divBdr>
            <w:top w:val="none" w:sz="0" w:space="0" w:color="auto"/>
            <w:left w:val="none" w:sz="0" w:space="0" w:color="auto"/>
            <w:bottom w:val="none" w:sz="0" w:space="0" w:color="auto"/>
            <w:right w:val="none" w:sz="0" w:space="0" w:color="auto"/>
          </w:divBdr>
        </w:div>
        <w:div w:id="343095385">
          <w:marLeft w:val="0"/>
          <w:marRight w:val="0"/>
          <w:marTop w:val="0"/>
          <w:marBottom w:val="0"/>
          <w:divBdr>
            <w:top w:val="none" w:sz="0" w:space="0" w:color="auto"/>
            <w:left w:val="none" w:sz="0" w:space="0" w:color="auto"/>
            <w:bottom w:val="none" w:sz="0" w:space="0" w:color="auto"/>
            <w:right w:val="none" w:sz="0" w:space="0" w:color="auto"/>
          </w:divBdr>
        </w:div>
        <w:div w:id="1069233876">
          <w:marLeft w:val="0"/>
          <w:marRight w:val="0"/>
          <w:marTop w:val="0"/>
          <w:marBottom w:val="0"/>
          <w:divBdr>
            <w:top w:val="none" w:sz="0" w:space="0" w:color="auto"/>
            <w:left w:val="none" w:sz="0" w:space="0" w:color="auto"/>
            <w:bottom w:val="none" w:sz="0" w:space="0" w:color="auto"/>
            <w:right w:val="none" w:sz="0" w:space="0" w:color="auto"/>
          </w:divBdr>
        </w:div>
        <w:div w:id="2121293838">
          <w:marLeft w:val="0"/>
          <w:marRight w:val="0"/>
          <w:marTop w:val="0"/>
          <w:marBottom w:val="0"/>
          <w:divBdr>
            <w:top w:val="none" w:sz="0" w:space="0" w:color="auto"/>
            <w:left w:val="none" w:sz="0" w:space="0" w:color="auto"/>
            <w:bottom w:val="none" w:sz="0" w:space="0" w:color="auto"/>
            <w:right w:val="none" w:sz="0" w:space="0" w:color="auto"/>
          </w:divBdr>
        </w:div>
        <w:div w:id="788009183">
          <w:marLeft w:val="0"/>
          <w:marRight w:val="0"/>
          <w:marTop w:val="0"/>
          <w:marBottom w:val="0"/>
          <w:divBdr>
            <w:top w:val="none" w:sz="0" w:space="0" w:color="auto"/>
            <w:left w:val="none" w:sz="0" w:space="0" w:color="auto"/>
            <w:bottom w:val="none" w:sz="0" w:space="0" w:color="auto"/>
            <w:right w:val="none" w:sz="0" w:space="0" w:color="auto"/>
          </w:divBdr>
        </w:div>
        <w:div w:id="1298141077">
          <w:marLeft w:val="0"/>
          <w:marRight w:val="0"/>
          <w:marTop w:val="0"/>
          <w:marBottom w:val="0"/>
          <w:divBdr>
            <w:top w:val="none" w:sz="0" w:space="0" w:color="auto"/>
            <w:left w:val="none" w:sz="0" w:space="0" w:color="auto"/>
            <w:bottom w:val="none" w:sz="0" w:space="0" w:color="auto"/>
            <w:right w:val="none" w:sz="0" w:space="0" w:color="auto"/>
          </w:divBdr>
        </w:div>
        <w:div w:id="1561667037">
          <w:marLeft w:val="0"/>
          <w:marRight w:val="0"/>
          <w:marTop w:val="0"/>
          <w:marBottom w:val="0"/>
          <w:divBdr>
            <w:top w:val="none" w:sz="0" w:space="0" w:color="auto"/>
            <w:left w:val="none" w:sz="0" w:space="0" w:color="auto"/>
            <w:bottom w:val="none" w:sz="0" w:space="0" w:color="auto"/>
            <w:right w:val="none" w:sz="0" w:space="0" w:color="auto"/>
          </w:divBdr>
        </w:div>
      </w:divsChild>
    </w:div>
    <w:div w:id="945693811">
      <w:bodyDiv w:val="1"/>
      <w:marLeft w:val="0"/>
      <w:marRight w:val="0"/>
      <w:marTop w:val="0"/>
      <w:marBottom w:val="0"/>
      <w:divBdr>
        <w:top w:val="none" w:sz="0" w:space="0" w:color="auto"/>
        <w:left w:val="none" w:sz="0" w:space="0" w:color="auto"/>
        <w:bottom w:val="none" w:sz="0" w:space="0" w:color="auto"/>
        <w:right w:val="none" w:sz="0" w:space="0" w:color="auto"/>
      </w:divBdr>
      <w:divsChild>
        <w:div w:id="452754428">
          <w:marLeft w:val="0"/>
          <w:marRight w:val="0"/>
          <w:marTop w:val="0"/>
          <w:marBottom w:val="0"/>
          <w:divBdr>
            <w:top w:val="none" w:sz="0" w:space="0" w:color="auto"/>
            <w:left w:val="none" w:sz="0" w:space="0" w:color="auto"/>
            <w:bottom w:val="none" w:sz="0" w:space="0" w:color="auto"/>
            <w:right w:val="none" w:sz="0" w:space="0" w:color="auto"/>
          </w:divBdr>
        </w:div>
        <w:div w:id="428821115">
          <w:marLeft w:val="0"/>
          <w:marRight w:val="0"/>
          <w:marTop w:val="0"/>
          <w:marBottom w:val="0"/>
          <w:divBdr>
            <w:top w:val="none" w:sz="0" w:space="0" w:color="auto"/>
            <w:left w:val="none" w:sz="0" w:space="0" w:color="auto"/>
            <w:bottom w:val="none" w:sz="0" w:space="0" w:color="auto"/>
            <w:right w:val="none" w:sz="0" w:space="0" w:color="auto"/>
          </w:divBdr>
        </w:div>
        <w:div w:id="1800372140">
          <w:marLeft w:val="0"/>
          <w:marRight w:val="0"/>
          <w:marTop w:val="0"/>
          <w:marBottom w:val="0"/>
          <w:divBdr>
            <w:top w:val="none" w:sz="0" w:space="0" w:color="auto"/>
            <w:left w:val="none" w:sz="0" w:space="0" w:color="auto"/>
            <w:bottom w:val="none" w:sz="0" w:space="0" w:color="auto"/>
            <w:right w:val="none" w:sz="0" w:space="0" w:color="auto"/>
          </w:divBdr>
        </w:div>
        <w:div w:id="565339920">
          <w:marLeft w:val="0"/>
          <w:marRight w:val="0"/>
          <w:marTop w:val="0"/>
          <w:marBottom w:val="0"/>
          <w:divBdr>
            <w:top w:val="none" w:sz="0" w:space="0" w:color="auto"/>
            <w:left w:val="none" w:sz="0" w:space="0" w:color="auto"/>
            <w:bottom w:val="none" w:sz="0" w:space="0" w:color="auto"/>
            <w:right w:val="none" w:sz="0" w:space="0" w:color="auto"/>
          </w:divBdr>
        </w:div>
        <w:div w:id="1978684852">
          <w:marLeft w:val="0"/>
          <w:marRight w:val="0"/>
          <w:marTop w:val="0"/>
          <w:marBottom w:val="0"/>
          <w:divBdr>
            <w:top w:val="none" w:sz="0" w:space="0" w:color="auto"/>
            <w:left w:val="none" w:sz="0" w:space="0" w:color="auto"/>
            <w:bottom w:val="none" w:sz="0" w:space="0" w:color="auto"/>
            <w:right w:val="none" w:sz="0" w:space="0" w:color="auto"/>
          </w:divBdr>
        </w:div>
        <w:div w:id="2070420145">
          <w:marLeft w:val="0"/>
          <w:marRight w:val="0"/>
          <w:marTop w:val="0"/>
          <w:marBottom w:val="0"/>
          <w:divBdr>
            <w:top w:val="none" w:sz="0" w:space="0" w:color="auto"/>
            <w:left w:val="none" w:sz="0" w:space="0" w:color="auto"/>
            <w:bottom w:val="none" w:sz="0" w:space="0" w:color="auto"/>
            <w:right w:val="none" w:sz="0" w:space="0" w:color="auto"/>
          </w:divBdr>
        </w:div>
        <w:div w:id="240915458">
          <w:marLeft w:val="0"/>
          <w:marRight w:val="0"/>
          <w:marTop w:val="0"/>
          <w:marBottom w:val="0"/>
          <w:divBdr>
            <w:top w:val="none" w:sz="0" w:space="0" w:color="auto"/>
            <w:left w:val="none" w:sz="0" w:space="0" w:color="auto"/>
            <w:bottom w:val="none" w:sz="0" w:space="0" w:color="auto"/>
            <w:right w:val="none" w:sz="0" w:space="0" w:color="auto"/>
          </w:divBdr>
        </w:div>
        <w:div w:id="275021792">
          <w:marLeft w:val="0"/>
          <w:marRight w:val="0"/>
          <w:marTop w:val="0"/>
          <w:marBottom w:val="0"/>
          <w:divBdr>
            <w:top w:val="none" w:sz="0" w:space="0" w:color="auto"/>
            <w:left w:val="none" w:sz="0" w:space="0" w:color="auto"/>
            <w:bottom w:val="none" w:sz="0" w:space="0" w:color="auto"/>
            <w:right w:val="none" w:sz="0" w:space="0" w:color="auto"/>
          </w:divBdr>
        </w:div>
        <w:div w:id="1470200101">
          <w:marLeft w:val="0"/>
          <w:marRight w:val="0"/>
          <w:marTop w:val="0"/>
          <w:marBottom w:val="0"/>
          <w:divBdr>
            <w:top w:val="none" w:sz="0" w:space="0" w:color="auto"/>
            <w:left w:val="none" w:sz="0" w:space="0" w:color="auto"/>
            <w:bottom w:val="none" w:sz="0" w:space="0" w:color="auto"/>
            <w:right w:val="none" w:sz="0" w:space="0" w:color="auto"/>
          </w:divBdr>
        </w:div>
        <w:div w:id="439379937">
          <w:marLeft w:val="0"/>
          <w:marRight w:val="0"/>
          <w:marTop w:val="0"/>
          <w:marBottom w:val="0"/>
          <w:divBdr>
            <w:top w:val="none" w:sz="0" w:space="0" w:color="auto"/>
            <w:left w:val="none" w:sz="0" w:space="0" w:color="auto"/>
            <w:bottom w:val="none" w:sz="0" w:space="0" w:color="auto"/>
            <w:right w:val="none" w:sz="0" w:space="0" w:color="auto"/>
          </w:divBdr>
        </w:div>
      </w:divsChild>
    </w:div>
    <w:div w:id="1017074570">
      <w:bodyDiv w:val="1"/>
      <w:marLeft w:val="0"/>
      <w:marRight w:val="0"/>
      <w:marTop w:val="0"/>
      <w:marBottom w:val="0"/>
      <w:divBdr>
        <w:top w:val="none" w:sz="0" w:space="0" w:color="auto"/>
        <w:left w:val="none" w:sz="0" w:space="0" w:color="auto"/>
        <w:bottom w:val="none" w:sz="0" w:space="0" w:color="auto"/>
        <w:right w:val="none" w:sz="0" w:space="0" w:color="auto"/>
      </w:divBdr>
      <w:divsChild>
        <w:div w:id="1621494105">
          <w:marLeft w:val="0"/>
          <w:marRight w:val="0"/>
          <w:marTop w:val="0"/>
          <w:marBottom w:val="0"/>
          <w:divBdr>
            <w:top w:val="none" w:sz="0" w:space="0" w:color="auto"/>
            <w:left w:val="none" w:sz="0" w:space="0" w:color="auto"/>
            <w:bottom w:val="none" w:sz="0" w:space="0" w:color="auto"/>
            <w:right w:val="none" w:sz="0" w:space="0" w:color="auto"/>
          </w:divBdr>
        </w:div>
        <w:div w:id="690841635">
          <w:marLeft w:val="0"/>
          <w:marRight w:val="0"/>
          <w:marTop w:val="0"/>
          <w:marBottom w:val="0"/>
          <w:divBdr>
            <w:top w:val="none" w:sz="0" w:space="0" w:color="auto"/>
            <w:left w:val="none" w:sz="0" w:space="0" w:color="auto"/>
            <w:bottom w:val="none" w:sz="0" w:space="0" w:color="auto"/>
            <w:right w:val="none" w:sz="0" w:space="0" w:color="auto"/>
          </w:divBdr>
        </w:div>
      </w:divsChild>
    </w:div>
    <w:div w:id="1089085103">
      <w:bodyDiv w:val="1"/>
      <w:marLeft w:val="0"/>
      <w:marRight w:val="0"/>
      <w:marTop w:val="0"/>
      <w:marBottom w:val="0"/>
      <w:divBdr>
        <w:top w:val="none" w:sz="0" w:space="0" w:color="auto"/>
        <w:left w:val="none" w:sz="0" w:space="0" w:color="auto"/>
        <w:bottom w:val="none" w:sz="0" w:space="0" w:color="auto"/>
        <w:right w:val="none" w:sz="0" w:space="0" w:color="auto"/>
      </w:divBdr>
      <w:divsChild>
        <w:div w:id="470757000">
          <w:marLeft w:val="0"/>
          <w:marRight w:val="0"/>
          <w:marTop w:val="0"/>
          <w:marBottom w:val="0"/>
          <w:divBdr>
            <w:top w:val="none" w:sz="0" w:space="0" w:color="auto"/>
            <w:left w:val="none" w:sz="0" w:space="0" w:color="auto"/>
            <w:bottom w:val="none" w:sz="0" w:space="0" w:color="auto"/>
            <w:right w:val="none" w:sz="0" w:space="0" w:color="auto"/>
          </w:divBdr>
        </w:div>
        <w:div w:id="842748199">
          <w:marLeft w:val="0"/>
          <w:marRight w:val="0"/>
          <w:marTop w:val="0"/>
          <w:marBottom w:val="0"/>
          <w:divBdr>
            <w:top w:val="none" w:sz="0" w:space="0" w:color="auto"/>
            <w:left w:val="none" w:sz="0" w:space="0" w:color="auto"/>
            <w:bottom w:val="none" w:sz="0" w:space="0" w:color="auto"/>
            <w:right w:val="none" w:sz="0" w:space="0" w:color="auto"/>
          </w:divBdr>
        </w:div>
        <w:div w:id="1437942225">
          <w:marLeft w:val="0"/>
          <w:marRight w:val="0"/>
          <w:marTop w:val="0"/>
          <w:marBottom w:val="0"/>
          <w:divBdr>
            <w:top w:val="none" w:sz="0" w:space="0" w:color="auto"/>
            <w:left w:val="none" w:sz="0" w:space="0" w:color="auto"/>
            <w:bottom w:val="none" w:sz="0" w:space="0" w:color="auto"/>
            <w:right w:val="none" w:sz="0" w:space="0" w:color="auto"/>
          </w:divBdr>
        </w:div>
        <w:div w:id="2109544948">
          <w:marLeft w:val="0"/>
          <w:marRight w:val="0"/>
          <w:marTop w:val="0"/>
          <w:marBottom w:val="0"/>
          <w:divBdr>
            <w:top w:val="none" w:sz="0" w:space="0" w:color="auto"/>
            <w:left w:val="none" w:sz="0" w:space="0" w:color="auto"/>
            <w:bottom w:val="none" w:sz="0" w:space="0" w:color="auto"/>
            <w:right w:val="none" w:sz="0" w:space="0" w:color="auto"/>
          </w:divBdr>
        </w:div>
      </w:divsChild>
    </w:div>
    <w:div w:id="1123697878">
      <w:bodyDiv w:val="1"/>
      <w:marLeft w:val="0"/>
      <w:marRight w:val="0"/>
      <w:marTop w:val="0"/>
      <w:marBottom w:val="0"/>
      <w:divBdr>
        <w:top w:val="none" w:sz="0" w:space="0" w:color="auto"/>
        <w:left w:val="none" w:sz="0" w:space="0" w:color="auto"/>
        <w:bottom w:val="none" w:sz="0" w:space="0" w:color="auto"/>
        <w:right w:val="none" w:sz="0" w:space="0" w:color="auto"/>
      </w:divBdr>
      <w:divsChild>
        <w:div w:id="896741030">
          <w:marLeft w:val="0"/>
          <w:marRight w:val="0"/>
          <w:marTop w:val="0"/>
          <w:marBottom w:val="0"/>
          <w:divBdr>
            <w:top w:val="none" w:sz="0" w:space="0" w:color="auto"/>
            <w:left w:val="none" w:sz="0" w:space="0" w:color="auto"/>
            <w:bottom w:val="none" w:sz="0" w:space="0" w:color="auto"/>
            <w:right w:val="none" w:sz="0" w:space="0" w:color="auto"/>
          </w:divBdr>
        </w:div>
        <w:div w:id="457182835">
          <w:marLeft w:val="0"/>
          <w:marRight w:val="0"/>
          <w:marTop w:val="0"/>
          <w:marBottom w:val="0"/>
          <w:divBdr>
            <w:top w:val="none" w:sz="0" w:space="0" w:color="auto"/>
            <w:left w:val="none" w:sz="0" w:space="0" w:color="auto"/>
            <w:bottom w:val="none" w:sz="0" w:space="0" w:color="auto"/>
            <w:right w:val="none" w:sz="0" w:space="0" w:color="auto"/>
          </w:divBdr>
        </w:div>
        <w:div w:id="1860391357">
          <w:marLeft w:val="0"/>
          <w:marRight w:val="0"/>
          <w:marTop w:val="0"/>
          <w:marBottom w:val="0"/>
          <w:divBdr>
            <w:top w:val="none" w:sz="0" w:space="0" w:color="auto"/>
            <w:left w:val="none" w:sz="0" w:space="0" w:color="auto"/>
            <w:bottom w:val="none" w:sz="0" w:space="0" w:color="auto"/>
            <w:right w:val="none" w:sz="0" w:space="0" w:color="auto"/>
          </w:divBdr>
        </w:div>
        <w:div w:id="1315181478">
          <w:marLeft w:val="0"/>
          <w:marRight w:val="0"/>
          <w:marTop w:val="0"/>
          <w:marBottom w:val="0"/>
          <w:divBdr>
            <w:top w:val="none" w:sz="0" w:space="0" w:color="auto"/>
            <w:left w:val="none" w:sz="0" w:space="0" w:color="auto"/>
            <w:bottom w:val="none" w:sz="0" w:space="0" w:color="auto"/>
            <w:right w:val="none" w:sz="0" w:space="0" w:color="auto"/>
          </w:divBdr>
        </w:div>
        <w:div w:id="1444379124">
          <w:marLeft w:val="0"/>
          <w:marRight w:val="0"/>
          <w:marTop w:val="0"/>
          <w:marBottom w:val="0"/>
          <w:divBdr>
            <w:top w:val="none" w:sz="0" w:space="0" w:color="auto"/>
            <w:left w:val="none" w:sz="0" w:space="0" w:color="auto"/>
            <w:bottom w:val="none" w:sz="0" w:space="0" w:color="auto"/>
            <w:right w:val="none" w:sz="0" w:space="0" w:color="auto"/>
          </w:divBdr>
        </w:div>
      </w:divsChild>
    </w:div>
    <w:div w:id="1404377004">
      <w:bodyDiv w:val="1"/>
      <w:marLeft w:val="0"/>
      <w:marRight w:val="0"/>
      <w:marTop w:val="0"/>
      <w:marBottom w:val="0"/>
      <w:divBdr>
        <w:top w:val="none" w:sz="0" w:space="0" w:color="auto"/>
        <w:left w:val="none" w:sz="0" w:space="0" w:color="auto"/>
        <w:bottom w:val="none" w:sz="0" w:space="0" w:color="auto"/>
        <w:right w:val="none" w:sz="0" w:space="0" w:color="auto"/>
      </w:divBdr>
      <w:divsChild>
        <w:div w:id="1628972377">
          <w:marLeft w:val="0"/>
          <w:marRight w:val="0"/>
          <w:marTop w:val="15"/>
          <w:marBottom w:val="0"/>
          <w:divBdr>
            <w:top w:val="none" w:sz="0" w:space="0" w:color="auto"/>
            <w:left w:val="none" w:sz="0" w:space="0" w:color="auto"/>
            <w:bottom w:val="none" w:sz="0" w:space="0" w:color="auto"/>
            <w:right w:val="none" w:sz="0" w:space="0" w:color="auto"/>
          </w:divBdr>
          <w:divsChild>
            <w:div w:id="692537138">
              <w:marLeft w:val="0"/>
              <w:marRight w:val="0"/>
              <w:marTop w:val="0"/>
              <w:marBottom w:val="0"/>
              <w:divBdr>
                <w:top w:val="single" w:sz="6" w:space="0" w:color="808080"/>
                <w:left w:val="single" w:sz="6" w:space="0" w:color="808080"/>
                <w:bottom w:val="single" w:sz="6" w:space="0" w:color="808080"/>
                <w:right w:val="single" w:sz="6" w:space="0" w:color="808080"/>
              </w:divBdr>
              <w:divsChild>
                <w:div w:id="1676608782">
                  <w:marLeft w:val="0"/>
                  <w:marRight w:val="0"/>
                  <w:marTop w:val="0"/>
                  <w:marBottom w:val="0"/>
                  <w:divBdr>
                    <w:top w:val="none" w:sz="0" w:space="0" w:color="auto"/>
                    <w:left w:val="none" w:sz="0" w:space="0" w:color="auto"/>
                    <w:bottom w:val="none" w:sz="0" w:space="0" w:color="auto"/>
                    <w:right w:val="none" w:sz="0" w:space="0" w:color="auto"/>
                  </w:divBdr>
                </w:div>
                <w:div w:id="1960915128">
                  <w:marLeft w:val="0"/>
                  <w:marRight w:val="0"/>
                  <w:marTop w:val="0"/>
                  <w:marBottom w:val="0"/>
                  <w:divBdr>
                    <w:top w:val="none" w:sz="0" w:space="0" w:color="auto"/>
                    <w:left w:val="none" w:sz="0" w:space="0" w:color="auto"/>
                    <w:bottom w:val="none" w:sz="0" w:space="0" w:color="auto"/>
                    <w:right w:val="none" w:sz="0" w:space="0" w:color="auto"/>
                  </w:divBdr>
                </w:div>
                <w:div w:id="72614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212456">
          <w:marLeft w:val="0"/>
          <w:marRight w:val="0"/>
          <w:marTop w:val="15"/>
          <w:marBottom w:val="0"/>
          <w:divBdr>
            <w:top w:val="none" w:sz="0" w:space="0" w:color="auto"/>
            <w:left w:val="none" w:sz="0" w:space="0" w:color="auto"/>
            <w:bottom w:val="none" w:sz="0" w:space="0" w:color="auto"/>
            <w:right w:val="none" w:sz="0" w:space="0" w:color="auto"/>
          </w:divBdr>
          <w:divsChild>
            <w:div w:id="1124158542">
              <w:marLeft w:val="0"/>
              <w:marRight w:val="0"/>
              <w:marTop w:val="0"/>
              <w:marBottom w:val="0"/>
              <w:divBdr>
                <w:top w:val="single" w:sz="6" w:space="0" w:color="808080"/>
                <w:left w:val="single" w:sz="6" w:space="0" w:color="808080"/>
                <w:bottom w:val="single" w:sz="6" w:space="0" w:color="808080"/>
                <w:right w:val="single" w:sz="6" w:space="0" w:color="808080"/>
              </w:divBdr>
              <w:divsChild>
                <w:div w:id="1211385906">
                  <w:marLeft w:val="0"/>
                  <w:marRight w:val="0"/>
                  <w:marTop w:val="0"/>
                  <w:marBottom w:val="0"/>
                  <w:divBdr>
                    <w:top w:val="none" w:sz="0" w:space="0" w:color="auto"/>
                    <w:left w:val="none" w:sz="0" w:space="0" w:color="auto"/>
                    <w:bottom w:val="none" w:sz="0" w:space="0" w:color="auto"/>
                    <w:right w:val="none" w:sz="0" w:space="0" w:color="auto"/>
                  </w:divBdr>
                </w:div>
                <w:div w:id="1327368730">
                  <w:marLeft w:val="0"/>
                  <w:marRight w:val="0"/>
                  <w:marTop w:val="0"/>
                  <w:marBottom w:val="0"/>
                  <w:divBdr>
                    <w:top w:val="none" w:sz="0" w:space="0" w:color="auto"/>
                    <w:left w:val="none" w:sz="0" w:space="0" w:color="auto"/>
                    <w:bottom w:val="none" w:sz="0" w:space="0" w:color="auto"/>
                    <w:right w:val="none" w:sz="0" w:space="0" w:color="auto"/>
                  </w:divBdr>
                </w:div>
                <w:div w:id="285434905">
                  <w:marLeft w:val="0"/>
                  <w:marRight w:val="0"/>
                  <w:marTop w:val="0"/>
                  <w:marBottom w:val="0"/>
                  <w:divBdr>
                    <w:top w:val="none" w:sz="0" w:space="0" w:color="auto"/>
                    <w:left w:val="none" w:sz="0" w:space="0" w:color="auto"/>
                    <w:bottom w:val="none" w:sz="0" w:space="0" w:color="auto"/>
                    <w:right w:val="none" w:sz="0" w:space="0" w:color="auto"/>
                  </w:divBdr>
                </w:div>
                <w:div w:id="1144085984">
                  <w:marLeft w:val="0"/>
                  <w:marRight w:val="0"/>
                  <w:marTop w:val="0"/>
                  <w:marBottom w:val="0"/>
                  <w:divBdr>
                    <w:top w:val="none" w:sz="0" w:space="0" w:color="auto"/>
                    <w:left w:val="none" w:sz="0" w:space="0" w:color="auto"/>
                    <w:bottom w:val="none" w:sz="0" w:space="0" w:color="auto"/>
                    <w:right w:val="none" w:sz="0" w:space="0" w:color="auto"/>
                  </w:divBdr>
                </w:div>
                <w:div w:id="106891676">
                  <w:marLeft w:val="0"/>
                  <w:marRight w:val="0"/>
                  <w:marTop w:val="0"/>
                  <w:marBottom w:val="0"/>
                  <w:divBdr>
                    <w:top w:val="none" w:sz="0" w:space="0" w:color="auto"/>
                    <w:left w:val="none" w:sz="0" w:space="0" w:color="auto"/>
                    <w:bottom w:val="none" w:sz="0" w:space="0" w:color="auto"/>
                    <w:right w:val="none" w:sz="0" w:space="0" w:color="auto"/>
                  </w:divBdr>
                </w:div>
                <w:div w:id="965549699">
                  <w:marLeft w:val="0"/>
                  <w:marRight w:val="0"/>
                  <w:marTop w:val="0"/>
                  <w:marBottom w:val="0"/>
                  <w:divBdr>
                    <w:top w:val="none" w:sz="0" w:space="0" w:color="auto"/>
                    <w:left w:val="none" w:sz="0" w:space="0" w:color="auto"/>
                    <w:bottom w:val="none" w:sz="0" w:space="0" w:color="auto"/>
                    <w:right w:val="none" w:sz="0" w:space="0" w:color="auto"/>
                  </w:divBdr>
                </w:div>
                <w:div w:id="584343441">
                  <w:marLeft w:val="0"/>
                  <w:marRight w:val="0"/>
                  <w:marTop w:val="0"/>
                  <w:marBottom w:val="0"/>
                  <w:divBdr>
                    <w:top w:val="none" w:sz="0" w:space="0" w:color="auto"/>
                    <w:left w:val="none" w:sz="0" w:space="0" w:color="auto"/>
                    <w:bottom w:val="none" w:sz="0" w:space="0" w:color="auto"/>
                    <w:right w:val="none" w:sz="0" w:space="0" w:color="auto"/>
                  </w:divBdr>
                </w:div>
                <w:div w:id="1699547767">
                  <w:marLeft w:val="0"/>
                  <w:marRight w:val="0"/>
                  <w:marTop w:val="0"/>
                  <w:marBottom w:val="0"/>
                  <w:divBdr>
                    <w:top w:val="none" w:sz="0" w:space="0" w:color="auto"/>
                    <w:left w:val="none" w:sz="0" w:space="0" w:color="auto"/>
                    <w:bottom w:val="none" w:sz="0" w:space="0" w:color="auto"/>
                    <w:right w:val="none" w:sz="0" w:space="0" w:color="auto"/>
                  </w:divBdr>
                </w:div>
                <w:div w:id="1987314088">
                  <w:marLeft w:val="0"/>
                  <w:marRight w:val="0"/>
                  <w:marTop w:val="0"/>
                  <w:marBottom w:val="0"/>
                  <w:divBdr>
                    <w:top w:val="none" w:sz="0" w:space="0" w:color="auto"/>
                    <w:left w:val="none" w:sz="0" w:space="0" w:color="auto"/>
                    <w:bottom w:val="none" w:sz="0" w:space="0" w:color="auto"/>
                    <w:right w:val="none" w:sz="0" w:space="0" w:color="auto"/>
                  </w:divBdr>
                </w:div>
                <w:div w:id="379478965">
                  <w:marLeft w:val="0"/>
                  <w:marRight w:val="0"/>
                  <w:marTop w:val="0"/>
                  <w:marBottom w:val="0"/>
                  <w:divBdr>
                    <w:top w:val="none" w:sz="0" w:space="0" w:color="auto"/>
                    <w:left w:val="none" w:sz="0" w:space="0" w:color="auto"/>
                    <w:bottom w:val="none" w:sz="0" w:space="0" w:color="auto"/>
                    <w:right w:val="none" w:sz="0" w:space="0" w:color="auto"/>
                  </w:divBdr>
                </w:div>
                <w:div w:id="936714336">
                  <w:marLeft w:val="0"/>
                  <w:marRight w:val="0"/>
                  <w:marTop w:val="0"/>
                  <w:marBottom w:val="0"/>
                  <w:divBdr>
                    <w:top w:val="none" w:sz="0" w:space="0" w:color="auto"/>
                    <w:left w:val="none" w:sz="0" w:space="0" w:color="auto"/>
                    <w:bottom w:val="none" w:sz="0" w:space="0" w:color="auto"/>
                    <w:right w:val="none" w:sz="0" w:space="0" w:color="auto"/>
                  </w:divBdr>
                </w:div>
                <w:div w:id="226958869">
                  <w:marLeft w:val="0"/>
                  <w:marRight w:val="0"/>
                  <w:marTop w:val="0"/>
                  <w:marBottom w:val="0"/>
                  <w:divBdr>
                    <w:top w:val="none" w:sz="0" w:space="0" w:color="auto"/>
                    <w:left w:val="none" w:sz="0" w:space="0" w:color="auto"/>
                    <w:bottom w:val="none" w:sz="0" w:space="0" w:color="auto"/>
                    <w:right w:val="none" w:sz="0" w:space="0" w:color="auto"/>
                  </w:divBdr>
                </w:div>
                <w:div w:id="756290108">
                  <w:marLeft w:val="0"/>
                  <w:marRight w:val="0"/>
                  <w:marTop w:val="0"/>
                  <w:marBottom w:val="0"/>
                  <w:divBdr>
                    <w:top w:val="none" w:sz="0" w:space="0" w:color="auto"/>
                    <w:left w:val="none" w:sz="0" w:space="0" w:color="auto"/>
                    <w:bottom w:val="none" w:sz="0" w:space="0" w:color="auto"/>
                    <w:right w:val="none" w:sz="0" w:space="0" w:color="auto"/>
                  </w:divBdr>
                </w:div>
                <w:div w:id="12874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246919">
      <w:bodyDiv w:val="1"/>
      <w:marLeft w:val="0"/>
      <w:marRight w:val="0"/>
      <w:marTop w:val="0"/>
      <w:marBottom w:val="0"/>
      <w:divBdr>
        <w:top w:val="none" w:sz="0" w:space="0" w:color="auto"/>
        <w:left w:val="none" w:sz="0" w:space="0" w:color="auto"/>
        <w:bottom w:val="none" w:sz="0" w:space="0" w:color="auto"/>
        <w:right w:val="none" w:sz="0" w:space="0" w:color="auto"/>
      </w:divBdr>
      <w:divsChild>
        <w:div w:id="1196117071">
          <w:marLeft w:val="0"/>
          <w:marRight w:val="0"/>
          <w:marTop w:val="0"/>
          <w:marBottom w:val="0"/>
          <w:divBdr>
            <w:top w:val="none" w:sz="0" w:space="0" w:color="auto"/>
            <w:left w:val="none" w:sz="0" w:space="0" w:color="auto"/>
            <w:bottom w:val="none" w:sz="0" w:space="0" w:color="auto"/>
            <w:right w:val="none" w:sz="0" w:space="0" w:color="auto"/>
          </w:divBdr>
        </w:div>
        <w:div w:id="105122808">
          <w:marLeft w:val="0"/>
          <w:marRight w:val="0"/>
          <w:marTop w:val="0"/>
          <w:marBottom w:val="0"/>
          <w:divBdr>
            <w:top w:val="none" w:sz="0" w:space="0" w:color="auto"/>
            <w:left w:val="none" w:sz="0" w:space="0" w:color="auto"/>
            <w:bottom w:val="none" w:sz="0" w:space="0" w:color="auto"/>
            <w:right w:val="none" w:sz="0" w:space="0" w:color="auto"/>
          </w:divBdr>
        </w:div>
        <w:div w:id="612597614">
          <w:marLeft w:val="0"/>
          <w:marRight w:val="0"/>
          <w:marTop w:val="0"/>
          <w:marBottom w:val="0"/>
          <w:divBdr>
            <w:top w:val="none" w:sz="0" w:space="0" w:color="auto"/>
            <w:left w:val="none" w:sz="0" w:space="0" w:color="auto"/>
            <w:bottom w:val="none" w:sz="0" w:space="0" w:color="auto"/>
            <w:right w:val="none" w:sz="0" w:space="0" w:color="auto"/>
          </w:divBdr>
        </w:div>
      </w:divsChild>
    </w:div>
    <w:div w:id="1491752467">
      <w:bodyDiv w:val="1"/>
      <w:marLeft w:val="0"/>
      <w:marRight w:val="0"/>
      <w:marTop w:val="0"/>
      <w:marBottom w:val="0"/>
      <w:divBdr>
        <w:top w:val="none" w:sz="0" w:space="0" w:color="auto"/>
        <w:left w:val="none" w:sz="0" w:space="0" w:color="auto"/>
        <w:bottom w:val="none" w:sz="0" w:space="0" w:color="auto"/>
        <w:right w:val="none" w:sz="0" w:space="0" w:color="auto"/>
      </w:divBdr>
      <w:divsChild>
        <w:div w:id="897324149">
          <w:marLeft w:val="0"/>
          <w:marRight w:val="0"/>
          <w:marTop w:val="0"/>
          <w:marBottom w:val="0"/>
          <w:divBdr>
            <w:top w:val="none" w:sz="0" w:space="0" w:color="auto"/>
            <w:left w:val="none" w:sz="0" w:space="0" w:color="auto"/>
            <w:bottom w:val="none" w:sz="0" w:space="0" w:color="auto"/>
            <w:right w:val="none" w:sz="0" w:space="0" w:color="auto"/>
          </w:divBdr>
        </w:div>
        <w:div w:id="1371690088">
          <w:marLeft w:val="0"/>
          <w:marRight w:val="0"/>
          <w:marTop w:val="0"/>
          <w:marBottom w:val="0"/>
          <w:divBdr>
            <w:top w:val="none" w:sz="0" w:space="0" w:color="auto"/>
            <w:left w:val="none" w:sz="0" w:space="0" w:color="auto"/>
            <w:bottom w:val="none" w:sz="0" w:space="0" w:color="auto"/>
            <w:right w:val="none" w:sz="0" w:space="0" w:color="auto"/>
          </w:divBdr>
        </w:div>
        <w:div w:id="765812097">
          <w:marLeft w:val="0"/>
          <w:marRight w:val="0"/>
          <w:marTop w:val="0"/>
          <w:marBottom w:val="0"/>
          <w:divBdr>
            <w:top w:val="none" w:sz="0" w:space="0" w:color="auto"/>
            <w:left w:val="none" w:sz="0" w:space="0" w:color="auto"/>
            <w:bottom w:val="none" w:sz="0" w:space="0" w:color="auto"/>
            <w:right w:val="none" w:sz="0" w:space="0" w:color="auto"/>
          </w:divBdr>
        </w:div>
        <w:div w:id="830410372">
          <w:marLeft w:val="0"/>
          <w:marRight w:val="0"/>
          <w:marTop w:val="0"/>
          <w:marBottom w:val="0"/>
          <w:divBdr>
            <w:top w:val="none" w:sz="0" w:space="0" w:color="auto"/>
            <w:left w:val="none" w:sz="0" w:space="0" w:color="auto"/>
            <w:bottom w:val="none" w:sz="0" w:space="0" w:color="auto"/>
            <w:right w:val="none" w:sz="0" w:space="0" w:color="auto"/>
          </w:divBdr>
        </w:div>
      </w:divsChild>
    </w:div>
    <w:div w:id="1628463093">
      <w:bodyDiv w:val="1"/>
      <w:marLeft w:val="0"/>
      <w:marRight w:val="0"/>
      <w:marTop w:val="0"/>
      <w:marBottom w:val="0"/>
      <w:divBdr>
        <w:top w:val="none" w:sz="0" w:space="0" w:color="auto"/>
        <w:left w:val="none" w:sz="0" w:space="0" w:color="auto"/>
        <w:bottom w:val="none" w:sz="0" w:space="0" w:color="auto"/>
        <w:right w:val="none" w:sz="0" w:space="0" w:color="auto"/>
      </w:divBdr>
      <w:divsChild>
        <w:div w:id="618337597">
          <w:marLeft w:val="0"/>
          <w:marRight w:val="0"/>
          <w:marTop w:val="0"/>
          <w:marBottom w:val="0"/>
          <w:divBdr>
            <w:top w:val="none" w:sz="0" w:space="0" w:color="auto"/>
            <w:left w:val="none" w:sz="0" w:space="0" w:color="auto"/>
            <w:bottom w:val="none" w:sz="0" w:space="0" w:color="auto"/>
            <w:right w:val="none" w:sz="0" w:space="0" w:color="auto"/>
          </w:divBdr>
        </w:div>
        <w:div w:id="1579317762">
          <w:marLeft w:val="0"/>
          <w:marRight w:val="0"/>
          <w:marTop w:val="0"/>
          <w:marBottom w:val="0"/>
          <w:divBdr>
            <w:top w:val="none" w:sz="0" w:space="0" w:color="auto"/>
            <w:left w:val="none" w:sz="0" w:space="0" w:color="auto"/>
            <w:bottom w:val="none" w:sz="0" w:space="0" w:color="auto"/>
            <w:right w:val="none" w:sz="0" w:space="0" w:color="auto"/>
          </w:divBdr>
        </w:div>
        <w:div w:id="1371765611">
          <w:marLeft w:val="0"/>
          <w:marRight w:val="0"/>
          <w:marTop w:val="0"/>
          <w:marBottom w:val="0"/>
          <w:divBdr>
            <w:top w:val="none" w:sz="0" w:space="0" w:color="auto"/>
            <w:left w:val="none" w:sz="0" w:space="0" w:color="auto"/>
            <w:bottom w:val="none" w:sz="0" w:space="0" w:color="auto"/>
            <w:right w:val="none" w:sz="0" w:space="0" w:color="auto"/>
          </w:divBdr>
        </w:div>
      </w:divsChild>
    </w:div>
    <w:div w:id="1706982812">
      <w:bodyDiv w:val="1"/>
      <w:marLeft w:val="0"/>
      <w:marRight w:val="0"/>
      <w:marTop w:val="0"/>
      <w:marBottom w:val="0"/>
      <w:divBdr>
        <w:top w:val="none" w:sz="0" w:space="0" w:color="auto"/>
        <w:left w:val="none" w:sz="0" w:space="0" w:color="auto"/>
        <w:bottom w:val="none" w:sz="0" w:space="0" w:color="auto"/>
        <w:right w:val="none" w:sz="0" w:space="0" w:color="auto"/>
      </w:divBdr>
      <w:divsChild>
        <w:div w:id="673805081">
          <w:marLeft w:val="0"/>
          <w:marRight w:val="0"/>
          <w:marTop w:val="0"/>
          <w:marBottom w:val="0"/>
          <w:divBdr>
            <w:top w:val="none" w:sz="0" w:space="0" w:color="auto"/>
            <w:left w:val="none" w:sz="0" w:space="0" w:color="auto"/>
            <w:bottom w:val="none" w:sz="0" w:space="0" w:color="auto"/>
            <w:right w:val="none" w:sz="0" w:space="0" w:color="auto"/>
          </w:divBdr>
        </w:div>
        <w:div w:id="905606057">
          <w:marLeft w:val="0"/>
          <w:marRight w:val="0"/>
          <w:marTop w:val="0"/>
          <w:marBottom w:val="0"/>
          <w:divBdr>
            <w:top w:val="none" w:sz="0" w:space="0" w:color="auto"/>
            <w:left w:val="none" w:sz="0" w:space="0" w:color="auto"/>
            <w:bottom w:val="none" w:sz="0" w:space="0" w:color="auto"/>
            <w:right w:val="none" w:sz="0" w:space="0" w:color="auto"/>
          </w:divBdr>
        </w:div>
        <w:div w:id="962007199">
          <w:marLeft w:val="0"/>
          <w:marRight w:val="0"/>
          <w:marTop w:val="0"/>
          <w:marBottom w:val="0"/>
          <w:divBdr>
            <w:top w:val="none" w:sz="0" w:space="0" w:color="auto"/>
            <w:left w:val="none" w:sz="0" w:space="0" w:color="auto"/>
            <w:bottom w:val="none" w:sz="0" w:space="0" w:color="auto"/>
            <w:right w:val="none" w:sz="0" w:space="0" w:color="auto"/>
          </w:divBdr>
        </w:div>
        <w:div w:id="1020469608">
          <w:marLeft w:val="0"/>
          <w:marRight w:val="0"/>
          <w:marTop w:val="0"/>
          <w:marBottom w:val="0"/>
          <w:divBdr>
            <w:top w:val="none" w:sz="0" w:space="0" w:color="auto"/>
            <w:left w:val="none" w:sz="0" w:space="0" w:color="auto"/>
            <w:bottom w:val="none" w:sz="0" w:space="0" w:color="auto"/>
            <w:right w:val="none" w:sz="0" w:space="0" w:color="auto"/>
          </w:divBdr>
        </w:div>
        <w:div w:id="783771227">
          <w:marLeft w:val="0"/>
          <w:marRight w:val="0"/>
          <w:marTop w:val="0"/>
          <w:marBottom w:val="0"/>
          <w:divBdr>
            <w:top w:val="none" w:sz="0" w:space="0" w:color="auto"/>
            <w:left w:val="none" w:sz="0" w:space="0" w:color="auto"/>
            <w:bottom w:val="none" w:sz="0" w:space="0" w:color="auto"/>
            <w:right w:val="none" w:sz="0" w:space="0" w:color="auto"/>
          </w:divBdr>
        </w:div>
        <w:div w:id="1647662574">
          <w:marLeft w:val="0"/>
          <w:marRight w:val="0"/>
          <w:marTop w:val="0"/>
          <w:marBottom w:val="0"/>
          <w:divBdr>
            <w:top w:val="none" w:sz="0" w:space="0" w:color="auto"/>
            <w:left w:val="none" w:sz="0" w:space="0" w:color="auto"/>
            <w:bottom w:val="none" w:sz="0" w:space="0" w:color="auto"/>
            <w:right w:val="none" w:sz="0" w:space="0" w:color="auto"/>
          </w:divBdr>
        </w:div>
        <w:div w:id="735976676">
          <w:marLeft w:val="0"/>
          <w:marRight w:val="0"/>
          <w:marTop w:val="0"/>
          <w:marBottom w:val="0"/>
          <w:divBdr>
            <w:top w:val="none" w:sz="0" w:space="0" w:color="auto"/>
            <w:left w:val="none" w:sz="0" w:space="0" w:color="auto"/>
            <w:bottom w:val="none" w:sz="0" w:space="0" w:color="auto"/>
            <w:right w:val="none" w:sz="0" w:space="0" w:color="auto"/>
          </w:divBdr>
        </w:div>
        <w:div w:id="1453594524">
          <w:marLeft w:val="0"/>
          <w:marRight w:val="0"/>
          <w:marTop w:val="0"/>
          <w:marBottom w:val="0"/>
          <w:divBdr>
            <w:top w:val="none" w:sz="0" w:space="0" w:color="auto"/>
            <w:left w:val="none" w:sz="0" w:space="0" w:color="auto"/>
            <w:bottom w:val="none" w:sz="0" w:space="0" w:color="auto"/>
            <w:right w:val="none" w:sz="0" w:space="0" w:color="auto"/>
          </w:divBdr>
        </w:div>
        <w:div w:id="1563983817">
          <w:marLeft w:val="0"/>
          <w:marRight w:val="0"/>
          <w:marTop w:val="0"/>
          <w:marBottom w:val="0"/>
          <w:divBdr>
            <w:top w:val="none" w:sz="0" w:space="0" w:color="auto"/>
            <w:left w:val="none" w:sz="0" w:space="0" w:color="auto"/>
            <w:bottom w:val="none" w:sz="0" w:space="0" w:color="auto"/>
            <w:right w:val="none" w:sz="0" w:space="0" w:color="auto"/>
          </w:divBdr>
        </w:div>
        <w:div w:id="1989674821">
          <w:marLeft w:val="0"/>
          <w:marRight w:val="0"/>
          <w:marTop w:val="0"/>
          <w:marBottom w:val="0"/>
          <w:divBdr>
            <w:top w:val="none" w:sz="0" w:space="0" w:color="auto"/>
            <w:left w:val="none" w:sz="0" w:space="0" w:color="auto"/>
            <w:bottom w:val="none" w:sz="0" w:space="0" w:color="auto"/>
            <w:right w:val="none" w:sz="0" w:space="0" w:color="auto"/>
          </w:divBdr>
        </w:div>
      </w:divsChild>
    </w:div>
    <w:div w:id="2050566061">
      <w:bodyDiv w:val="1"/>
      <w:marLeft w:val="0"/>
      <w:marRight w:val="0"/>
      <w:marTop w:val="0"/>
      <w:marBottom w:val="0"/>
      <w:divBdr>
        <w:top w:val="none" w:sz="0" w:space="0" w:color="auto"/>
        <w:left w:val="none" w:sz="0" w:space="0" w:color="auto"/>
        <w:bottom w:val="none" w:sz="0" w:space="0" w:color="auto"/>
        <w:right w:val="none" w:sz="0" w:space="0" w:color="auto"/>
      </w:divBdr>
      <w:divsChild>
        <w:div w:id="349994618">
          <w:marLeft w:val="0"/>
          <w:marRight w:val="0"/>
          <w:marTop w:val="0"/>
          <w:marBottom w:val="0"/>
          <w:divBdr>
            <w:top w:val="none" w:sz="0" w:space="0" w:color="auto"/>
            <w:left w:val="none" w:sz="0" w:space="0" w:color="auto"/>
            <w:bottom w:val="none" w:sz="0" w:space="0" w:color="auto"/>
            <w:right w:val="none" w:sz="0" w:space="0" w:color="auto"/>
          </w:divBdr>
        </w:div>
        <w:div w:id="1329678040">
          <w:marLeft w:val="0"/>
          <w:marRight w:val="0"/>
          <w:marTop w:val="0"/>
          <w:marBottom w:val="0"/>
          <w:divBdr>
            <w:top w:val="none" w:sz="0" w:space="0" w:color="auto"/>
            <w:left w:val="none" w:sz="0" w:space="0" w:color="auto"/>
            <w:bottom w:val="none" w:sz="0" w:space="0" w:color="auto"/>
            <w:right w:val="none" w:sz="0" w:space="0" w:color="auto"/>
          </w:divBdr>
        </w:div>
        <w:div w:id="1735466212">
          <w:marLeft w:val="0"/>
          <w:marRight w:val="0"/>
          <w:marTop w:val="0"/>
          <w:marBottom w:val="0"/>
          <w:divBdr>
            <w:top w:val="none" w:sz="0" w:space="0" w:color="auto"/>
            <w:left w:val="none" w:sz="0" w:space="0" w:color="auto"/>
            <w:bottom w:val="none" w:sz="0" w:space="0" w:color="auto"/>
            <w:right w:val="none" w:sz="0" w:space="0" w:color="auto"/>
          </w:divBdr>
        </w:div>
      </w:divsChild>
    </w:div>
    <w:div w:id="2071030467">
      <w:bodyDiv w:val="1"/>
      <w:marLeft w:val="0"/>
      <w:marRight w:val="0"/>
      <w:marTop w:val="0"/>
      <w:marBottom w:val="0"/>
      <w:divBdr>
        <w:top w:val="none" w:sz="0" w:space="0" w:color="auto"/>
        <w:left w:val="none" w:sz="0" w:space="0" w:color="auto"/>
        <w:bottom w:val="none" w:sz="0" w:space="0" w:color="auto"/>
        <w:right w:val="none" w:sz="0" w:space="0" w:color="auto"/>
      </w:divBdr>
      <w:divsChild>
        <w:div w:id="416248217">
          <w:marLeft w:val="0"/>
          <w:marRight w:val="0"/>
          <w:marTop w:val="0"/>
          <w:marBottom w:val="0"/>
          <w:divBdr>
            <w:top w:val="none" w:sz="0" w:space="0" w:color="auto"/>
            <w:left w:val="none" w:sz="0" w:space="0" w:color="auto"/>
            <w:bottom w:val="none" w:sz="0" w:space="0" w:color="auto"/>
            <w:right w:val="none" w:sz="0" w:space="0" w:color="auto"/>
          </w:divBdr>
        </w:div>
        <w:div w:id="679550831">
          <w:marLeft w:val="0"/>
          <w:marRight w:val="0"/>
          <w:marTop w:val="0"/>
          <w:marBottom w:val="0"/>
          <w:divBdr>
            <w:top w:val="none" w:sz="0" w:space="0" w:color="auto"/>
            <w:left w:val="none" w:sz="0" w:space="0" w:color="auto"/>
            <w:bottom w:val="none" w:sz="0" w:space="0" w:color="auto"/>
            <w:right w:val="none" w:sz="0" w:space="0" w:color="auto"/>
          </w:divBdr>
        </w:div>
        <w:div w:id="1784617750">
          <w:marLeft w:val="0"/>
          <w:marRight w:val="0"/>
          <w:marTop w:val="0"/>
          <w:marBottom w:val="0"/>
          <w:divBdr>
            <w:top w:val="none" w:sz="0" w:space="0" w:color="auto"/>
            <w:left w:val="none" w:sz="0" w:space="0" w:color="auto"/>
            <w:bottom w:val="none" w:sz="0" w:space="0" w:color="auto"/>
            <w:right w:val="none" w:sz="0" w:space="0" w:color="auto"/>
          </w:divBdr>
        </w:div>
        <w:div w:id="791825377">
          <w:marLeft w:val="0"/>
          <w:marRight w:val="0"/>
          <w:marTop w:val="0"/>
          <w:marBottom w:val="0"/>
          <w:divBdr>
            <w:top w:val="none" w:sz="0" w:space="0" w:color="auto"/>
            <w:left w:val="none" w:sz="0" w:space="0" w:color="auto"/>
            <w:bottom w:val="none" w:sz="0" w:space="0" w:color="auto"/>
            <w:right w:val="none" w:sz="0" w:space="0" w:color="auto"/>
          </w:divBdr>
        </w:div>
        <w:div w:id="448400136">
          <w:marLeft w:val="0"/>
          <w:marRight w:val="0"/>
          <w:marTop w:val="0"/>
          <w:marBottom w:val="0"/>
          <w:divBdr>
            <w:top w:val="none" w:sz="0" w:space="0" w:color="auto"/>
            <w:left w:val="none" w:sz="0" w:space="0" w:color="auto"/>
            <w:bottom w:val="none" w:sz="0" w:space="0" w:color="auto"/>
            <w:right w:val="none" w:sz="0" w:space="0" w:color="auto"/>
          </w:divBdr>
        </w:div>
        <w:div w:id="835731980">
          <w:marLeft w:val="0"/>
          <w:marRight w:val="0"/>
          <w:marTop w:val="0"/>
          <w:marBottom w:val="0"/>
          <w:divBdr>
            <w:top w:val="none" w:sz="0" w:space="0" w:color="auto"/>
            <w:left w:val="none" w:sz="0" w:space="0" w:color="auto"/>
            <w:bottom w:val="none" w:sz="0" w:space="0" w:color="auto"/>
            <w:right w:val="none" w:sz="0" w:space="0" w:color="auto"/>
          </w:divBdr>
        </w:div>
        <w:div w:id="1853179007">
          <w:marLeft w:val="0"/>
          <w:marRight w:val="0"/>
          <w:marTop w:val="0"/>
          <w:marBottom w:val="0"/>
          <w:divBdr>
            <w:top w:val="none" w:sz="0" w:space="0" w:color="auto"/>
            <w:left w:val="none" w:sz="0" w:space="0" w:color="auto"/>
            <w:bottom w:val="none" w:sz="0" w:space="0" w:color="auto"/>
            <w:right w:val="none" w:sz="0" w:space="0" w:color="auto"/>
          </w:divBdr>
        </w:div>
        <w:div w:id="1772553887">
          <w:marLeft w:val="0"/>
          <w:marRight w:val="0"/>
          <w:marTop w:val="0"/>
          <w:marBottom w:val="0"/>
          <w:divBdr>
            <w:top w:val="none" w:sz="0" w:space="0" w:color="auto"/>
            <w:left w:val="none" w:sz="0" w:space="0" w:color="auto"/>
            <w:bottom w:val="none" w:sz="0" w:space="0" w:color="auto"/>
            <w:right w:val="none" w:sz="0" w:space="0" w:color="auto"/>
          </w:divBdr>
        </w:div>
        <w:div w:id="2121141960">
          <w:marLeft w:val="0"/>
          <w:marRight w:val="0"/>
          <w:marTop w:val="0"/>
          <w:marBottom w:val="0"/>
          <w:divBdr>
            <w:top w:val="none" w:sz="0" w:space="0" w:color="auto"/>
            <w:left w:val="none" w:sz="0" w:space="0" w:color="auto"/>
            <w:bottom w:val="none" w:sz="0" w:space="0" w:color="auto"/>
            <w:right w:val="none" w:sz="0" w:space="0" w:color="auto"/>
          </w:divBdr>
        </w:div>
        <w:div w:id="162553249">
          <w:marLeft w:val="0"/>
          <w:marRight w:val="0"/>
          <w:marTop w:val="0"/>
          <w:marBottom w:val="0"/>
          <w:divBdr>
            <w:top w:val="none" w:sz="0" w:space="0" w:color="auto"/>
            <w:left w:val="none" w:sz="0" w:space="0" w:color="auto"/>
            <w:bottom w:val="none" w:sz="0" w:space="0" w:color="auto"/>
            <w:right w:val="none" w:sz="0" w:space="0" w:color="auto"/>
          </w:divBdr>
        </w:div>
      </w:divsChild>
    </w:div>
    <w:div w:id="2077624622">
      <w:bodyDiv w:val="1"/>
      <w:marLeft w:val="0"/>
      <w:marRight w:val="0"/>
      <w:marTop w:val="0"/>
      <w:marBottom w:val="0"/>
      <w:divBdr>
        <w:top w:val="none" w:sz="0" w:space="0" w:color="auto"/>
        <w:left w:val="none" w:sz="0" w:space="0" w:color="auto"/>
        <w:bottom w:val="none" w:sz="0" w:space="0" w:color="auto"/>
        <w:right w:val="none" w:sz="0" w:space="0" w:color="auto"/>
      </w:divBdr>
      <w:divsChild>
        <w:div w:id="182402107">
          <w:marLeft w:val="0"/>
          <w:marRight w:val="0"/>
          <w:marTop w:val="0"/>
          <w:marBottom w:val="0"/>
          <w:divBdr>
            <w:top w:val="none" w:sz="0" w:space="0" w:color="auto"/>
            <w:left w:val="none" w:sz="0" w:space="0" w:color="auto"/>
            <w:bottom w:val="none" w:sz="0" w:space="0" w:color="auto"/>
            <w:right w:val="none" w:sz="0" w:space="0" w:color="auto"/>
          </w:divBdr>
        </w:div>
        <w:div w:id="802428885">
          <w:marLeft w:val="0"/>
          <w:marRight w:val="0"/>
          <w:marTop w:val="0"/>
          <w:marBottom w:val="0"/>
          <w:divBdr>
            <w:top w:val="none" w:sz="0" w:space="0" w:color="auto"/>
            <w:left w:val="none" w:sz="0" w:space="0" w:color="auto"/>
            <w:bottom w:val="none" w:sz="0" w:space="0" w:color="auto"/>
            <w:right w:val="none" w:sz="0" w:space="0" w:color="auto"/>
          </w:divBdr>
        </w:div>
        <w:div w:id="1324507181">
          <w:marLeft w:val="0"/>
          <w:marRight w:val="0"/>
          <w:marTop w:val="0"/>
          <w:marBottom w:val="0"/>
          <w:divBdr>
            <w:top w:val="none" w:sz="0" w:space="0" w:color="auto"/>
            <w:left w:val="none" w:sz="0" w:space="0" w:color="auto"/>
            <w:bottom w:val="none" w:sz="0" w:space="0" w:color="auto"/>
            <w:right w:val="none" w:sz="0" w:space="0" w:color="auto"/>
          </w:divBdr>
        </w:div>
        <w:div w:id="1254825306">
          <w:marLeft w:val="0"/>
          <w:marRight w:val="0"/>
          <w:marTop w:val="0"/>
          <w:marBottom w:val="0"/>
          <w:divBdr>
            <w:top w:val="none" w:sz="0" w:space="0" w:color="auto"/>
            <w:left w:val="none" w:sz="0" w:space="0" w:color="auto"/>
            <w:bottom w:val="none" w:sz="0" w:space="0" w:color="auto"/>
            <w:right w:val="none" w:sz="0" w:space="0" w:color="auto"/>
          </w:divBdr>
        </w:div>
        <w:div w:id="238096093">
          <w:marLeft w:val="0"/>
          <w:marRight w:val="0"/>
          <w:marTop w:val="0"/>
          <w:marBottom w:val="0"/>
          <w:divBdr>
            <w:top w:val="none" w:sz="0" w:space="0" w:color="auto"/>
            <w:left w:val="none" w:sz="0" w:space="0" w:color="auto"/>
            <w:bottom w:val="none" w:sz="0" w:space="0" w:color="auto"/>
            <w:right w:val="none" w:sz="0" w:space="0" w:color="auto"/>
          </w:divBdr>
        </w:div>
        <w:div w:id="1134830990">
          <w:marLeft w:val="0"/>
          <w:marRight w:val="0"/>
          <w:marTop w:val="0"/>
          <w:marBottom w:val="0"/>
          <w:divBdr>
            <w:top w:val="none" w:sz="0" w:space="0" w:color="auto"/>
            <w:left w:val="none" w:sz="0" w:space="0" w:color="auto"/>
            <w:bottom w:val="none" w:sz="0" w:space="0" w:color="auto"/>
            <w:right w:val="none" w:sz="0" w:space="0" w:color="auto"/>
          </w:divBdr>
        </w:div>
        <w:div w:id="1037313831">
          <w:marLeft w:val="0"/>
          <w:marRight w:val="0"/>
          <w:marTop w:val="0"/>
          <w:marBottom w:val="0"/>
          <w:divBdr>
            <w:top w:val="none" w:sz="0" w:space="0" w:color="auto"/>
            <w:left w:val="none" w:sz="0" w:space="0" w:color="auto"/>
            <w:bottom w:val="none" w:sz="0" w:space="0" w:color="auto"/>
            <w:right w:val="none" w:sz="0" w:space="0" w:color="auto"/>
          </w:divBdr>
        </w:div>
        <w:div w:id="420835739">
          <w:marLeft w:val="0"/>
          <w:marRight w:val="0"/>
          <w:marTop w:val="0"/>
          <w:marBottom w:val="0"/>
          <w:divBdr>
            <w:top w:val="none" w:sz="0" w:space="0" w:color="auto"/>
            <w:left w:val="none" w:sz="0" w:space="0" w:color="auto"/>
            <w:bottom w:val="none" w:sz="0" w:space="0" w:color="auto"/>
            <w:right w:val="none" w:sz="0" w:space="0" w:color="auto"/>
          </w:divBdr>
        </w:div>
        <w:div w:id="1756514008">
          <w:marLeft w:val="0"/>
          <w:marRight w:val="0"/>
          <w:marTop w:val="0"/>
          <w:marBottom w:val="0"/>
          <w:divBdr>
            <w:top w:val="none" w:sz="0" w:space="0" w:color="auto"/>
            <w:left w:val="none" w:sz="0" w:space="0" w:color="auto"/>
            <w:bottom w:val="none" w:sz="0" w:space="0" w:color="auto"/>
            <w:right w:val="none" w:sz="0" w:space="0" w:color="auto"/>
          </w:divBdr>
        </w:div>
        <w:div w:id="2021858462">
          <w:marLeft w:val="0"/>
          <w:marRight w:val="0"/>
          <w:marTop w:val="0"/>
          <w:marBottom w:val="0"/>
          <w:divBdr>
            <w:top w:val="none" w:sz="0" w:space="0" w:color="auto"/>
            <w:left w:val="none" w:sz="0" w:space="0" w:color="auto"/>
            <w:bottom w:val="none" w:sz="0" w:space="0" w:color="auto"/>
            <w:right w:val="none" w:sz="0" w:space="0" w:color="auto"/>
          </w:divBdr>
        </w:div>
        <w:div w:id="1902132542">
          <w:marLeft w:val="0"/>
          <w:marRight w:val="0"/>
          <w:marTop w:val="0"/>
          <w:marBottom w:val="0"/>
          <w:divBdr>
            <w:top w:val="none" w:sz="0" w:space="0" w:color="auto"/>
            <w:left w:val="none" w:sz="0" w:space="0" w:color="auto"/>
            <w:bottom w:val="none" w:sz="0" w:space="0" w:color="auto"/>
            <w:right w:val="none" w:sz="0" w:space="0" w:color="auto"/>
          </w:divBdr>
        </w:div>
        <w:div w:id="217060660">
          <w:marLeft w:val="0"/>
          <w:marRight w:val="0"/>
          <w:marTop w:val="0"/>
          <w:marBottom w:val="0"/>
          <w:divBdr>
            <w:top w:val="none" w:sz="0" w:space="0" w:color="auto"/>
            <w:left w:val="none" w:sz="0" w:space="0" w:color="auto"/>
            <w:bottom w:val="none" w:sz="0" w:space="0" w:color="auto"/>
            <w:right w:val="none" w:sz="0" w:space="0" w:color="auto"/>
          </w:divBdr>
        </w:div>
        <w:div w:id="14983033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32283-23</Nr_x002e__x0020_akti>
    <Data_x0020_e_x0020_Krijimit xmlns="0e656187-b300-4fb0-8bf4-3a50f872073c">2026-06-24T12:42:52Z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2026-06-24T00:00:00Z</Date_x0020_protokolli>
    <Titulli xmlns="0e656187-b300-4fb0-8bf4-3a50f872073c">Çështja Manjani kundër Shqipërisë</Titulli>
    <Modifikuesi xmlns="0e656187-b300-4fb0-8bf4-3a50f872073c">Fjora.Cahani</Modifikuesi>
    <Nr_x002e__x0020_prot_x0020_QBZ xmlns="0e656187-b300-4fb0-8bf4-3a50f872073c">1400/1</Nr_x002e__x0020_prot_x0020_QBZ>
    <Data_x0020_e_x0020_Modifikimit xmlns="0e656187-b300-4fb0-8bf4-3a50f872073c">2026-06-25T08:51:30Z</Data_x0020_e_x0020_Modifikimit>
    <Dekretuar xmlns="0e656187-b300-4fb0-8bf4-3a50f872073c">false</Dekretuar>
    <Data xmlns="0e656187-b300-4fb0-8bf4-3a50f872073c">2026-03-10T00:00:00Z</Data>
    <Nr_x002e__x0020_protokolli_x0020_i_x0020_aktit xmlns="0e656187-b300-4fb0-8bf4-3a50f872073c">3628/1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2518E64F4AC4E94B5DB608F9F4F26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E39BCB-1725-421C-86AD-579BA63A7AFC}">
  <ds:schemaRefs>
    <ds:schemaRef ds:uri="http://purl.org/dc/dcmitype/"/>
    <ds:schemaRef ds:uri="http://schemas.microsoft.com/office/2006/metadata/properties"/>
    <ds:schemaRef ds:uri="http://purl.org/dc/terms/"/>
    <ds:schemaRef ds:uri="http://schemas.microsoft.com/office/2006/documentManagement/types"/>
    <ds:schemaRef ds:uri="http://purl.org/dc/elements/1.1/"/>
    <ds:schemaRef ds:uri="http://schemas.openxmlformats.org/package/2006/metadata/core-properties"/>
    <ds:schemaRef ds:uri="0e656187-b300-4fb0-8bf4-3a50f872073c"/>
    <ds:schemaRef ds:uri="http://www.w3.org/XML/1998/namespace"/>
  </ds:schemaRefs>
</ds:datastoreItem>
</file>

<file path=customXml/itemProps2.xml><?xml version="1.0" encoding="utf-8"?>
<ds:datastoreItem xmlns:ds="http://schemas.openxmlformats.org/officeDocument/2006/customXml" ds:itemID="{662FB416-76B0-43DF-B32F-6CCDDC8F3EFE}">
  <ds:schemaRefs>
    <ds:schemaRef ds:uri="http://schemas.microsoft.com/sharepoint/v3/contenttype/forms"/>
  </ds:schemaRefs>
</ds:datastoreItem>
</file>

<file path=customXml/itemProps3.xml><?xml version="1.0" encoding="utf-8"?>
<ds:datastoreItem xmlns:ds="http://schemas.openxmlformats.org/officeDocument/2006/customXml" ds:itemID="{AC8276D3-328A-4114-9D2A-87480EC2E9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A6C1BBC-4EC8-48AE-A3C4-462098A99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17</Pages>
  <Words>10044</Words>
  <Characters>57251</Characters>
  <Application>Microsoft Office Word</Application>
  <DocSecurity>0</DocSecurity>
  <Lines>477</Lines>
  <Paragraphs>134</Paragraphs>
  <ScaleCrop>false</ScaleCrop>
  <HeadingPairs>
    <vt:vector size="2" baseType="variant">
      <vt:variant>
        <vt:lpstr>Title</vt:lpstr>
      </vt:variant>
      <vt:variant>
        <vt:i4>1</vt:i4>
      </vt:variant>
    </vt:vector>
  </HeadingPairs>
  <TitlesOfParts>
    <vt:vector size="1" baseType="lpstr">
      <vt:lpstr>Çështja Manjani kundër Shqipërisë</vt:lpstr>
    </vt:vector>
  </TitlesOfParts>
  <Company/>
  <LinksUpToDate>false</LinksUpToDate>
  <CharactersWithSpaces>67161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Manjani kundër Shqipërisë</dc:title>
  <dc:creator>Mirela Prifti</dc:creator>
  <cp:lastModifiedBy>fjora.cahani</cp:lastModifiedBy>
  <cp:revision>18</cp:revision>
  <dcterms:created xsi:type="dcterms:W3CDTF">2026-06-24T12:54:00Z</dcterms:created>
  <dcterms:modified xsi:type="dcterms:W3CDTF">2026-06-25T11:45:00Z</dcterms:modified>
</cp:coreProperties>
</file>