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CAD83" w14:textId="411F4230" w:rsidR="0026103B" w:rsidRPr="000F046C" w:rsidRDefault="0026103B" w:rsidP="00E830C7">
      <w:pPr>
        <w:spacing w:after="0" w:line="240" w:lineRule="auto"/>
        <w:ind w:firstLine="284"/>
        <w:jc w:val="center"/>
        <w:rPr>
          <w:rFonts w:ascii="Garamond" w:hAnsi="Garamond"/>
          <w:sz w:val="24"/>
          <w:szCs w:val="24"/>
        </w:rPr>
      </w:pPr>
      <w:r w:rsidRPr="000F046C">
        <w:rPr>
          <w:rFonts w:ascii="Garamond" w:hAnsi="Garamond"/>
          <w:sz w:val="24"/>
          <w:szCs w:val="24"/>
        </w:rPr>
        <w:t xml:space="preserve">GJYKATA </w:t>
      </w:r>
      <w:r w:rsidR="000F046C" w:rsidRPr="000F046C">
        <w:rPr>
          <w:rFonts w:ascii="Garamond" w:hAnsi="Garamond"/>
          <w:sz w:val="24"/>
          <w:szCs w:val="24"/>
        </w:rPr>
        <w:t>EVROPIANE</w:t>
      </w:r>
      <w:r w:rsidRPr="000F046C">
        <w:rPr>
          <w:rFonts w:ascii="Garamond" w:hAnsi="Garamond"/>
          <w:sz w:val="24"/>
          <w:szCs w:val="24"/>
        </w:rPr>
        <w:t xml:space="preserve"> E TË DREJTAVE TË NJERIUT </w:t>
      </w:r>
    </w:p>
    <w:p w14:paraId="0CDB19AA" w14:textId="638F6C5A"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sz w:val="24"/>
          <w:szCs w:val="24"/>
        </w:rPr>
        <w:t>SEKSIONI I TRETË</w:t>
      </w:r>
    </w:p>
    <w:p w14:paraId="0880132F" w14:textId="77777777" w:rsidR="00E5366F" w:rsidRPr="000F046C" w:rsidRDefault="00E5366F" w:rsidP="00E830C7">
      <w:pPr>
        <w:spacing w:after="0" w:line="240" w:lineRule="auto"/>
        <w:ind w:firstLine="284"/>
        <w:jc w:val="center"/>
        <w:rPr>
          <w:rFonts w:ascii="Garamond" w:hAnsi="Garamond"/>
          <w:sz w:val="24"/>
          <w:szCs w:val="24"/>
        </w:rPr>
      </w:pPr>
    </w:p>
    <w:p w14:paraId="4C74356C" w14:textId="78344676"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sz w:val="24"/>
          <w:szCs w:val="24"/>
        </w:rPr>
        <w:t>ÇËSHTJA LEPURI DHE TË TJERË KUNDËR SHQIPËRISË</w:t>
      </w:r>
    </w:p>
    <w:p w14:paraId="21323F96" w14:textId="673B02A7" w:rsidR="00E5366F" w:rsidRPr="000F046C" w:rsidRDefault="00E5366F" w:rsidP="00E830C7">
      <w:pPr>
        <w:spacing w:after="0" w:line="240" w:lineRule="auto"/>
        <w:ind w:firstLine="284"/>
        <w:jc w:val="center"/>
        <w:rPr>
          <w:rFonts w:ascii="Garamond" w:hAnsi="Garamond"/>
          <w:i/>
          <w:sz w:val="24"/>
          <w:szCs w:val="24"/>
        </w:rPr>
      </w:pPr>
      <w:r w:rsidRPr="000F046C">
        <w:rPr>
          <w:rFonts w:ascii="Garamond" w:hAnsi="Garamond"/>
          <w:sz w:val="24"/>
          <w:szCs w:val="24"/>
        </w:rPr>
        <w:t>(</w:t>
      </w:r>
      <w:r w:rsidRPr="000F046C">
        <w:rPr>
          <w:rFonts w:ascii="Garamond" w:hAnsi="Garamond"/>
          <w:i/>
          <w:sz w:val="24"/>
          <w:szCs w:val="24"/>
        </w:rPr>
        <w:t>Kërkesat nr. 17829/23 dhe 7 të tjera</w:t>
      </w:r>
      <w:r w:rsidR="000F046C">
        <w:rPr>
          <w:rFonts w:ascii="Garamond" w:hAnsi="Garamond"/>
          <w:i/>
          <w:sz w:val="24"/>
          <w:szCs w:val="24"/>
        </w:rPr>
        <w:t xml:space="preserve"> </w:t>
      </w:r>
      <w:r w:rsidRPr="000F046C">
        <w:rPr>
          <w:rFonts w:ascii="Garamond" w:hAnsi="Garamond"/>
          <w:i/>
          <w:sz w:val="24"/>
          <w:szCs w:val="24"/>
        </w:rPr>
        <w:t>–</w:t>
      </w:r>
    </w:p>
    <w:p w14:paraId="1FBE1EAF" w14:textId="77777777"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i/>
          <w:sz w:val="24"/>
          <w:szCs w:val="24"/>
        </w:rPr>
        <w:t>shihni tabelën bashkëngjitur</w:t>
      </w:r>
      <w:r w:rsidRPr="000F046C">
        <w:rPr>
          <w:rFonts w:ascii="Garamond" w:hAnsi="Garamond"/>
          <w:sz w:val="24"/>
          <w:szCs w:val="24"/>
        </w:rPr>
        <w:t>)</w:t>
      </w:r>
    </w:p>
    <w:p w14:paraId="1FD98CBB" w14:textId="77777777" w:rsidR="00E5366F" w:rsidRPr="000F046C" w:rsidRDefault="00E5366F" w:rsidP="00E830C7">
      <w:pPr>
        <w:spacing w:after="0" w:line="240" w:lineRule="auto"/>
        <w:ind w:firstLine="284"/>
        <w:jc w:val="center"/>
        <w:rPr>
          <w:rFonts w:ascii="Garamond" w:hAnsi="Garamond"/>
          <w:sz w:val="24"/>
          <w:szCs w:val="24"/>
        </w:rPr>
      </w:pPr>
    </w:p>
    <w:p w14:paraId="77F8B6AD" w14:textId="77777777"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sz w:val="24"/>
          <w:szCs w:val="24"/>
        </w:rPr>
        <w:t>VENDIM</w:t>
      </w:r>
    </w:p>
    <w:p w14:paraId="1B84F566" w14:textId="77777777" w:rsidR="00E5366F" w:rsidRPr="000F046C" w:rsidRDefault="00E5366F" w:rsidP="00E830C7">
      <w:pPr>
        <w:spacing w:after="0" w:line="240" w:lineRule="auto"/>
        <w:ind w:firstLine="284"/>
        <w:jc w:val="center"/>
        <w:rPr>
          <w:rFonts w:ascii="Garamond" w:hAnsi="Garamond"/>
          <w:sz w:val="24"/>
          <w:szCs w:val="24"/>
        </w:rPr>
      </w:pPr>
    </w:p>
    <w:p w14:paraId="56C708EB" w14:textId="77777777"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sz w:val="24"/>
          <w:szCs w:val="24"/>
        </w:rPr>
        <w:t>STRASBURG</w:t>
      </w:r>
    </w:p>
    <w:p w14:paraId="2CAE086C" w14:textId="77777777" w:rsidR="00E5366F" w:rsidRPr="000F046C" w:rsidRDefault="00E5366F" w:rsidP="00E830C7">
      <w:pPr>
        <w:spacing w:after="0" w:line="240" w:lineRule="auto"/>
        <w:ind w:firstLine="284"/>
        <w:jc w:val="center"/>
        <w:rPr>
          <w:rFonts w:ascii="Garamond" w:hAnsi="Garamond"/>
          <w:sz w:val="24"/>
          <w:szCs w:val="24"/>
        </w:rPr>
      </w:pPr>
      <w:r w:rsidRPr="000F046C">
        <w:rPr>
          <w:rFonts w:ascii="Garamond" w:hAnsi="Garamond"/>
          <w:sz w:val="24"/>
          <w:szCs w:val="24"/>
        </w:rPr>
        <w:t>31 mars 2026</w:t>
      </w:r>
    </w:p>
    <w:p w14:paraId="4136B1BB" w14:textId="7E26D602" w:rsidR="009E0CE1" w:rsidRPr="000F046C" w:rsidRDefault="00E5366F" w:rsidP="009E0CE1">
      <w:pPr>
        <w:spacing w:after="0" w:line="240" w:lineRule="auto"/>
        <w:ind w:firstLine="284"/>
        <w:jc w:val="center"/>
        <w:rPr>
          <w:rFonts w:ascii="Garamond" w:hAnsi="Garamond"/>
          <w:i/>
          <w:sz w:val="24"/>
          <w:szCs w:val="24"/>
        </w:rPr>
      </w:pPr>
      <w:r w:rsidRPr="000F046C">
        <w:rPr>
          <w:rFonts w:ascii="Garamond" w:hAnsi="Garamond"/>
          <w:i/>
          <w:sz w:val="24"/>
          <w:szCs w:val="24"/>
        </w:rPr>
        <w:t>Ky është vendim përfundimtar, por mund t</w:t>
      </w:r>
      <w:r w:rsidR="000F046C">
        <w:rPr>
          <w:rFonts w:ascii="Garamond" w:hAnsi="Garamond"/>
          <w:i/>
          <w:sz w:val="24"/>
          <w:szCs w:val="24"/>
        </w:rPr>
        <w:t>’</w:t>
      </w:r>
      <w:r w:rsidRPr="000F046C">
        <w:rPr>
          <w:rFonts w:ascii="Garamond" w:hAnsi="Garamond"/>
          <w:i/>
          <w:sz w:val="24"/>
          <w:szCs w:val="24"/>
        </w:rPr>
        <w:t>i nënshtrohet rishikimit redaktorial</w:t>
      </w:r>
      <w:r w:rsidR="000F046C">
        <w:rPr>
          <w:rFonts w:ascii="Garamond" w:hAnsi="Garamond"/>
          <w:i/>
          <w:sz w:val="24"/>
          <w:szCs w:val="24"/>
        </w:rPr>
        <w:t>.</w:t>
      </w:r>
    </w:p>
    <w:p w14:paraId="3F580142" w14:textId="2E35125A" w:rsidR="00E830C7" w:rsidRPr="000F046C" w:rsidRDefault="00E830C7" w:rsidP="00E830C7">
      <w:pPr>
        <w:spacing w:after="0" w:line="240" w:lineRule="auto"/>
        <w:ind w:firstLine="284"/>
        <w:jc w:val="center"/>
        <w:rPr>
          <w:rFonts w:ascii="Garamond" w:hAnsi="Garamond"/>
          <w:i/>
          <w:sz w:val="24"/>
          <w:szCs w:val="24"/>
        </w:rPr>
      </w:pPr>
    </w:p>
    <w:p w14:paraId="52C421A4"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0F046C">
        <w:rPr>
          <w:rFonts w:ascii="Garamond" w:hAnsi="Garamond" w:cs="Times New Roman"/>
          <w:b/>
          <w:bCs/>
          <w:color w:val="000000"/>
          <w:sz w:val="24"/>
          <w:szCs w:val="24"/>
        </w:rPr>
        <w:t>Në çështjen Lepuri dhe të tjerë kundër Shqipërisë,</w:t>
      </w:r>
    </w:p>
    <w:p w14:paraId="494B7ECC" w14:textId="47C3E112"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Gjykata </w:t>
      </w:r>
      <w:r w:rsidR="000F046C" w:rsidRPr="000F046C">
        <w:rPr>
          <w:rFonts w:ascii="Garamond" w:hAnsi="Garamond" w:cs="Times New Roman"/>
          <w:color w:val="000000"/>
          <w:sz w:val="24"/>
          <w:szCs w:val="24"/>
        </w:rPr>
        <w:t>Evropianë</w:t>
      </w:r>
      <w:r w:rsidRPr="000F046C">
        <w:rPr>
          <w:rFonts w:ascii="Garamond" w:hAnsi="Garamond" w:cs="Times New Roman"/>
          <w:color w:val="000000"/>
          <w:sz w:val="24"/>
          <w:szCs w:val="24"/>
        </w:rPr>
        <w:t xml:space="preserve"> e të Drejtave të Njeriut (Seksioni i Tretë), e mbledhur si Komitet i përbërë nga:</w:t>
      </w:r>
    </w:p>
    <w:p w14:paraId="704C395D" w14:textId="6C673C3E" w:rsidR="00E830C7" w:rsidRPr="000F046C" w:rsidRDefault="00E830C7" w:rsidP="00E830C7">
      <w:pPr>
        <w:keepNext/>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Úna</w:t>
      </w:r>
      <w:proofErr w:type="spellEnd"/>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Ní</w:t>
      </w:r>
      <w:proofErr w:type="spellEnd"/>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Raifeartaigh</w:t>
      </w:r>
      <w:proofErr w:type="spellEnd"/>
      <w:r w:rsidRPr="000F046C">
        <w:rPr>
          <w:rFonts w:ascii="Garamond" w:hAnsi="Garamond" w:cs="Times New Roman"/>
          <w:i/>
          <w:iCs/>
          <w:color w:val="000000"/>
          <w:sz w:val="24"/>
          <w:szCs w:val="24"/>
        </w:rPr>
        <w:t xml:space="preserve">, </w:t>
      </w:r>
      <w:r w:rsidR="000F046C" w:rsidRPr="000F046C">
        <w:rPr>
          <w:rFonts w:ascii="Garamond" w:hAnsi="Garamond" w:cs="Times New Roman"/>
          <w:i/>
          <w:iCs/>
          <w:color w:val="000000"/>
          <w:sz w:val="24"/>
          <w:szCs w:val="24"/>
        </w:rPr>
        <w:t>kryetar</w:t>
      </w:r>
      <w:r w:rsidRPr="000F046C">
        <w:rPr>
          <w:rFonts w:ascii="Garamond" w:hAnsi="Garamond" w:cs="Times New Roman"/>
          <w:color w:val="000000"/>
          <w:sz w:val="24"/>
          <w:szCs w:val="24"/>
        </w:rPr>
        <w:t>,</w:t>
      </w:r>
    </w:p>
    <w:p w14:paraId="37419C26" w14:textId="3EAA58EA" w:rsidR="00E830C7" w:rsidRPr="000F046C" w:rsidRDefault="00E830C7" w:rsidP="00E830C7">
      <w:pPr>
        <w:keepNext/>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Darian</w:t>
      </w:r>
      <w:proofErr w:type="spellEnd"/>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Pavli</w:t>
      </w:r>
      <w:proofErr w:type="spellEnd"/>
      <w:r w:rsidRPr="000F046C">
        <w:rPr>
          <w:rFonts w:ascii="Garamond" w:hAnsi="Garamond" w:cs="Times New Roman"/>
          <w:color w:val="000000"/>
          <w:sz w:val="24"/>
          <w:szCs w:val="24"/>
        </w:rPr>
        <w:t>,</w:t>
      </w:r>
    </w:p>
    <w:p w14:paraId="6B101EEA" w14:textId="342B717C" w:rsidR="00E830C7" w:rsidRPr="000F046C" w:rsidRDefault="00E830C7" w:rsidP="00E830C7">
      <w:pPr>
        <w:keepNext/>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Mateja</w:t>
      </w:r>
      <w:proofErr w:type="spellEnd"/>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Đurović</w:t>
      </w:r>
      <w:proofErr w:type="spellEnd"/>
      <w:r w:rsidRPr="000F046C">
        <w:rPr>
          <w:rFonts w:ascii="Garamond" w:hAnsi="Garamond" w:cs="Times New Roman"/>
          <w:i/>
          <w:iCs/>
          <w:color w:val="000000"/>
          <w:sz w:val="24"/>
          <w:szCs w:val="24"/>
        </w:rPr>
        <w:t>, gjyqtarë</w:t>
      </w:r>
      <w:r w:rsidRPr="000F046C">
        <w:rPr>
          <w:rFonts w:ascii="Garamond" w:hAnsi="Garamond" w:cs="Times New Roman"/>
          <w:color w:val="000000"/>
          <w:sz w:val="24"/>
          <w:szCs w:val="24"/>
        </w:rPr>
        <w:t>,</w:t>
      </w:r>
    </w:p>
    <w:p w14:paraId="647EF14A" w14:textId="0914244B" w:rsidR="00E830C7" w:rsidRPr="000F046C" w:rsidRDefault="00E830C7" w:rsidP="00E830C7">
      <w:pPr>
        <w:keepNext/>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dhe </w:t>
      </w:r>
      <w:proofErr w:type="spellStart"/>
      <w:r w:rsidRPr="000F046C">
        <w:rPr>
          <w:rFonts w:ascii="Garamond" w:hAnsi="Garamond" w:cs="Times New Roman"/>
          <w:color w:val="000000"/>
          <w:sz w:val="24"/>
          <w:szCs w:val="24"/>
        </w:rPr>
        <w:t>Olga</w:t>
      </w:r>
      <w:proofErr w:type="spellEnd"/>
      <w:r w:rsidRPr="000F046C">
        <w:rPr>
          <w:rFonts w:ascii="Garamond" w:hAnsi="Garamond" w:cs="Times New Roman"/>
          <w:color w:val="000000"/>
          <w:sz w:val="24"/>
          <w:szCs w:val="24"/>
        </w:rPr>
        <w:t xml:space="preserve"> </w:t>
      </w:r>
      <w:proofErr w:type="spellStart"/>
      <w:r w:rsidRPr="000F046C">
        <w:rPr>
          <w:rFonts w:ascii="Garamond" w:hAnsi="Garamond" w:cs="Times New Roman"/>
          <w:color w:val="000000"/>
          <w:sz w:val="24"/>
          <w:szCs w:val="24"/>
        </w:rPr>
        <w:t>Chernishova</w:t>
      </w:r>
      <w:proofErr w:type="spellEnd"/>
      <w:r w:rsidRPr="000F046C">
        <w:rPr>
          <w:rFonts w:ascii="Garamond" w:hAnsi="Garamond" w:cs="Times New Roman"/>
          <w:color w:val="000000"/>
          <w:sz w:val="24"/>
          <w:szCs w:val="24"/>
        </w:rPr>
        <w:t xml:space="preserve">, </w:t>
      </w:r>
      <w:proofErr w:type="spellStart"/>
      <w:r w:rsidR="000F046C" w:rsidRPr="000F046C">
        <w:rPr>
          <w:rFonts w:ascii="Garamond" w:hAnsi="Garamond" w:cs="Times New Roman"/>
          <w:i/>
          <w:iCs/>
          <w:color w:val="000000"/>
          <w:sz w:val="24"/>
          <w:szCs w:val="24"/>
        </w:rPr>
        <w:t>zëvendës</w:t>
      </w:r>
      <w:r w:rsidR="000F046C">
        <w:rPr>
          <w:rFonts w:ascii="Garamond" w:hAnsi="Garamond" w:cs="Times New Roman"/>
          <w:i/>
          <w:iCs/>
          <w:color w:val="000000"/>
          <w:sz w:val="24"/>
          <w:szCs w:val="24"/>
        </w:rPr>
        <w:t>k</w:t>
      </w:r>
      <w:r w:rsidRPr="000F046C">
        <w:rPr>
          <w:rFonts w:ascii="Garamond" w:hAnsi="Garamond" w:cs="Times New Roman"/>
          <w:i/>
          <w:iCs/>
          <w:color w:val="000000"/>
          <w:sz w:val="24"/>
          <w:szCs w:val="24"/>
        </w:rPr>
        <w:t>ancelar</w:t>
      </w:r>
      <w:proofErr w:type="spellEnd"/>
      <w:r w:rsidRPr="000F046C">
        <w:rPr>
          <w:rFonts w:ascii="Garamond" w:hAnsi="Garamond" w:cs="Times New Roman"/>
          <w:i/>
          <w:iCs/>
          <w:color w:val="000000"/>
          <w:sz w:val="24"/>
          <w:szCs w:val="24"/>
        </w:rPr>
        <w:t xml:space="preserve"> i Seksionit,</w:t>
      </w:r>
    </w:p>
    <w:p w14:paraId="74FB8E81"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Duke pasur parasysh:</w:t>
      </w:r>
    </w:p>
    <w:p w14:paraId="7196D6E8"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kërkesat kundër Republikës së Shqipërisë të depozituara në Gjykatë sipas nenit 34 të Konventës për Mbrojtjen e të Drejtave dhe Lirive Themelore të Njeriut (“Konventa”) nga kërkuesit e listuar në tabelën bashkëlidhur (“kërkuesit”), në datat e ndryshme që tregohen në të;</w:t>
      </w:r>
    </w:p>
    <w:p w14:paraId="42BF7FC9"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vendimin për të njoftuar për kërkesat Qeverinë e Shqipërisë (“Qeveria”) të përfaqësuar nga Agjenti z. O. </w:t>
      </w:r>
      <w:proofErr w:type="spellStart"/>
      <w:r w:rsidRPr="000F046C">
        <w:rPr>
          <w:rFonts w:ascii="Garamond" w:hAnsi="Garamond" w:cs="Times New Roman"/>
          <w:color w:val="000000"/>
          <w:sz w:val="24"/>
          <w:szCs w:val="24"/>
        </w:rPr>
        <w:t>Moçka</w:t>
      </w:r>
      <w:proofErr w:type="spellEnd"/>
      <w:r w:rsidRPr="000F046C">
        <w:rPr>
          <w:rFonts w:ascii="Garamond" w:hAnsi="Garamond" w:cs="Times New Roman"/>
          <w:color w:val="000000"/>
          <w:sz w:val="24"/>
          <w:szCs w:val="24"/>
        </w:rPr>
        <w:t>, Avokat i Përgjithshëm i Shtetit;</w:t>
      </w:r>
    </w:p>
    <w:p w14:paraId="47962573"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parashtrimet e palëve;</w:t>
      </w:r>
    </w:p>
    <w:p w14:paraId="6627880A"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Pas diskutimit me dyer të mbyllura më 10 dhjetor 2026,</w:t>
      </w:r>
    </w:p>
    <w:p w14:paraId="159ACA9E"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mori vendimin e mëposhtëm, i cili u miratua po në këtë datë:</w:t>
      </w:r>
    </w:p>
    <w:p w14:paraId="6E5BC0D9" w14:textId="77777777"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aps/>
          <w:color w:val="000000"/>
          <w:sz w:val="24"/>
          <w:szCs w:val="24"/>
        </w:rPr>
        <w:t>OBJEKTI I ÇËSHTJES</w:t>
      </w:r>
    </w:p>
    <w:p w14:paraId="5102408A" w14:textId="242A8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1. Çështjet në fjalë kanë të bëjnë me disa procese në gjykatat e brendshme</w:t>
      </w:r>
      <w:r w:rsidR="00C14AAC">
        <w:rPr>
          <w:rFonts w:ascii="Garamond" w:hAnsi="Garamond" w:cs="Times New Roman"/>
          <w:color w:val="000000"/>
          <w:sz w:val="24"/>
          <w:szCs w:val="24"/>
        </w:rPr>
        <w:t>,</w:t>
      </w:r>
      <w:r w:rsidRPr="000F046C">
        <w:rPr>
          <w:rFonts w:ascii="Garamond" w:hAnsi="Garamond" w:cs="Times New Roman"/>
          <w:color w:val="000000"/>
          <w:sz w:val="24"/>
          <w:szCs w:val="24"/>
        </w:rPr>
        <w:t xml:space="preserve"> ku kërkuesit kanë depozituar ankimet e tyre kushtetuese kundër vendimeve të Gjykatës së Lartë të marra në çështjet e tyre përkatëse. Në të gjitha çështjet, Gjykata Kushtetuese ka marrë vendim </w:t>
      </w:r>
      <w:proofErr w:type="spellStart"/>
      <w:r w:rsidRPr="000F046C">
        <w:rPr>
          <w:rFonts w:ascii="Garamond" w:hAnsi="Garamond" w:cs="Times New Roman"/>
          <w:color w:val="000000"/>
          <w:sz w:val="24"/>
          <w:szCs w:val="24"/>
        </w:rPr>
        <w:t>moskalimi</w:t>
      </w:r>
      <w:proofErr w:type="spellEnd"/>
      <w:r w:rsidRPr="000F046C">
        <w:rPr>
          <w:rFonts w:ascii="Garamond" w:hAnsi="Garamond" w:cs="Times New Roman"/>
          <w:color w:val="000000"/>
          <w:sz w:val="24"/>
          <w:szCs w:val="24"/>
        </w:rPr>
        <w:t xml:space="preserve"> në seancë për ankimet kushtetuese të kërkuesve</w:t>
      </w:r>
      <w:r w:rsidR="00C14AAC">
        <w:rPr>
          <w:rFonts w:ascii="Garamond" w:hAnsi="Garamond" w:cs="Times New Roman"/>
          <w:color w:val="000000"/>
          <w:sz w:val="24"/>
          <w:szCs w:val="24"/>
        </w:rPr>
        <w:t>,</w:t>
      </w:r>
      <w:r w:rsidRPr="000F046C">
        <w:rPr>
          <w:rFonts w:ascii="Garamond" w:hAnsi="Garamond" w:cs="Times New Roman"/>
          <w:color w:val="000000"/>
          <w:sz w:val="24"/>
          <w:szCs w:val="24"/>
        </w:rPr>
        <w:t xml:space="preserve"> për shkak se janë depozituar jashtë afatit kohor </w:t>
      </w:r>
      <w:proofErr w:type="spellStart"/>
      <w:r w:rsidRPr="000F046C">
        <w:rPr>
          <w:rFonts w:ascii="Garamond" w:hAnsi="Garamond" w:cs="Times New Roman"/>
          <w:color w:val="000000"/>
          <w:sz w:val="24"/>
          <w:szCs w:val="24"/>
        </w:rPr>
        <w:t>katërmujor</w:t>
      </w:r>
      <w:proofErr w:type="spellEnd"/>
      <w:r w:rsidRPr="000F046C">
        <w:rPr>
          <w:rFonts w:ascii="Garamond" w:hAnsi="Garamond" w:cs="Times New Roman"/>
          <w:color w:val="000000"/>
          <w:sz w:val="24"/>
          <w:szCs w:val="24"/>
        </w:rPr>
        <w:t>, duke e llogaritur afatin nga data e marrjes së vendimit të kundërshtuar të Gjykatës së Lartë dhe jo nga data e marrjes dijeni nga kërkuesit në mënyrë efektive.</w:t>
      </w:r>
    </w:p>
    <w:p w14:paraId="5E72C3C6"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 Në kërkesat nr. 17829/23, 19482/23, 19983/23, Gjykata Kushtetuese u shpreh që kur një palë kërkonte të merrte një kopje të vendimit, gjykata që kishte marrë vendimin në fjalë, e vuloste dhe që kjo vulë nuk mund të shërbente si provë vendimtare e datës së marrjes dijeni për herë të parë të palës me vendimin e kundërshtuar. Gjykata Kushtetuese vlerësoi që i takonte palës të provonte se vendimi i kundërshtuar nuk i ishte dorëzuar në një datë të mëparshme.</w:t>
      </w:r>
    </w:p>
    <w:p w14:paraId="73CD745E" w14:textId="574074F1"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 Në kërkesat nr. 19983/23, 26353/23, 38576/23, 4427/24, 6470/24, dhe 26336/24, Gjykata Kushtetuese</w:t>
      </w:r>
      <w:r w:rsidR="00C14AAC">
        <w:rPr>
          <w:rFonts w:ascii="Garamond" w:hAnsi="Garamond" w:cs="Calibri"/>
          <w:color w:val="000000"/>
          <w:sz w:val="24"/>
          <w:szCs w:val="24"/>
        </w:rPr>
        <w:t>,</w:t>
      </w:r>
      <w:r w:rsidRPr="000F046C">
        <w:rPr>
          <w:rFonts w:ascii="Garamond" w:hAnsi="Garamond" w:cs="Calibri"/>
          <w:color w:val="000000"/>
          <w:sz w:val="24"/>
          <w:szCs w:val="24"/>
        </w:rPr>
        <w:t xml:space="preserve"> gjithashtu</w:t>
      </w:r>
      <w:r w:rsidR="00C14AAC">
        <w:rPr>
          <w:rFonts w:ascii="Garamond" w:hAnsi="Garamond" w:cs="Calibri"/>
          <w:color w:val="000000"/>
          <w:sz w:val="24"/>
          <w:szCs w:val="24"/>
        </w:rPr>
        <w:t>,</w:t>
      </w:r>
      <w:r w:rsidRPr="000F046C">
        <w:rPr>
          <w:rFonts w:ascii="Garamond" w:hAnsi="Garamond" w:cs="Calibri"/>
          <w:color w:val="000000"/>
          <w:sz w:val="24"/>
          <w:szCs w:val="24"/>
        </w:rPr>
        <w:t xml:space="preserve"> u shpreh që avokatët e kërkuesve nuk i kishin dhënë Gjykatës së Lartë adresat e postës së tyre elektronike</w:t>
      </w:r>
      <w:r w:rsidR="00C14AAC">
        <w:rPr>
          <w:rFonts w:ascii="Garamond" w:hAnsi="Garamond" w:cs="Calibri"/>
          <w:color w:val="000000"/>
          <w:sz w:val="24"/>
          <w:szCs w:val="24"/>
        </w:rPr>
        <w:t>,</w:t>
      </w:r>
      <w:r w:rsidRPr="000F046C">
        <w:rPr>
          <w:rFonts w:ascii="Garamond" w:hAnsi="Garamond" w:cs="Calibri"/>
          <w:color w:val="000000"/>
          <w:sz w:val="24"/>
          <w:szCs w:val="24"/>
        </w:rPr>
        <w:t xml:space="preserve"> për qëllim të njoftimit të tyre mbi vendimet e asaj gjykate.</w:t>
      </w:r>
    </w:p>
    <w:p w14:paraId="2BF63A81"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4. Më 23 mars 2021, u prezantua ligji nr. 44/2021, që ndryshoi Kodin e Procedurës Civile, i cili parashikonte njoftimin e vendimeve të Gjykatës së Lartë me anë të postës elektronike. Ky ligj hyri në fuqi më 29 maj 2021.</w:t>
      </w:r>
    </w:p>
    <w:p w14:paraId="202F2030" w14:textId="1FC2BDEF"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aps/>
          <w:color w:val="000000"/>
          <w:sz w:val="24"/>
          <w:szCs w:val="24"/>
        </w:rPr>
        <w:t xml:space="preserve">I. Lepuri, </w:t>
      </w:r>
      <w:r w:rsidR="00C14AAC" w:rsidRPr="000F046C">
        <w:rPr>
          <w:rFonts w:ascii="Garamond" w:hAnsi="Garamond" w:cs="Times New Roman"/>
          <w:color w:val="000000"/>
          <w:sz w:val="24"/>
          <w:szCs w:val="24"/>
        </w:rPr>
        <w:t>nr</w:t>
      </w:r>
      <w:r w:rsidRPr="000F046C">
        <w:rPr>
          <w:rFonts w:ascii="Garamond" w:hAnsi="Garamond" w:cs="Times New Roman"/>
          <w:caps/>
          <w:color w:val="000000"/>
          <w:sz w:val="24"/>
          <w:szCs w:val="24"/>
        </w:rPr>
        <w:t>. 17829/23</w:t>
      </w:r>
    </w:p>
    <w:p w14:paraId="4AF28331" w14:textId="75707F71"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5. Çështja ka të bëjë me proceset penale kundër kërkuesit</w:t>
      </w:r>
      <w:r w:rsidR="00C14AAC">
        <w:rPr>
          <w:rFonts w:ascii="Garamond" w:hAnsi="Garamond" w:cs="Times New Roman"/>
          <w:color w:val="000000"/>
          <w:sz w:val="24"/>
          <w:szCs w:val="24"/>
        </w:rPr>
        <w:t>,</w:t>
      </w:r>
      <w:r w:rsidRPr="000F046C">
        <w:rPr>
          <w:rFonts w:ascii="Garamond" w:hAnsi="Garamond" w:cs="Times New Roman"/>
          <w:color w:val="000000"/>
          <w:sz w:val="24"/>
          <w:szCs w:val="24"/>
        </w:rPr>
        <w:t xml:space="preserve"> ku ai u dënua me njëzet vjet burg për vrasje të mbetur në tentativë dhe armëmbajtje pa leje. Në këto procese, kërkuesi depozitoi rekurs në Gjykatën e Lartë më 18 maj 2026 dhe kjo e fundit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e rrëzoi më 21 prill </w:t>
      </w:r>
      <w:r w:rsidRPr="000F046C">
        <w:rPr>
          <w:rFonts w:ascii="Garamond" w:hAnsi="Garamond" w:cs="Times New Roman"/>
          <w:color w:val="000000"/>
          <w:sz w:val="24"/>
          <w:szCs w:val="24"/>
        </w:rPr>
        <w:lastRenderedPageBreak/>
        <w:t xml:space="preserve">2022. Kërkuesi mori vendimin e Gjykatës së Lartë më 27 shtator 2022, pas kërkesës së avokatit të tij drejtuar sekretarisë së Gjykatës së Lartë. Kërkuesi depozitoi ankim kushtetues më 11 nëntor 2022 dhe parashtrime shtesë më 2 dhjetor 2022. Më 3 shkurt 2023, Gjykata Kushtetuese mori vendim </w:t>
      </w:r>
      <w:proofErr w:type="spellStart"/>
      <w:r w:rsidRPr="000F046C">
        <w:rPr>
          <w:rFonts w:ascii="Garamond" w:hAnsi="Garamond" w:cs="Times New Roman"/>
          <w:color w:val="000000"/>
          <w:sz w:val="24"/>
          <w:szCs w:val="24"/>
        </w:rPr>
        <w:t>moskalimi</w:t>
      </w:r>
      <w:proofErr w:type="spellEnd"/>
      <w:r w:rsidRPr="000F046C">
        <w:rPr>
          <w:rFonts w:ascii="Garamond" w:hAnsi="Garamond" w:cs="Times New Roman"/>
          <w:color w:val="000000"/>
          <w:sz w:val="24"/>
          <w:szCs w:val="24"/>
        </w:rPr>
        <w:t xml:space="preserve"> në seancë gjyqësore</w:t>
      </w:r>
      <w:r w:rsidR="00C14AAC">
        <w:rPr>
          <w:rFonts w:ascii="Garamond" w:hAnsi="Garamond" w:cs="Times New Roman"/>
          <w:color w:val="000000"/>
          <w:sz w:val="24"/>
          <w:szCs w:val="24"/>
        </w:rPr>
        <w:t>,</w:t>
      </w:r>
      <w:r w:rsidRPr="000F046C">
        <w:rPr>
          <w:rFonts w:ascii="Garamond" w:hAnsi="Garamond" w:cs="Times New Roman"/>
          <w:color w:val="000000"/>
          <w:sz w:val="24"/>
          <w:szCs w:val="24"/>
        </w:rPr>
        <w:t xml:space="preserve"> për shkak të kalimit të afatit </w:t>
      </w:r>
      <w:proofErr w:type="spellStart"/>
      <w:r w:rsidRPr="000F046C">
        <w:rPr>
          <w:rFonts w:ascii="Garamond" w:hAnsi="Garamond" w:cs="Times New Roman"/>
          <w:color w:val="000000"/>
          <w:sz w:val="24"/>
          <w:szCs w:val="24"/>
        </w:rPr>
        <w:t>katërmujor</w:t>
      </w:r>
      <w:proofErr w:type="spellEnd"/>
      <w:r w:rsidRPr="000F046C">
        <w:rPr>
          <w:rFonts w:ascii="Garamond" w:hAnsi="Garamond" w:cs="Times New Roman"/>
          <w:color w:val="000000"/>
          <w:sz w:val="24"/>
          <w:szCs w:val="24"/>
        </w:rPr>
        <w:t>, duke e llogaritur nga data e marrjes së vendimit të kundërshtuar të Gjykatës së Lartë.</w:t>
      </w:r>
    </w:p>
    <w:p w14:paraId="549FB9A7" w14:textId="6152218A"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 xml:space="preserve">II. BRAHO, </w:t>
      </w:r>
      <w:r w:rsidR="004402C3" w:rsidRPr="000F046C">
        <w:rPr>
          <w:rFonts w:ascii="Garamond" w:hAnsi="Garamond" w:cs="Times New Roman"/>
          <w:color w:val="000000"/>
          <w:sz w:val="24"/>
          <w:szCs w:val="24"/>
        </w:rPr>
        <w:t>nr</w:t>
      </w:r>
      <w:r w:rsidRPr="000F046C">
        <w:rPr>
          <w:rFonts w:ascii="Garamond" w:hAnsi="Garamond" w:cs="Times New Roman"/>
          <w:caps/>
          <w:color w:val="000000"/>
          <w:sz w:val="24"/>
          <w:szCs w:val="24"/>
        </w:rPr>
        <w:t>. 19482/23</w:t>
      </w:r>
    </w:p>
    <w:p w14:paraId="0EA2271E" w14:textId="49C9EAD3"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6. Çështja ka të bëjë me një mosmarrëveshje punësimi ku gjykata e shkallës së parë dhe të dytë kanë vendosur në favor të kërkuesit. Më 4 janar 2017, pala kundërshtare depozitoi rekurs në Gjykatën e Lartë, e cila më 17 mars 2022,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shfuqizoi vendimet e gjykatave më të ulëta. Kërkuesi mori vendimin e Gjykatës së Lartë më 14 tetor 2022, pas kërkesës së avokatit të tij drejtuar sekretarisë së Gjykatës së Lartë. Kërkuesi depozitoi ankim kushtetues më 7 nëntor 2022. Më 19 dhjetor 2022, Gjykata Kushtetuese mori vendim </w:t>
      </w:r>
      <w:proofErr w:type="spellStart"/>
      <w:r w:rsidRPr="000F046C">
        <w:rPr>
          <w:rFonts w:ascii="Garamond" w:hAnsi="Garamond" w:cs="Times New Roman"/>
          <w:color w:val="000000"/>
          <w:sz w:val="24"/>
          <w:szCs w:val="24"/>
        </w:rPr>
        <w:t>moskalimi</w:t>
      </w:r>
      <w:proofErr w:type="spellEnd"/>
      <w:r w:rsidRPr="000F046C">
        <w:rPr>
          <w:rFonts w:ascii="Garamond" w:hAnsi="Garamond" w:cs="Times New Roman"/>
          <w:color w:val="000000"/>
          <w:sz w:val="24"/>
          <w:szCs w:val="24"/>
        </w:rPr>
        <w:t xml:space="preserve"> në seancë gjyqësore</w:t>
      </w:r>
      <w:r w:rsidR="00515450">
        <w:rPr>
          <w:rFonts w:ascii="Garamond" w:hAnsi="Garamond" w:cs="Times New Roman"/>
          <w:color w:val="000000"/>
          <w:sz w:val="24"/>
          <w:szCs w:val="24"/>
        </w:rPr>
        <w:t>,</w:t>
      </w:r>
      <w:r w:rsidRPr="000F046C">
        <w:rPr>
          <w:rFonts w:ascii="Garamond" w:hAnsi="Garamond" w:cs="Times New Roman"/>
          <w:color w:val="000000"/>
          <w:sz w:val="24"/>
          <w:szCs w:val="24"/>
        </w:rPr>
        <w:t xml:space="preserve"> për shkak të kalimit të afatit </w:t>
      </w:r>
      <w:proofErr w:type="spellStart"/>
      <w:r w:rsidRPr="000F046C">
        <w:rPr>
          <w:rFonts w:ascii="Garamond" w:hAnsi="Garamond" w:cs="Times New Roman"/>
          <w:color w:val="000000"/>
          <w:sz w:val="24"/>
          <w:szCs w:val="24"/>
        </w:rPr>
        <w:t>katërmujor</w:t>
      </w:r>
      <w:proofErr w:type="spellEnd"/>
      <w:r w:rsidRPr="000F046C">
        <w:rPr>
          <w:rFonts w:ascii="Garamond" w:hAnsi="Garamond" w:cs="Times New Roman"/>
          <w:color w:val="000000"/>
          <w:sz w:val="24"/>
          <w:szCs w:val="24"/>
        </w:rPr>
        <w:t>, duke e llogaritur nga data e marrjes së vendimit të kundërshtuar të Gjykatës së Lartë.</w:t>
      </w:r>
    </w:p>
    <w:p w14:paraId="7DC36F81" w14:textId="2F52E724"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III. KULE, nr</w:t>
      </w:r>
      <w:r w:rsidRPr="000F046C">
        <w:rPr>
          <w:rFonts w:ascii="Garamond" w:hAnsi="Garamond" w:cs="Times New Roman"/>
          <w:caps/>
          <w:color w:val="000000"/>
          <w:sz w:val="24"/>
          <w:szCs w:val="24"/>
        </w:rPr>
        <w:t>. 19983/23</w:t>
      </w:r>
    </w:p>
    <w:p w14:paraId="4D999E40" w14:textId="05DDA04A"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7. Çështja ka të bëjë me proceset penale kundër kërkuesit ku ai u dënua me njëzet e pesë </w:t>
      </w:r>
      <w:r w:rsidR="00BF71A3">
        <w:rPr>
          <w:rFonts w:ascii="Garamond" w:hAnsi="Garamond" w:cs="Times New Roman"/>
          <w:color w:val="000000"/>
          <w:sz w:val="24"/>
          <w:szCs w:val="24"/>
        </w:rPr>
        <w:t>vjet</w:t>
      </w:r>
      <w:r w:rsidRPr="000F046C">
        <w:rPr>
          <w:rFonts w:ascii="Garamond" w:hAnsi="Garamond" w:cs="Times New Roman"/>
          <w:color w:val="000000"/>
          <w:sz w:val="24"/>
          <w:szCs w:val="24"/>
        </w:rPr>
        <w:t xml:space="preserve"> burg për vrasje dhe armëmbajtje pa leje. Në këto procese, kërkuesi depozitoi rekurs në Gjykatën e Lartë më 25 prill 2016 dhe kjo e fundit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e rrëzoi më 22 prill 2022. Kërkuesi e mori vendimin e Gjykatës së Lartë më 31 gusht 2022, pas kërkesës së avokatit të tij drejtuar sekretarisë së Gjykatës së Lartë. Kërkuesi depozitoi ankim kushtetues më 21 nëntor 2022. Më 17 janar 2023, Gjykata Kushtetuese mori vendim </w:t>
      </w:r>
      <w:proofErr w:type="spellStart"/>
      <w:r w:rsidRPr="000F046C">
        <w:rPr>
          <w:rFonts w:ascii="Garamond" w:hAnsi="Garamond" w:cs="Times New Roman"/>
          <w:color w:val="000000"/>
          <w:sz w:val="24"/>
          <w:szCs w:val="24"/>
        </w:rPr>
        <w:t>moskalimi</w:t>
      </w:r>
      <w:proofErr w:type="spellEnd"/>
      <w:r w:rsidRPr="000F046C">
        <w:rPr>
          <w:rFonts w:ascii="Garamond" w:hAnsi="Garamond" w:cs="Times New Roman"/>
          <w:color w:val="000000"/>
          <w:sz w:val="24"/>
          <w:szCs w:val="24"/>
        </w:rPr>
        <w:t xml:space="preserve"> në seancë gjyqësore</w:t>
      </w:r>
      <w:r w:rsidR="003173AE">
        <w:rPr>
          <w:rFonts w:ascii="Garamond" w:hAnsi="Garamond" w:cs="Times New Roman"/>
          <w:color w:val="000000"/>
          <w:sz w:val="24"/>
          <w:szCs w:val="24"/>
        </w:rPr>
        <w:t>,</w:t>
      </w:r>
      <w:r w:rsidRPr="000F046C">
        <w:rPr>
          <w:rFonts w:ascii="Garamond" w:hAnsi="Garamond" w:cs="Times New Roman"/>
          <w:color w:val="000000"/>
          <w:sz w:val="24"/>
          <w:szCs w:val="24"/>
        </w:rPr>
        <w:t xml:space="preserve"> për shkak të kalimit të afatit </w:t>
      </w:r>
      <w:proofErr w:type="spellStart"/>
      <w:r w:rsidRPr="000F046C">
        <w:rPr>
          <w:rFonts w:ascii="Garamond" w:hAnsi="Garamond" w:cs="Times New Roman"/>
          <w:color w:val="000000"/>
          <w:sz w:val="24"/>
          <w:szCs w:val="24"/>
        </w:rPr>
        <w:t>katërmujor</w:t>
      </w:r>
      <w:proofErr w:type="spellEnd"/>
      <w:r w:rsidRPr="000F046C">
        <w:rPr>
          <w:rFonts w:ascii="Garamond" w:hAnsi="Garamond" w:cs="Times New Roman"/>
          <w:color w:val="000000"/>
          <w:sz w:val="24"/>
          <w:szCs w:val="24"/>
        </w:rPr>
        <w:t>, duke e llogaritur nga data e marrjes së vendimit të kundërshtuar të Gjykatës së Lartë.</w:t>
      </w:r>
    </w:p>
    <w:p w14:paraId="1958D6CB" w14:textId="5A00610D"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IV. MALLTEZI, nr</w:t>
      </w:r>
      <w:r w:rsidRPr="000F046C">
        <w:rPr>
          <w:rFonts w:ascii="Garamond" w:hAnsi="Garamond" w:cs="Times New Roman"/>
          <w:caps/>
          <w:color w:val="000000"/>
          <w:sz w:val="24"/>
          <w:szCs w:val="24"/>
        </w:rPr>
        <w:t>. 26353/23</w:t>
      </w:r>
    </w:p>
    <w:p w14:paraId="0034DF8D"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8. Çështja ka të bëjë me një mosmarrëveshje civile ndërmjet palëve private ku kërkuesi kërkoi shpërblim për shpifje. Në këto procese, kërkuesi depozitoi rekurs në Gjykatën e Lartë më 19 dhjetor 2014. Avokati i kërkuesit i dha Gjykatës së Lartë adresën e tij të postës elektronike. Më 8 qershor 2022, Gjykata e Lartë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e rrëzoi rekursin e kërkuesit, dhe në të njëjtën datë e publikoi </w:t>
      </w:r>
      <w:proofErr w:type="spellStart"/>
      <w:r w:rsidRPr="000F046C">
        <w:rPr>
          <w:rFonts w:ascii="Garamond" w:hAnsi="Garamond" w:cs="Times New Roman"/>
          <w:color w:val="000000"/>
          <w:sz w:val="24"/>
          <w:szCs w:val="24"/>
        </w:rPr>
        <w:t>dispozitivin</w:t>
      </w:r>
      <w:proofErr w:type="spellEnd"/>
      <w:r w:rsidRPr="000F046C">
        <w:rPr>
          <w:rFonts w:ascii="Garamond" w:hAnsi="Garamond" w:cs="Times New Roman"/>
          <w:color w:val="000000"/>
          <w:sz w:val="24"/>
          <w:szCs w:val="24"/>
        </w:rPr>
        <w:t xml:space="preserve"> e vendimit në faqen e saj të internetit. Vendimi i arsyetuar u depozitua në sekretarinë e Gjykatës së Lartë (dhe u vu në dispozicion të palëve) më 12 korrik 2022. Kërkuesi e mori vendimin më 14 shtator 2022, pas kërkesës së avokatit të tij drejtuar sekretarisë së Gjykatës së Lartë.</w:t>
      </w:r>
    </w:p>
    <w:p w14:paraId="0770C160" w14:textId="76286B3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9. Më 19 dhjetor, kërkuesi depozitoi ankim kushtetues dhe më 22 shkurt 2023 Gjykata Kushtetuese mori vendim </w:t>
      </w:r>
      <w:proofErr w:type="spellStart"/>
      <w:r w:rsidRPr="000F046C">
        <w:rPr>
          <w:rFonts w:ascii="Garamond" w:hAnsi="Garamond" w:cs="Calibri"/>
          <w:color w:val="000000"/>
          <w:sz w:val="24"/>
          <w:szCs w:val="24"/>
        </w:rPr>
        <w:t>moskalimi</w:t>
      </w:r>
      <w:proofErr w:type="spellEnd"/>
      <w:r w:rsidRPr="000F046C">
        <w:rPr>
          <w:rFonts w:ascii="Garamond" w:hAnsi="Garamond" w:cs="Calibri"/>
          <w:color w:val="000000"/>
          <w:sz w:val="24"/>
          <w:szCs w:val="24"/>
        </w:rPr>
        <w:t xml:space="preserve"> në seancë gjyqësore</w:t>
      </w:r>
      <w:r w:rsidR="001506BB">
        <w:rPr>
          <w:rFonts w:ascii="Garamond" w:hAnsi="Garamond" w:cs="Calibri"/>
          <w:color w:val="000000"/>
          <w:sz w:val="24"/>
          <w:szCs w:val="24"/>
        </w:rPr>
        <w:t>,</w:t>
      </w:r>
      <w:r w:rsidRPr="000F046C">
        <w:rPr>
          <w:rFonts w:ascii="Garamond" w:hAnsi="Garamond" w:cs="Calibri"/>
          <w:color w:val="000000"/>
          <w:sz w:val="24"/>
          <w:szCs w:val="24"/>
        </w:rPr>
        <w:t xml:space="preserve"> për shkak se ishte me depozituar jashtë afatit kohor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duke e llogaritur afatin nga 12 korriku 2022.</w:t>
      </w:r>
    </w:p>
    <w:p w14:paraId="0BB7263E" w14:textId="772E9761"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V. GURALUMI, nr</w:t>
      </w:r>
      <w:r w:rsidRPr="000F046C">
        <w:rPr>
          <w:rFonts w:ascii="Garamond" w:hAnsi="Garamond" w:cs="Times New Roman"/>
          <w:caps/>
          <w:color w:val="000000"/>
          <w:sz w:val="24"/>
          <w:szCs w:val="24"/>
        </w:rPr>
        <w:t>. 38576/23</w:t>
      </w:r>
    </w:p>
    <w:p w14:paraId="0C42DA61"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10. Çështja ka të bëjë me një konflikt pronësie. Kërkuesja depozitoi rekurs në Gjykatën e Lartë më 16 nëntor 2015. Më 8 shtator 2022, Gjykata e Lartë mori vendimin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Më 25 janar 2023, kërkuesja i dërgoi shkresë Gjykatës së Lartë me anë të së cilës kërkonte informacion për ecurinë e çështjes së saj. Gjykata e Lartë u përgjigj me shkresë më 31 janar 2023 dhe i bashkëngjiti shkresës edhe vendimin e saj. Kërkuesja pretendoi se e kishte marrë shkresën më 2 shkurt 2023.</w:t>
      </w:r>
    </w:p>
    <w:p w14:paraId="7BC078DB" w14:textId="16B3363B"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11. Më 24 prill 2023, kërkuesja depozitoi ankim kushtetues dhe më 8 qershor 2023 Gjykata Kushtetuese mori vendim </w:t>
      </w:r>
      <w:proofErr w:type="spellStart"/>
      <w:r w:rsidRPr="000F046C">
        <w:rPr>
          <w:rFonts w:ascii="Garamond" w:hAnsi="Garamond" w:cs="Calibri"/>
          <w:color w:val="000000"/>
          <w:sz w:val="24"/>
          <w:szCs w:val="24"/>
        </w:rPr>
        <w:t>moskalimi</w:t>
      </w:r>
      <w:proofErr w:type="spellEnd"/>
      <w:r w:rsidRPr="000F046C">
        <w:rPr>
          <w:rFonts w:ascii="Garamond" w:hAnsi="Garamond" w:cs="Calibri"/>
          <w:color w:val="000000"/>
          <w:sz w:val="24"/>
          <w:szCs w:val="24"/>
        </w:rPr>
        <w:t xml:space="preserve"> në seancë gjyqësore</w:t>
      </w:r>
      <w:r w:rsidR="00B13039">
        <w:rPr>
          <w:rFonts w:ascii="Garamond" w:hAnsi="Garamond" w:cs="Calibri"/>
          <w:color w:val="000000"/>
          <w:sz w:val="24"/>
          <w:szCs w:val="24"/>
        </w:rPr>
        <w:t>,</w:t>
      </w:r>
      <w:r w:rsidRPr="000F046C">
        <w:rPr>
          <w:rFonts w:ascii="Garamond" w:hAnsi="Garamond" w:cs="Calibri"/>
          <w:color w:val="000000"/>
          <w:sz w:val="24"/>
          <w:szCs w:val="24"/>
        </w:rPr>
        <w:t xml:space="preserve"> për shkak se ishte depozituar jashtë afatit kohor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duke e llogaritur afatin nga data e marrjes së vendimit të Gjykatës së Lartë.</w:t>
      </w:r>
    </w:p>
    <w:p w14:paraId="21E956A6" w14:textId="2D3EEC51"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VI. ÇELA, nr</w:t>
      </w:r>
      <w:r w:rsidRPr="000F046C">
        <w:rPr>
          <w:rFonts w:ascii="Garamond" w:hAnsi="Garamond" w:cs="Times New Roman"/>
          <w:caps/>
          <w:color w:val="000000"/>
          <w:sz w:val="24"/>
          <w:szCs w:val="24"/>
        </w:rPr>
        <w:t>. 4427/24</w:t>
      </w:r>
    </w:p>
    <w:p w14:paraId="0FADD4A2" w14:textId="743429F5"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12. Çështja ka të bëjë me procese penale kundër kërkueses ku ajo dënohet me tre vjet dhe katër muaj burg për mashtrim dhe shpërdorim detyre. Në këto procese, kërkuesja depozitoi rekurs në Gjykatën e Lartë më 22 korrik 2016. Avokati i kërkueses i dha Gjykatës së Lartë adresën e tij të postës elektronike. Gjykata e Lartë, e mbledhur </w:t>
      </w:r>
      <w:r w:rsidRPr="000F046C">
        <w:rPr>
          <w:rFonts w:ascii="Garamond" w:hAnsi="Garamond" w:cs="Times New Roman"/>
          <w:i/>
          <w:iCs/>
          <w:color w:val="000000"/>
          <w:sz w:val="24"/>
          <w:szCs w:val="24"/>
        </w:rPr>
        <w:t>in kamera,</w:t>
      </w:r>
      <w:r w:rsidRPr="000F046C">
        <w:rPr>
          <w:rFonts w:ascii="Garamond" w:hAnsi="Garamond" w:cs="Times New Roman"/>
          <w:color w:val="000000"/>
          <w:sz w:val="24"/>
          <w:szCs w:val="24"/>
        </w:rPr>
        <w:t xml:space="preserve"> mori vendimin më 24 shkurt 2022 dhe e publikoi vendimin e arsyetuar në faqen e saj të internetit më 16 prill 2022.</w:t>
      </w:r>
      <w:r w:rsidRPr="000F046C">
        <w:rPr>
          <w:rFonts w:ascii="Garamond" w:hAnsi="Garamond" w:cs="Arial"/>
          <w:color w:val="000000"/>
          <w:sz w:val="24"/>
          <w:szCs w:val="24"/>
        </w:rPr>
        <w:t xml:space="preserve"> </w:t>
      </w:r>
      <w:r w:rsidRPr="000F046C">
        <w:rPr>
          <w:rFonts w:ascii="Garamond" w:hAnsi="Garamond" w:cs="Times New Roman"/>
          <w:color w:val="000000"/>
          <w:sz w:val="24"/>
          <w:szCs w:val="24"/>
        </w:rPr>
        <w:t xml:space="preserve">Kërkuesja e mori </w:t>
      </w:r>
      <w:r w:rsidRPr="000F046C">
        <w:rPr>
          <w:rFonts w:ascii="Garamond" w:hAnsi="Garamond" w:cs="Times New Roman"/>
          <w:color w:val="000000"/>
          <w:sz w:val="24"/>
          <w:szCs w:val="24"/>
        </w:rPr>
        <w:lastRenderedPageBreak/>
        <w:t>vendimin më 6 shtator 2023, pas kërkesës së asaj drejtuar sekretarisë së Gjykatës së Lartë</w:t>
      </w:r>
      <w:r w:rsidR="00B13039">
        <w:rPr>
          <w:rFonts w:ascii="Garamond" w:hAnsi="Garamond" w:cs="Times New Roman"/>
          <w:color w:val="000000"/>
          <w:sz w:val="24"/>
          <w:szCs w:val="24"/>
        </w:rPr>
        <w:t>,</w:t>
      </w:r>
      <w:r w:rsidRPr="000F046C">
        <w:rPr>
          <w:rFonts w:ascii="Garamond" w:hAnsi="Garamond" w:cs="Times New Roman"/>
          <w:color w:val="000000"/>
          <w:sz w:val="24"/>
          <w:szCs w:val="24"/>
        </w:rPr>
        <w:t xml:space="preserve"> në lidhje me çështjen e saj.</w:t>
      </w:r>
    </w:p>
    <w:p w14:paraId="1AC2F26B" w14:textId="2FAD7B49"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13. Kërkuesja depozitoi një ankim kushtetues më 21 shtator 2023 dhe Gjykata Kushtetuese mori vendim </w:t>
      </w:r>
      <w:proofErr w:type="spellStart"/>
      <w:r w:rsidRPr="000F046C">
        <w:rPr>
          <w:rFonts w:ascii="Garamond" w:hAnsi="Garamond" w:cs="Calibri"/>
          <w:color w:val="000000"/>
          <w:sz w:val="24"/>
          <w:szCs w:val="24"/>
        </w:rPr>
        <w:t>moskalimi</w:t>
      </w:r>
      <w:proofErr w:type="spellEnd"/>
      <w:r w:rsidRPr="000F046C">
        <w:rPr>
          <w:rFonts w:ascii="Garamond" w:hAnsi="Garamond" w:cs="Calibri"/>
          <w:color w:val="000000"/>
          <w:sz w:val="24"/>
          <w:szCs w:val="24"/>
        </w:rPr>
        <w:t xml:space="preserve"> në seancë gjyqësore më 23 nëntor 2023</w:t>
      </w:r>
      <w:r w:rsidR="00B13039">
        <w:rPr>
          <w:rFonts w:ascii="Garamond" w:hAnsi="Garamond" w:cs="Calibri"/>
          <w:color w:val="000000"/>
          <w:sz w:val="24"/>
          <w:szCs w:val="24"/>
        </w:rPr>
        <w:t>,</w:t>
      </w:r>
      <w:r w:rsidRPr="000F046C">
        <w:rPr>
          <w:rFonts w:ascii="Garamond" w:hAnsi="Garamond" w:cs="Calibri"/>
          <w:color w:val="000000"/>
          <w:sz w:val="24"/>
          <w:szCs w:val="24"/>
        </w:rPr>
        <w:t xml:space="preserve"> për shkak se ishte depozituar jashtë afatit kohor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duke e llogaritur afatin nga 16 prilli 2022.</w:t>
      </w:r>
    </w:p>
    <w:p w14:paraId="43DAA2C0" w14:textId="3764D6FD"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VII. BALLA, nr</w:t>
      </w:r>
      <w:r w:rsidRPr="000F046C">
        <w:rPr>
          <w:rFonts w:ascii="Garamond" w:hAnsi="Garamond" w:cs="Times New Roman"/>
          <w:caps/>
          <w:color w:val="000000"/>
          <w:sz w:val="24"/>
          <w:szCs w:val="24"/>
        </w:rPr>
        <w:t>. 6470/24</w:t>
      </w:r>
    </w:p>
    <w:p w14:paraId="35A27C36"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14. Çështja ka të bëjë me një konflikt pronësie. Më 28 prill 2014, kërkuesi depozitoi rekurs në Gjykatën e Lartë. Më 14 shtator 2022, avokati i kërkuesit i dha Gjykatës së Lartë adresën e postës elektronike të tij dhe kërkoi që vendimi i Gjykatës së Lartë t’i dërgohej në atë adresë. Gjykata e Lartë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e rrëzoi ankimin e kërkuesit më 26 shtator 2022. Gjykata e Lartë nuk e dërgoi në adresën e postës elektronike të kërkuesit, por ia njoftoi kërkuesit më 2 qershor 2023, pas kërkesës së tij drejtuar sekretarisë së Gjykatës së Lartë.</w:t>
      </w:r>
    </w:p>
    <w:p w14:paraId="35840300" w14:textId="41CB3B16"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15. Më 31 korrik 2023, kërkuesi depozitoi ankim kushtetues të cilin Gjykata Kushtetuese mori vendim </w:t>
      </w:r>
      <w:proofErr w:type="spellStart"/>
      <w:r w:rsidRPr="000F046C">
        <w:rPr>
          <w:rFonts w:ascii="Garamond" w:hAnsi="Garamond" w:cs="Calibri"/>
          <w:color w:val="000000"/>
          <w:sz w:val="24"/>
          <w:szCs w:val="24"/>
        </w:rPr>
        <w:t>moskalimi</w:t>
      </w:r>
      <w:proofErr w:type="spellEnd"/>
      <w:r w:rsidRPr="000F046C">
        <w:rPr>
          <w:rFonts w:ascii="Garamond" w:hAnsi="Garamond" w:cs="Calibri"/>
          <w:color w:val="000000"/>
          <w:sz w:val="24"/>
          <w:szCs w:val="24"/>
        </w:rPr>
        <w:t xml:space="preserve"> në seancë gjyqësore më 13 tetor 2023</w:t>
      </w:r>
      <w:r w:rsidR="00B13039">
        <w:rPr>
          <w:rFonts w:ascii="Garamond" w:hAnsi="Garamond" w:cs="Calibri"/>
          <w:color w:val="000000"/>
          <w:sz w:val="24"/>
          <w:szCs w:val="24"/>
        </w:rPr>
        <w:t>,</w:t>
      </w:r>
      <w:r w:rsidRPr="000F046C">
        <w:rPr>
          <w:rFonts w:ascii="Garamond" w:hAnsi="Garamond" w:cs="Calibri"/>
          <w:color w:val="000000"/>
          <w:sz w:val="24"/>
          <w:szCs w:val="24"/>
        </w:rPr>
        <w:t xml:space="preserve"> për shkak se ishte depozituar jashtë afatit kohor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duke e llogaritur afatin nga data e marrjes së vendimit të Gjykatës së Lartë.</w:t>
      </w:r>
    </w:p>
    <w:p w14:paraId="2473F99C" w14:textId="1DCAEA8A"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olor w:val="000000"/>
          <w:sz w:val="24"/>
          <w:szCs w:val="24"/>
        </w:rPr>
        <w:t>VIII. KUQO, nr</w:t>
      </w:r>
      <w:r w:rsidRPr="000F046C">
        <w:rPr>
          <w:rFonts w:ascii="Garamond" w:hAnsi="Garamond" w:cs="Times New Roman"/>
          <w:caps/>
          <w:color w:val="000000"/>
          <w:sz w:val="24"/>
          <w:szCs w:val="24"/>
        </w:rPr>
        <w:t>. 26336/24</w:t>
      </w:r>
    </w:p>
    <w:p w14:paraId="103B8AA6" w14:textId="77777777"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16. Çështja ka të bëjë me një mosmarrëveshje civile ndërmjet kërkuesit dhe një institucioni financiar. Gjykata e Apelit vendosi në favor të kërkuesit. Më 24 prill 2014, pala kundërshtare depozitoi rekurs në Gjykatën e Lartë. Gjykata e Lartë e mbledhur </w:t>
      </w:r>
      <w:r w:rsidRPr="000F046C">
        <w:rPr>
          <w:rFonts w:ascii="Garamond" w:hAnsi="Garamond" w:cs="Times New Roman"/>
          <w:i/>
          <w:iCs/>
          <w:color w:val="000000"/>
          <w:sz w:val="24"/>
          <w:szCs w:val="24"/>
        </w:rPr>
        <w:t xml:space="preserve">in </w:t>
      </w:r>
      <w:proofErr w:type="spellStart"/>
      <w:r w:rsidRPr="000F046C">
        <w:rPr>
          <w:rFonts w:ascii="Garamond" w:hAnsi="Garamond" w:cs="Times New Roman"/>
          <w:i/>
          <w:iCs/>
          <w:color w:val="000000"/>
          <w:sz w:val="24"/>
          <w:szCs w:val="24"/>
        </w:rPr>
        <w:t>camera</w:t>
      </w:r>
      <w:proofErr w:type="spellEnd"/>
      <w:r w:rsidRPr="000F046C">
        <w:rPr>
          <w:rFonts w:ascii="Garamond" w:hAnsi="Garamond" w:cs="Times New Roman"/>
          <w:color w:val="000000"/>
          <w:sz w:val="24"/>
          <w:szCs w:val="24"/>
        </w:rPr>
        <w:t xml:space="preserve"> shfuqizoi vendimin e gjykatës së apelit më 11 prill 2022. Më 1 korrik 2022, avokati i kërkuesit i dha Gjykatës së Lartë adresën e postës elektronike të tij. Vendimi i Gjykatës së Lartë u publikua në faqen e internetit të Gjykatës së Lartë më 30 shtator 2022. Pas kërkesës së avokatit të kërkuesit për çështjen e këtij të fundit, Gjykata e Lartë i dërgoi vendimin me shkresën e datës 15 mars 2024, dhe avokati i kërkuesit e mori më 20 mars 2024.</w:t>
      </w:r>
    </w:p>
    <w:p w14:paraId="5742C5E4" w14:textId="08C0C373"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17. Më 20 mars 2024, kërkuesi depozitoi ankim kushtetues për të cilin Gjykata Kushtetuese mori vendim </w:t>
      </w:r>
      <w:proofErr w:type="spellStart"/>
      <w:r w:rsidRPr="000F046C">
        <w:rPr>
          <w:rFonts w:ascii="Garamond" w:hAnsi="Garamond" w:cs="Calibri"/>
          <w:color w:val="000000"/>
          <w:sz w:val="24"/>
          <w:szCs w:val="24"/>
        </w:rPr>
        <w:t>moskalimi</w:t>
      </w:r>
      <w:proofErr w:type="spellEnd"/>
      <w:r w:rsidRPr="000F046C">
        <w:rPr>
          <w:rFonts w:ascii="Garamond" w:hAnsi="Garamond" w:cs="Calibri"/>
          <w:color w:val="000000"/>
          <w:sz w:val="24"/>
          <w:szCs w:val="24"/>
        </w:rPr>
        <w:t xml:space="preserve"> në seancë gjyqësore më 9 maj 2024</w:t>
      </w:r>
      <w:r w:rsidR="001506BB">
        <w:rPr>
          <w:rFonts w:ascii="Garamond" w:hAnsi="Garamond" w:cs="Calibri"/>
          <w:color w:val="000000"/>
          <w:sz w:val="24"/>
          <w:szCs w:val="24"/>
        </w:rPr>
        <w:t>,</w:t>
      </w:r>
      <w:r w:rsidRPr="000F046C">
        <w:rPr>
          <w:rFonts w:ascii="Garamond" w:hAnsi="Garamond" w:cs="Calibri"/>
          <w:color w:val="000000"/>
          <w:sz w:val="24"/>
          <w:szCs w:val="24"/>
        </w:rPr>
        <w:t xml:space="preserve"> për shkak se ishte depozituar jashtë afatit kohor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duke e llogaritur afatin nga 30 shtatori 2022.</w:t>
      </w:r>
    </w:p>
    <w:p w14:paraId="37AE8F86" w14:textId="2CA69967"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0F046C">
        <w:rPr>
          <w:rFonts w:ascii="Garamond" w:hAnsi="Garamond" w:cs="Calibri"/>
          <w:caps/>
          <w:color w:val="000000"/>
          <w:sz w:val="24"/>
          <w:szCs w:val="24"/>
        </w:rPr>
        <w:t>VLERËSIMI I GJYKATËS</w:t>
      </w:r>
    </w:p>
    <w:p w14:paraId="3EC4DD66" w14:textId="480662C1"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aps/>
          <w:color w:val="000000"/>
          <w:sz w:val="24"/>
          <w:szCs w:val="24"/>
        </w:rPr>
        <w:t>I. BASHKIMI I KËRKESAVE</w:t>
      </w:r>
    </w:p>
    <w:p w14:paraId="216E641A"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18. Duke pasur parasysh objektin e ngjashëm të kërkesave, Gjykata e gjen të përshtatshme t’i shqyrtojë ato së bashku në një vendim të vetëm.</w:t>
      </w:r>
    </w:p>
    <w:p w14:paraId="23030F51" w14:textId="0D07702E"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aps/>
          <w:color w:val="000000"/>
          <w:sz w:val="24"/>
          <w:szCs w:val="24"/>
        </w:rPr>
        <w:t>II. SHKELJA E PRETENDUAR E NENIT 6 § 1 TË KONVENTËS</w:t>
      </w:r>
    </w:p>
    <w:p w14:paraId="476F500C" w14:textId="0E57D92A"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19. Gjykata vëren se ankimet e kërkuesve</w:t>
      </w:r>
      <w:r w:rsidR="00B13039">
        <w:rPr>
          <w:rFonts w:ascii="Garamond" w:hAnsi="Garamond" w:cs="Times New Roman"/>
          <w:color w:val="000000"/>
          <w:sz w:val="24"/>
          <w:szCs w:val="24"/>
        </w:rPr>
        <w:t>,</w:t>
      </w:r>
      <w:r w:rsidRPr="000F046C">
        <w:rPr>
          <w:rFonts w:ascii="Garamond" w:hAnsi="Garamond" w:cs="Times New Roman"/>
          <w:color w:val="000000"/>
          <w:sz w:val="24"/>
          <w:szCs w:val="24"/>
        </w:rPr>
        <w:t xml:space="preserve"> në lidhje me të drejtën e tyre për t’ju dërguar Gjykatës Kushtetuese nuk janë haptazi të pabazuara sipas kuptimit të nenit 35 paragrafi 3 (a) të Konventës ose të papranueshme për ndonjë shkak tjetër. Prandaj, ato duhet të shpallen të pranueshme.</w:t>
      </w:r>
    </w:p>
    <w:p w14:paraId="145EA9FD" w14:textId="58C2A77C"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20. Parimet e përgjithshme</w:t>
      </w:r>
      <w:r w:rsidR="00B13039">
        <w:rPr>
          <w:rFonts w:ascii="Garamond" w:hAnsi="Garamond" w:cs="Calibri"/>
          <w:color w:val="000000"/>
          <w:sz w:val="24"/>
          <w:szCs w:val="24"/>
        </w:rPr>
        <w:t>,</w:t>
      </w:r>
      <w:r w:rsidRPr="000F046C">
        <w:rPr>
          <w:rFonts w:ascii="Garamond" w:hAnsi="Garamond" w:cs="Calibri"/>
          <w:color w:val="000000"/>
          <w:sz w:val="24"/>
          <w:szCs w:val="24"/>
        </w:rPr>
        <w:t xml:space="preserve"> në lidhje me të drejtën për t’ju drejtuar një gjykate dhe, në veçanti, për t’ju drejtuar gjykatave më të larta janë përmbledhur në çështjen </w:t>
      </w:r>
      <w:proofErr w:type="spellStart"/>
      <w:r w:rsidRPr="000F046C">
        <w:rPr>
          <w:rFonts w:ascii="Garamond" w:hAnsi="Garamond" w:cs="Calibri"/>
          <w:i/>
          <w:iCs/>
          <w:color w:val="000000"/>
          <w:sz w:val="24"/>
          <w:szCs w:val="24"/>
        </w:rPr>
        <w:t>Zubac</w:t>
      </w:r>
      <w:proofErr w:type="spellEnd"/>
      <w:r w:rsidRPr="000F046C">
        <w:rPr>
          <w:rFonts w:ascii="Garamond" w:hAnsi="Garamond" w:cs="Calibri"/>
          <w:i/>
          <w:iCs/>
          <w:color w:val="000000"/>
          <w:sz w:val="24"/>
          <w:szCs w:val="24"/>
        </w:rPr>
        <w:t xml:space="preserve"> kundër Kroacisë</w:t>
      </w:r>
      <w:r w:rsidRPr="000F046C">
        <w:rPr>
          <w:rFonts w:ascii="Garamond" w:hAnsi="Garamond" w:cs="Calibri"/>
          <w:color w:val="000000"/>
          <w:sz w:val="24"/>
          <w:szCs w:val="24"/>
        </w:rPr>
        <w:t xml:space="preserve"> ([DHM], nr. 40160/12, §§ 76</w:t>
      </w:r>
      <w:r w:rsidR="008B189C">
        <w:rPr>
          <w:rFonts w:ascii="Garamond" w:hAnsi="Garamond" w:cs="Calibri"/>
          <w:color w:val="000000"/>
          <w:sz w:val="24"/>
          <w:szCs w:val="24"/>
        </w:rPr>
        <w:t>–</w:t>
      </w:r>
      <w:r w:rsidRPr="000F046C">
        <w:rPr>
          <w:rFonts w:ascii="Garamond" w:hAnsi="Garamond" w:cs="Calibri"/>
          <w:color w:val="000000"/>
          <w:sz w:val="24"/>
          <w:szCs w:val="24"/>
        </w:rPr>
        <w:t>99, 5 prill 2018).</w:t>
      </w:r>
    </w:p>
    <w:p w14:paraId="0EAC0948" w14:textId="51BE010A"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21. Gjykata më parë ka gjetur shkelje të nenit 6 § 1 të Konventës kur afati </w:t>
      </w:r>
      <w:proofErr w:type="spellStart"/>
      <w:r w:rsidRPr="000F046C">
        <w:rPr>
          <w:rFonts w:ascii="Garamond" w:hAnsi="Garamond" w:cs="Calibri"/>
          <w:color w:val="000000"/>
          <w:sz w:val="24"/>
          <w:szCs w:val="24"/>
        </w:rPr>
        <w:t>katërmujor</w:t>
      </w:r>
      <w:proofErr w:type="spellEnd"/>
      <w:r w:rsidRPr="000F046C">
        <w:rPr>
          <w:rFonts w:ascii="Garamond" w:hAnsi="Garamond" w:cs="Calibri"/>
          <w:color w:val="000000"/>
          <w:sz w:val="24"/>
          <w:szCs w:val="24"/>
        </w:rPr>
        <w:t xml:space="preserve"> për paraqitjen e ankimit kushtetues ishte llogaritur nga data e marrjes së vendimit të kontestuar të Gjykatës së Lartë dhe jo nga data e njoftimit të tij te kërkuesi (shihni </w:t>
      </w:r>
      <w:proofErr w:type="spellStart"/>
      <w:r w:rsidRPr="000F046C">
        <w:rPr>
          <w:rFonts w:ascii="Garamond" w:hAnsi="Garamond" w:cs="Calibri"/>
          <w:i/>
          <w:iCs/>
          <w:color w:val="000000"/>
          <w:sz w:val="24"/>
          <w:szCs w:val="24"/>
        </w:rPr>
        <w:t>Supergrav</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Albania</w:t>
      </w:r>
      <w:proofErr w:type="spellEnd"/>
      <w:r w:rsidRPr="000F046C">
        <w:rPr>
          <w:rFonts w:ascii="Garamond" w:hAnsi="Garamond" w:cs="Calibri"/>
          <w:i/>
          <w:iCs/>
          <w:color w:val="000000"/>
          <w:sz w:val="24"/>
          <w:szCs w:val="24"/>
        </w:rPr>
        <w:t xml:space="preserve"> </w:t>
      </w:r>
      <w:proofErr w:type="spellStart"/>
      <w:r w:rsidR="00B13039">
        <w:rPr>
          <w:rFonts w:ascii="Garamond" w:hAnsi="Garamond" w:cs="Calibri"/>
          <w:i/>
          <w:iCs/>
          <w:color w:val="000000"/>
          <w:sz w:val="24"/>
          <w:szCs w:val="24"/>
        </w:rPr>
        <w:t>s</w:t>
      </w:r>
      <w:r w:rsidRPr="000F046C">
        <w:rPr>
          <w:rFonts w:ascii="Garamond" w:hAnsi="Garamond" w:cs="Calibri"/>
          <w:i/>
          <w:iCs/>
          <w:color w:val="000000"/>
          <w:sz w:val="24"/>
          <w:szCs w:val="24"/>
        </w:rPr>
        <w:t>h</w:t>
      </w:r>
      <w:r w:rsidR="00B13039">
        <w:rPr>
          <w:rFonts w:ascii="Garamond" w:hAnsi="Garamond" w:cs="Calibri"/>
          <w:i/>
          <w:iCs/>
          <w:color w:val="000000"/>
          <w:sz w:val="24"/>
          <w:szCs w:val="24"/>
        </w:rPr>
        <w:t>.</w:t>
      </w:r>
      <w:r w:rsidRPr="000F046C">
        <w:rPr>
          <w:rFonts w:ascii="Garamond" w:hAnsi="Garamond" w:cs="Calibri"/>
          <w:i/>
          <w:iCs/>
          <w:color w:val="000000"/>
          <w:sz w:val="24"/>
          <w:szCs w:val="24"/>
        </w:rPr>
        <w:t>p</w:t>
      </w:r>
      <w:r w:rsidR="00B13039">
        <w:rPr>
          <w:rFonts w:ascii="Garamond" w:hAnsi="Garamond" w:cs="Calibri"/>
          <w:i/>
          <w:iCs/>
          <w:color w:val="000000"/>
          <w:sz w:val="24"/>
          <w:szCs w:val="24"/>
        </w:rPr>
        <w:t>.</w:t>
      </w:r>
      <w:r w:rsidRPr="000F046C">
        <w:rPr>
          <w:rFonts w:ascii="Garamond" w:hAnsi="Garamond" w:cs="Calibri"/>
          <w:i/>
          <w:iCs/>
          <w:color w:val="000000"/>
          <w:sz w:val="24"/>
          <w:szCs w:val="24"/>
        </w:rPr>
        <w:t>k</w:t>
      </w:r>
      <w:proofErr w:type="spellEnd"/>
      <w:r w:rsidR="00B13039">
        <w:rPr>
          <w:rFonts w:ascii="Garamond" w:hAnsi="Garamond" w:cs="Calibri"/>
          <w:i/>
          <w:iCs/>
          <w:color w:val="000000"/>
          <w:sz w:val="24"/>
          <w:szCs w:val="24"/>
        </w:rPr>
        <w:t>.</w:t>
      </w:r>
      <w:r w:rsidRPr="000F046C">
        <w:rPr>
          <w:rFonts w:ascii="Garamond" w:hAnsi="Garamond" w:cs="Calibri"/>
          <w:color w:val="000000"/>
          <w:sz w:val="24"/>
          <w:szCs w:val="24"/>
        </w:rPr>
        <w:t xml:space="preserve"> nr. 20702/18, §§ 17</w:t>
      </w:r>
      <w:r w:rsidR="00B13039">
        <w:rPr>
          <w:rFonts w:ascii="Garamond" w:hAnsi="Garamond" w:cs="Calibri"/>
          <w:color w:val="000000"/>
          <w:sz w:val="24"/>
          <w:szCs w:val="24"/>
        </w:rPr>
        <w:t>–</w:t>
      </w:r>
      <w:r w:rsidRPr="000F046C">
        <w:rPr>
          <w:rFonts w:ascii="Garamond" w:hAnsi="Garamond" w:cs="Calibri"/>
          <w:color w:val="000000"/>
          <w:sz w:val="24"/>
          <w:szCs w:val="24"/>
        </w:rPr>
        <w:t>31, 9 maj 2023).</w:t>
      </w:r>
    </w:p>
    <w:p w14:paraId="78ECD5BC" w14:textId="4323E0E4"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22. Gjithashtu</w:t>
      </w:r>
      <w:r w:rsidR="00BE7FBC">
        <w:rPr>
          <w:rFonts w:ascii="Garamond" w:hAnsi="Garamond" w:cs="Calibri"/>
          <w:color w:val="000000"/>
          <w:sz w:val="24"/>
          <w:szCs w:val="24"/>
        </w:rPr>
        <w:t>,</w:t>
      </w:r>
      <w:r w:rsidRPr="000F046C">
        <w:rPr>
          <w:rFonts w:ascii="Garamond" w:hAnsi="Garamond" w:cs="Calibri"/>
          <w:color w:val="000000"/>
          <w:sz w:val="24"/>
          <w:szCs w:val="24"/>
        </w:rPr>
        <w:t xml:space="preserve"> Gjykata vëren që Gjykata Kushtetuese ishte shprehur që kur një palë kërkonte të merrte vendimin e Gjykatës së Lartë, në kopjen e vendimit vendosej data e shpalljes së vendimit. Sipas Gjykatës Kushtetuese</w:t>
      </w:r>
      <w:r w:rsidR="00BE7FBC">
        <w:rPr>
          <w:rFonts w:ascii="Garamond" w:hAnsi="Garamond" w:cs="Calibri"/>
          <w:color w:val="000000"/>
          <w:sz w:val="24"/>
          <w:szCs w:val="24"/>
        </w:rPr>
        <w:t>,</w:t>
      </w:r>
      <w:r w:rsidRPr="000F046C">
        <w:rPr>
          <w:rFonts w:ascii="Garamond" w:hAnsi="Garamond" w:cs="Calibri"/>
          <w:color w:val="000000"/>
          <w:sz w:val="24"/>
          <w:szCs w:val="24"/>
        </w:rPr>
        <w:t xml:space="preserve"> kjo nuk provonte që palës nuk i ishte njoftuar vendimi më herët. Megjithatë, Gjykata Kushtetuese nuk sqaroi në çfarë mënyre një palë mund të jepte një provë pozitive të datës së njoftimit të parë (krahasoni </w:t>
      </w:r>
      <w:proofErr w:type="spellStart"/>
      <w:r w:rsidRPr="000F046C">
        <w:rPr>
          <w:rFonts w:ascii="Garamond" w:hAnsi="Garamond" w:cs="Times New Roman"/>
          <w:i/>
          <w:iCs/>
          <w:color w:val="000000"/>
          <w:sz w:val="24"/>
          <w:szCs w:val="24"/>
        </w:rPr>
        <w:t>Aždajić</w:t>
      </w:r>
      <w:proofErr w:type="spellEnd"/>
      <w:r w:rsidRPr="000F046C">
        <w:rPr>
          <w:rFonts w:ascii="Garamond" w:hAnsi="Garamond" w:cs="Times New Roman"/>
          <w:i/>
          <w:iCs/>
          <w:color w:val="000000"/>
          <w:sz w:val="24"/>
          <w:szCs w:val="24"/>
        </w:rPr>
        <w:t xml:space="preserve"> kundër Sllovenisë</w:t>
      </w:r>
      <w:r w:rsidRPr="000F046C">
        <w:rPr>
          <w:rFonts w:ascii="Garamond" w:hAnsi="Garamond" w:cs="Calibri"/>
          <w:color w:val="000000"/>
          <w:sz w:val="24"/>
          <w:szCs w:val="24"/>
        </w:rPr>
        <w:t xml:space="preserve"> nr. 71872/12, § 69, 8 tetor 2015)</w:t>
      </w:r>
      <w:r w:rsidR="00BE7FBC">
        <w:rPr>
          <w:rFonts w:ascii="Garamond" w:hAnsi="Garamond" w:cs="Calibri"/>
          <w:color w:val="000000"/>
          <w:sz w:val="24"/>
          <w:szCs w:val="24"/>
        </w:rPr>
        <w:t>,</w:t>
      </w:r>
      <w:r w:rsidRPr="000F046C">
        <w:rPr>
          <w:rFonts w:ascii="Garamond" w:hAnsi="Garamond" w:cs="Calibri"/>
          <w:color w:val="000000"/>
          <w:sz w:val="24"/>
          <w:szCs w:val="24"/>
        </w:rPr>
        <w:t xml:space="preserve"> ose arsyen se pse barrën e provës në këtë drejtim duhej ta kishte vetëm njëra palë. Gjykata vlerëson se fillimisht i takon Gjykatës së Lartë të sigurohet që në dosjen e saj të çështjes të ketë prova për</w:t>
      </w:r>
      <w:r w:rsidRPr="000F046C">
        <w:rPr>
          <w:rFonts w:ascii="Garamond" w:hAnsi="Garamond" w:cs="Calibri"/>
          <w:color w:val="FF0000"/>
          <w:sz w:val="24"/>
          <w:szCs w:val="24"/>
        </w:rPr>
        <w:t xml:space="preserve"> </w:t>
      </w:r>
      <w:r w:rsidRPr="000F046C">
        <w:rPr>
          <w:rFonts w:ascii="Garamond" w:hAnsi="Garamond" w:cs="Calibri"/>
          <w:color w:val="000000"/>
          <w:sz w:val="24"/>
          <w:szCs w:val="24"/>
        </w:rPr>
        <w:t xml:space="preserve">datën e njoftimit të vendimit të saj te palët (shihni </w:t>
      </w:r>
      <w:proofErr w:type="spellStart"/>
      <w:r w:rsidRPr="000F046C">
        <w:rPr>
          <w:rFonts w:ascii="Garamond" w:hAnsi="Garamond" w:cs="Calibri"/>
          <w:i/>
          <w:iCs/>
          <w:color w:val="000000"/>
          <w:sz w:val="24"/>
          <w:szCs w:val="24"/>
        </w:rPr>
        <w:t>mutatis</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mutandis</w:t>
      </w:r>
      <w:proofErr w:type="spellEnd"/>
      <w:r w:rsidRPr="000F046C">
        <w:rPr>
          <w:rFonts w:ascii="Garamond" w:hAnsi="Garamond" w:cs="Calibri"/>
          <w:color w:val="000000"/>
          <w:sz w:val="24"/>
          <w:szCs w:val="24"/>
        </w:rPr>
        <w:t xml:space="preserve">, </w:t>
      </w:r>
      <w:proofErr w:type="spellStart"/>
      <w:r w:rsidRPr="000F046C">
        <w:rPr>
          <w:rFonts w:ascii="Garamond" w:hAnsi="Garamond" w:cs="Calibri"/>
          <w:i/>
          <w:iCs/>
          <w:color w:val="000000"/>
          <w:sz w:val="24"/>
          <w:szCs w:val="24"/>
        </w:rPr>
        <w:t>Zela</w:t>
      </w:r>
      <w:proofErr w:type="spellEnd"/>
      <w:r w:rsidRPr="000F046C">
        <w:rPr>
          <w:rFonts w:ascii="Garamond" w:hAnsi="Garamond" w:cs="Calibri"/>
          <w:i/>
          <w:iCs/>
          <w:color w:val="000000"/>
          <w:sz w:val="24"/>
          <w:szCs w:val="24"/>
        </w:rPr>
        <w:t xml:space="preserve"> kundër Shqipërisë</w:t>
      </w:r>
      <w:r w:rsidRPr="000F046C">
        <w:rPr>
          <w:rFonts w:ascii="Garamond" w:hAnsi="Garamond" w:cs="Calibri"/>
          <w:color w:val="000000"/>
          <w:sz w:val="24"/>
          <w:szCs w:val="24"/>
        </w:rPr>
        <w:t xml:space="preserve"> nr. 33164/11, § 38, 11 qershor 2024) Edhe kur vendimet e Gjykatës së Lartë publikohen në faqen </w:t>
      </w:r>
      <w:r w:rsidRPr="000F046C">
        <w:rPr>
          <w:rFonts w:ascii="Garamond" w:hAnsi="Garamond" w:cs="Calibri"/>
          <w:color w:val="000000"/>
          <w:sz w:val="24"/>
          <w:szCs w:val="24"/>
        </w:rPr>
        <w:lastRenderedPageBreak/>
        <w:t xml:space="preserve">e saj të internetit, afati kohor për depozitimin e ankimit kushtetues llogaritet nga data e marrjes dijeni të kërkuesit për vendimin e Gjykatës së Lartë (krahasoni </w:t>
      </w:r>
      <w:proofErr w:type="spellStart"/>
      <w:r w:rsidRPr="000F046C">
        <w:rPr>
          <w:rFonts w:ascii="Garamond" w:hAnsi="Garamond" w:cs="Calibri"/>
          <w:i/>
          <w:iCs/>
          <w:color w:val="000000"/>
          <w:sz w:val="24"/>
          <w:szCs w:val="24"/>
        </w:rPr>
        <w:t>Supergrav</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Albania</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sh</w:t>
      </w:r>
      <w:r w:rsidR="00D5628A">
        <w:rPr>
          <w:rFonts w:ascii="Garamond" w:hAnsi="Garamond" w:cs="Calibri"/>
          <w:i/>
          <w:iCs/>
          <w:color w:val="000000"/>
          <w:sz w:val="24"/>
          <w:szCs w:val="24"/>
        </w:rPr>
        <w:t>.</w:t>
      </w:r>
      <w:r w:rsidRPr="000F046C">
        <w:rPr>
          <w:rFonts w:ascii="Garamond" w:hAnsi="Garamond" w:cs="Calibri"/>
          <w:i/>
          <w:iCs/>
          <w:color w:val="000000"/>
          <w:sz w:val="24"/>
          <w:szCs w:val="24"/>
        </w:rPr>
        <w:t>p</w:t>
      </w:r>
      <w:r w:rsidR="00D5628A">
        <w:rPr>
          <w:rFonts w:ascii="Garamond" w:hAnsi="Garamond" w:cs="Calibri"/>
          <w:i/>
          <w:iCs/>
          <w:color w:val="000000"/>
          <w:sz w:val="24"/>
          <w:szCs w:val="24"/>
        </w:rPr>
        <w:t>.</w:t>
      </w:r>
      <w:r w:rsidRPr="000F046C">
        <w:rPr>
          <w:rFonts w:ascii="Garamond" w:hAnsi="Garamond" w:cs="Calibri"/>
          <w:i/>
          <w:iCs/>
          <w:color w:val="000000"/>
          <w:sz w:val="24"/>
          <w:szCs w:val="24"/>
        </w:rPr>
        <w:t>k</w:t>
      </w:r>
      <w:proofErr w:type="spellEnd"/>
      <w:r w:rsidR="00D5628A">
        <w:rPr>
          <w:rFonts w:ascii="Garamond" w:hAnsi="Garamond" w:cs="Calibri"/>
          <w:i/>
          <w:iCs/>
          <w:color w:val="000000"/>
          <w:sz w:val="24"/>
          <w:szCs w:val="24"/>
        </w:rPr>
        <w:t>.</w:t>
      </w:r>
      <w:r w:rsidRPr="000F046C">
        <w:rPr>
          <w:rFonts w:ascii="Garamond" w:hAnsi="Garamond" w:cs="Calibri"/>
          <w:color w:val="000000"/>
          <w:sz w:val="24"/>
          <w:szCs w:val="24"/>
        </w:rPr>
        <w:t>, cituar më lart, § 29).</w:t>
      </w:r>
    </w:p>
    <w:p w14:paraId="30D0918C" w14:textId="3E318C92"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23. Qeveria pretendoi se as kërkuesit</w:t>
      </w:r>
      <w:r w:rsidR="00BE7FBC">
        <w:rPr>
          <w:rFonts w:ascii="Garamond" w:hAnsi="Garamond" w:cs="Calibri"/>
          <w:color w:val="000000"/>
          <w:sz w:val="24"/>
          <w:szCs w:val="24"/>
        </w:rPr>
        <w:t>,</w:t>
      </w:r>
      <w:r w:rsidRPr="000F046C">
        <w:rPr>
          <w:rFonts w:ascii="Garamond" w:hAnsi="Garamond" w:cs="Calibri"/>
          <w:color w:val="000000"/>
          <w:sz w:val="24"/>
          <w:szCs w:val="24"/>
        </w:rPr>
        <w:t xml:space="preserve"> as avokatët e tyre nuk i dhanë Gjykatës së Lartë adresat e postës së tyre elektronike për qëllim të dërgimit të vendimeve të asaj gjykate me postë elektronike. Megjithatë</w:t>
      </w:r>
      <w:r w:rsidR="00BE7FBC">
        <w:rPr>
          <w:rFonts w:ascii="Garamond" w:hAnsi="Garamond" w:cs="Calibri"/>
          <w:color w:val="000000"/>
          <w:sz w:val="24"/>
          <w:szCs w:val="24"/>
        </w:rPr>
        <w:t>,</w:t>
      </w:r>
      <w:r w:rsidRPr="000F046C">
        <w:rPr>
          <w:rFonts w:ascii="Garamond" w:hAnsi="Garamond" w:cs="Calibri"/>
          <w:color w:val="000000"/>
          <w:sz w:val="24"/>
          <w:szCs w:val="24"/>
        </w:rPr>
        <w:t xml:space="preserve"> në të gjitha kërkesat, ankimet në Gjykatën e Lartë ishin dorëzuar përpara fundit të majit 2021, kur në legjislacionin e brendshëm u prezantua mundësia e dërgimit të vendimeve të Gjykatës së Lartë me postë elektronike.</w:t>
      </w:r>
    </w:p>
    <w:p w14:paraId="4C6C7243"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24. Më tej, në kërkesat nr. 26353/23, 4427/24 dhe 26336/24, avokatët e kërkuesve i dhanë Gjykatës së Lartë adresat e postës së tyre elektronike.</w:t>
      </w:r>
    </w:p>
    <w:p w14:paraId="77685C56"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Në kërkesën nr. 26353/23, kërkuesi pretendoi se vendimi i Gjykatës së Lartë nuk i ishte dërguar avokatit të tij me postë elektronike dhe Qeveria nuk e kundërshtoi këtë pretendim.</w:t>
      </w:r>
    </w:p>
    <w:p w14:paraId="79AB53F0"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Në kërkesën nr. 26336/24, Gjykata e Lartë e mori vendimin më 11 prill 2022. Avokati i kërkuesit i dha Gjykatës së Lartë adresën e tij të postës elektronike më 1 korrik 2022. Gjykata e Lartë publikoi vendimin e plotë të arsyetuar në faqen e saj të internetit më 30 shtator 2022, por nuk ia dërgoi avokatit të kërkuesit me postë elektronike.</w:t>
      </w:r>
    </w:p>
    <w:p w14:paraId="3CC01267" w14:textId="0DEA9023"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25. Nisur nga rrethanat më sipër, Gjykata del në përfundimin që gjen shkelje të paragrafit 1 të nenit 6 të Konventës</w:t>
      </w:r>
      <w:r w:rsidR="00BE7FBC">
        <w:rPr>
          <w:rFonts w:ascii="Garamond" w:hAnsi="Garamond" w:cs="Calibri"/>
          <w:color w:val="000000"/>
          <w:sz w:val="24"/>
          <w:szCs w:val="24"/>
        </w:rPr>
        <w:t>,</w:t>
      </w:r>
      <w:r w:rsidRPr="000F046C">
        <w:rPr>
          <w:rFonts w:ascii="Garamond" w:hAnsi="Garamond" w:cs="Calibri"/>
          <w:color w:val="000000"/>
          <w:sz w:val="24"/>
          <w:szCs w:val="24"/>
        </w:rPr>
        <w:t xml:space="preserve"> në lidhje me të drejtën e kërkuesit për t’ju drejtuar Gjykatës Kushtetuese.</w:t>
      </w:r>
    </w:p>
    <w:p w14:paraId="2F8EC8C5" w14:textId="225A6A56" w:rsidR="00E830C7" w:rsidRPr="000F046C" w:rsidRDefault="00E830C7" w:rsidP="00E830C7">
      <w:pPr>
        <w:keepNext/>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0F046C">
        <w:rPr>
          <w:rFonts w:ascii="Garamond" w:hAnsi="Garamond" w:cs="Times New Roman"/>
          <w:caps/>
          <w:color w:val="000000"/>
          <w:sz w:val="24"/>
          <w:szCs w:val="24"/>
        </w:rPr>
        <w:t>III. ANKIMET E MBETURA</w:t>
      </w:r>
    </w:p>
    <w:p w14:paraId="13B8EEC2" w14:textId="2686E660"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26. Në kërkesën nr. 17829/23, kërkuesi u ankua</w:t>
      </w:r>
      <w:r w:rsidR="00BE7FBC">
        <w:rPr>
          <w:rFonts w:ascii="Garamond" w:hAnsi="Garamond" w:cs="Times New Roman"/>
          <w:color w:val="000000"/>
          <w:sz w:val="24"/>
          <w:szCs w:val="24"/>
        </w:rPr>
        <w:t>,</w:t>
      </w:r>
      <w:r w:rsidRPr="000F046C">
        <w:rPr>
          <w:rFonts w:ascii="Garamond" w:hAnsi="Garamond" w:cs="Times New Roman"/>
          <w:color w:val="000000"/>
          <w:sz w:val="24"/>
          <w:szCs w:val="24"/>
        </w:rPr>
        <w:t xml:space="preserve"> gjithashtu</w:t>
      </w:r>
      <w:r w:rsidR="00BE7FBC">
        <w:rPr>
          <w:rFonts w:ascii="Garamond" w:hAnsi="Garamond" w:cs="Times New Roman"/>
          <w:color w:val="000000"/>
          <w:sz w:val="24"/>
          <w:szCs w:val="24"/>
        </w:rPr>
        <w:t>,</w:t>
      </w:r>
      <w:r w:rsidRPr="000F046C">
        <w:rPr>
          <w:rFonts w:ascii="Garamond" w:hAnsi="Garamond" w:cs="Times New Roman"/>
          <w:color w:val="000000"/>
          <w:sz w:val="24"/>
          <w:szCs w:val="24"/>
        </w:rPr>
        <w:t xml:space="preserve"> sipas nenit 6 për mungesën e drejtësisë të proceseve penale kundër tij.</w:t>
      </w:r>
    </w:p>
    <w:p w14:paraId="38AC3D01" w14:textId="0F385699"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27. Në kërkesën nr.</w:t>
      </w:r>
      <w:r w:rsidR="00BE7FBC">
        <w:rPr>
          <w:rFonts w:ascii="Garamond" w:hAnsi="Garamond" w:cs="Calibri"/>
          <w:color w:val="000000"/>
          <w:sz w:val="24"/>
          <w:szCs w:val="24"/>
        </w:rPr>
        <w:t xml:space="preserve"> </w:t>
      </w:r>
      <w:r w:rsidRPr="000F046C">
        <w:rPr>
          <w:rFonts w:ascii="Garamond" w:hAnsi="Garamond" w:cs="Calibri"/>
          <w:color w:val="000000"/>
          <w:sz w:val="24"/>
          <w:szCs w:val="24"/>
        </w:rPr>
        <w:t>19482/23</w:t>
      </w:r>
      <w:r w:rsidR="00BE7FBC">
        <w:rPr>
          <w:rFonts w:ascii="Garamond" w:hAnsi="Garamond" w:cs="Calibri"/>
          <w:color w:val="000000"/>
          <w:sz w:val="24"/>
          <w:szCs w:val="24"/>
        </w:rPr>
        <w:t>,</w:t>
      </w:r>
      <w:r w:rsidRPr="000F046C">
        <w:rPr>
          <w:rFonts w:ascii="Garamond" w:hAnsi="Garamond" w:cs="Calibri"/>
          <w:color w:val="000000"/>
          <w:sz w:val="24"/>
          <w:szCs w:val="24"/>
        </w:rPr>
        <w:t xml:space="preserve"> kërkuesi u ankua</w:t>
      </w:r>
      <w:r w:rsidR="00BE7FBC">
        <w:rPr>
          <w:rFonts w:ascii="Garamond" w:hAnsi="Garamond" w:cs="Calibri"/>
          <w:color w:val="000000"/>
          <w:sz w:val="24"/>
          <w:szCs w:val="24"/>
        </w:rPr>
        <w:t>,</w:t>
      </w:r>
      <w:r w:rsidRPr="000F046C">
        <w:rPr>
          <w:rFonts w:ascii="Garamond" w:hAnsi="Garamond" w:cs="Calibri"/>
          <w:color w:val="000000"/>
          <w:sz w:val="24"/>
          <w:szCs w:val="24"/>
        </w:rPr>
        <w:t xml:space="preserve"> gjithashtu</w:t>
      </w:r>
      <w:r w:rsidR="00BE7FBC">
        <w:rPr>
          <w:rFonts w:ascii="Garamond" w:hAnsi="Garamond" w:cs="Calibri"/>
          <w:color w:val="000000"/>
          <w:sz w:val="24"/>
          <w:szCs w:val="24"/>
        </w:rPr>
        <w:t>,</w:t>
      </w:r>
      <w:r w:rsidRPr="000F046C">
        <w:rPr>
          <w:rFonts w:ascii="Garamond" w:hAnsi="Garamond" w:cs="Calibri"/>
          <w:color w:val="000000"/>
          <w:sz w:val="24"/>
          <w:szCs w:val="24"/>
        </w:rPr>
        <w:t xml:space="preserve"> sipas nenit 6 për mungesën e drejtësisë të proceseve penale në Gjykatën e Lartë.</w:t>
      </w:r>
    </w:p>
    <w:p w14:paraId="42AD0F81" w14:textId="3550D9CF"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28. Në kërkesën nr. 19983/23, kërkuesi u ankua</w:t>
      </w:r>
      <w:r w:rsidR="00BE7FBC">
        <w:rPr>
          <w:rFonts w:ascii="Garamond" w:hAnsi="Garamond" w:cs="Calibri"/>
          <w:color w:val="000000"/>
          <w:sz w:val="24"/>
          <w:szCs w:val="24"/>
        </w:rPr>
        <w:t>,</w:t>
      </w:r>
      <w:r w:rsidRPr="000F046C">
        <w:rPr>
          <w:rFonts w:ascii="Garamond" w:hAnsi="Garamond" w:cs="Calibri"/>
          <w:color w:val="000000"/>
          <w:sz w:val="24"/>
          <w:szCs w:val="24"/>
        </w:rPr>
        <w:t xml:space="preserve"> gjithashtu</w:t>
      </w:r>
      <w:r w:rsidR="00BE7FBC">
        <w:rPr>
          <w:rFonts w:ascii="Garamond" w:hAnsi="Garamond" w:cs="Calibri"/>
          <w:color w:val="000000"/>
          <w:sz w:val="24"/>
          <w:szCs w:val="24"/>
        </w:rPr>
        <w:t>,</w:t>
      </w:r>
      <w:r w:rsidRPr="000F046C">
        <w:rPr>
          <w:rFonts w:ascii="Garamond" w:hAnsi="Garamond" w:cs="Calibri"/>
          <w:color w:val="000000"/>
          <w:sz w:val="24"/>
          <w:szCs w:val="24"/>
        </w:rPr>
        <w:t xml:space="preserve"> sipas nenit 6 për mungesën e drejtësisë të proceseve penale kundër tij.</w:t>
      </w:r>
    </w:p>
    <w:p w14:paraId="04388DED" w14:textId="77777777"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29. Në kërkesën nr. 26353/23 kërkuesi u ankua sipas nenit 8 të Konventës që ishte shkelur e drejta e tij për respektimin e jetës së tij private.</w:t>
      </w:r>
    </w:p>
    <w:p w14:paraId="08A96A35" w14:textId="4C2864CA"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30. Në kërkesën nr. 38576/23 kërkuesja u ankua sipas nenit 1 të </w:t>
      </w:r>
      <w:r w:rsidR="00BE7FBC" w:rsidRPr="000F046C">
        <w:rPr>
          <w:rFonts w:ascii="Garamond" w:hAnsi="Garamond" w:cs="Calibri"/>
          <w:color w:val="000000"/>
          <w:sz w:val="24"/>
          <w:szCs w:val="24"/>
        </w:rPr>
        <w:t xml:space="preserve">protokollit </w:t>
      </w:r>
      <w:r w:rsidRPr="000F046C">
        <w:rPr>
          <w:rFonts w:ascii="Garamond" w:hAnsi="Garamond" w:cs="Calibri"/>
          <w:color w:val="000000"/>
          <w:sz w:val="24"/>
          <w:szCs w:val="24"/>
        </w:rPr>
        <w:t>nr.</w:t>
      </w:r>
      <w:r w:rsidR="00BE7FBC">
        <w:rPr>
          <w:rFonts w:ascii="Garamond" w:hAnsi="Garamond" w:cs="Calibri"/>
          <w:color w:val="000000"/>
          <w:sz w:val="24"/>
          <w:szCs w:val="24"/>
        </w:rPr>
        <w:t xml:space="preserve"> </w:t>
      </w:r>
      <w:r w:rsidRPr="000F046C">
        <w:rPr>
          <w:rFonts w:ascii="Garamond" w:hAnsi="Garamond" w:cs="Calibri"/>
          <w:color w:val="000000"/>
          <w:sz w:val="24"/>
          <w:szCs w:val="24"/>
        </w:rPr>
        <w:t>1 që ishte shkelur e drejta e saj për gëzimin paqësor të pasurisë së saj.</w:t>
      </w:r>
    </w:p>
    <w:p w14:paraId="665C3411" w14:textId="28832952"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31. Në kërkesën </w:t>
      </w:r>
      <w:r w:rsidRPr="005A1AAD">
        <w:rPr>
          <w:rFonts w:ascii="Garamond" w:hAnsi="Garamond" w:cs="Calibri"/>
          <w:color w:val="000000"/>
          <w:sz w:val="24"/>
          <w:szCs w:val="24"/>
        </w:rPr>
        <w:t>nr</w:t>
      </w:r>
      <w:r w:rsidR="00BE7FBC" w:rsidRPr="005A1AAD">
        <w:rPr>
          <w:rFonts w:ascii="Garamond" w:hAnsi="Garamond" w:cs="Calibri"/>
          <w:color w:val="000000"/>
          <w:sz w:val="24"/>
          <w:szCs w:val="24"/>
        </w:rPr>
        <w:t xml:space="preserve">. </w:t>
      </w:r>
      <w:r w:rsidRPr="005A1AAD">
        <w:rPr>
          <w:rFonts w:ascii="Garamond" w:hAnsi="Garamond" w:cs="Calibri"/>
          <w:color w:val="000000"/>
          <w:sz w:val="24"/>
          <w:szCs w:val="24"/>
        </w:rPr>
        <w:t>4427/24</w:t>
      </w:r>
      <w:bookmarkStart w:id="0" w:name="_GoBack"/>
      <w:bookmarkEnd w:id="0"/>
      <w:r w:rsidRPr="000F046C">
        <w:rPr>
          <w:rFonts w:ascii="Garamond" w:hAnsi="Garamond" w:cs="Calibri"/>
          <w:color w:val="000000"/>
          <w:sz w:val="24"/>
          <w:szCs w:val="24"/>
        </w:rPr>
        <w:t xml:space="preserve"> kërkuesja u ankua sipas nenit 6 të Konventës dhe nenit 1 të </w:t>
      </w:r>
      <w:r w:rsidR="00BE7FBC" w:rsidRPr="000F046C">
        <w:rPr>
          <w:rFonts w:ascii="Garamond" w:hAnsi="Garamond" w:cs="Calibri"/>
          <w:color w:val="000000"/>
          <w:sz w:val="24"/>
          <w:szCs w:val="24"/>
        </w:rPr>
        <w:t xml:space="preserve">protokollit </w:t>
      </w:r>
      <w:r w:rsidRPr="000F046C">
        <w:rPr>
          <w:rFonts w:ascii="Garamond" w:hAnsi="Garamond" w:cs="Calibri"/>
          <w:color w:val="000000"/>
          <w:sz w:val="24"/>
          <w:szCs w:val="24"/>
        </w:rPr>
        <w:t>nr.</w:t>
      </w:r>
      <w:r w:rsidR="00BE7FBC">
        <w:rPr>
          <w:rFonts w:ascii="Garamond" w:hAnsi="Garamond" w:cs="Calibri"/>
          <w:color w:val="000000"/>
          <w:sz w:val="24"/>
          <w:szCs w:val="24"/>
        </w:rPr>
        <w:t xml:space="preserve"> </w:t>
      </w:r>
      <w:r w:rsidRPr="000F046C">
        <w:rPr>
          <w:rFonts w:ascii="Garamond" w:hAnsi="Garamond" w:cs="Calibri"/>
          <w:color w:val="000000"/>
          <w:sz w:val="24"/>
          <w:szCs w:val="24"/>
        </w:rPr>
        <w:t>4 për mungesën e drejtësisë të proceseve penale kundër saj dhe ndalimin e burgimit të saj për borxhin.</w:t>
      </w:r>
    </w:p>
    <w:p w14:paraId="7A464E95" w14:textId="2F022B80"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32. Në kërkesën nr. 6470/24 kërkuesi u ankua sipas nenit 6 të Konventës dhe nenit 1 të </w:t>
      </w:r>
      <w:r w:rsidR="00BE7FBC">
        <w:rPr>
          <w:rFonts w:ascii="Garamond" w:hAnsi="Garamond" w:cs="Calibri"/>
          <w:color w:val="000000"/>
          <w:sz w:val="24"/>
          <w:szCs w:val="24"/>
        </w:rPr>
        <w:t>p</w:t>
      </w:r>
      <w:r w:rsidRPr="000F046C">
        <w:rPr>
          <w:rFonts w:ascii="Garamond" w:hAnsi="Garamond" w:cs="Calibri"/>
          <w:color w:val="000000"/>
          <w:sz w:val="24"/>
          <w:szCs w:val="24"/>
        </w:rPr>
        <w:t>rotokollit nr</w:t>
      </w:r>
      <w:r w:rsidR="00BE7FBC">
        <w:rPr>
          <w:rFonts w:ascii="Garamond" w:hAnsi="Garamond" w:cs="Calibri"/>
          <w:color w:val="000000"/>
          <w:sz w:val="24"/>
          <w:szCs w:val="24"/>
        </w:rPr>
        <w:t>.</w:t>
      </w:r>
      <w:r w:rsidRPr="000F046C">
        <w:rPr>
          <w:rFonts w:ascii="Garamond" w:hAnsi="Garamond" w:cs="Calibri"/>
          <w:color w:val="000000"/>
          <w:sz w:val="24"/>
          <w:szCs w:val="24"/>
        </w:rPr>
        <w:t xml:space="preserve"> 1 për mungesën e drejtësisë së proceseve civile dhe për të drejtën e tij për gëzimin paqësor të pasurisë së tij.</w:t>
      </w:r>
    </w:p>
    <w:p w14:paraId="7641A53C" w14:textId="4EF4FF8D" w:rsidR="00E830C7" w:rsidRPr="000F046C" w:rsidRDefault="00E830C7" w:rsidP="00E830C7">
      <w:pPr>
        <w:keepNext/>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33. Në kërkesën nr. 26336/24 kërkuesi u ankua sipas nenit 6 të Konventës dhe nenit 1 të </w:t>
      </w:r>
      <w:r w:rsidR="00BE7FBC">
        <w:rPr>
          <w:rFonts w:ascii="Garamond" w:hAnsi="Garamond" w:cs="Calibri"/>
          <w:color w:val="000000"/>
          <w:sz w:val="24"/>
          <w:szCs w:val="24"/>
        </w:rPr>
        <w:t>p</w:t>
      </w:r>
      <w:r w:rsidRPr="000F046C">
        <w:rPr>
          <w:rFonts w:ascii="Garamond" w:hAnsi="Garamond" w:cs="Calibri"/>
          <w:color w:val="000000"/>
          <w:sz w:val="24"/>
          <w:szCs w:val="24"/>
        </w:rPr>
        <w:t>rotokollit nr</w:t>
      </w:r>
      <w:r w:rsidR="00BE7FBC">
        <w:rPr>
          <w:rFonts w:ascii="Garamond" w:hAnsi="Garamond" w:cs="Calibri"/>
          <w:color w:val="000000"/>
          <w:sz w:val="24"/>
          <w:szCs w:val="24"/>
        </w:rPr>
        <w:t>.</w:t>
      </w:r>
      <w:r w:rsidRPr="000F046C">
        <w:rPr>
          <w:rFonts w:ascii="Garamond" w:hAnsi="Garamond" w:cs="Calibri"/>
          <w:color w:val="000000"/>
          <w:sz w:val="24"/>
          <w:szCs w:val="24"/>
        </w:rPr>
        <w:t xml:space="preserve"> 1 për mungesën e drejtësisë së proceseve civile dhe për të drejtën e tij për gëzimin paqësor të pasurisë së tij.</w:t>
      </w:r>
    </w:p>
    <w:p w14:paraId="4F6CD96B" w14:textId="2398CE4F"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34. Gjykata gjeti shkelje të nenit 6 të Konventës sa kohë që mënyra se si Gjykata Kushtetuese kishte interpretuar afatin kohor për depozitimin e ankimit kushtetues privonte të drejtën e kërkuesve për t’</w:t>
      </w:r>
      <w:r w:rsidR="00BE7FBC">
        <w:rPr>
          <w:rFonts w:ascii="Garamond" w:hAnsi="Garamond" w:cs="Calibri"/>
          <w:color w:val="000000"/>
          <w:sz w:val="24"/>
          <w:szCs w:val="24"/>
        </w:rPr>
        <w:t>i</w:t>
      </w:r>
      <w:r w:rsidRPr="000F046C">
        <w:rPr>
          <w:rFonts w:ascii="Garamond" w:hAnsi="Garamond" w:cs="Calibri"/>
          <w:color w:val="000000"/>
          <w:sz w:val="24"/>
          <w:szCs w:val="24"/>
        </w:rPr>
        <w:t>u drejtuar gjykatës. Prandaj, Gjykata Kushtetuese nuk shqyrtoi themelet e ankimeve kushtetuese të kërkuesve.</w:t>
      </w:r>
    </w:p>
    <w:p w14:paraId="1DDDC9FF" w14:textId="5BD8A10F"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35. Duke pasur parasysh gjetjen e saj</w:t>
      </w:r>
      <w:r w:rsidR="00BE7FBC">
        <w:rPr>
          <w:rFonts w:ascii="Garamond" w:hAnsi="Garamond" w:cs="Calibri"/>
          <w:color w:val="000000"/>
          <w:sz w:val="24"/>
          <w:szCs w:val="24"/>
        </w:rPr>
        <w:t>,</w:t>
      </w:r>
      <w:r w:rsidRPr="000F046C">
        <w:rPr>
          <w:rFonts w:ascii="Garamond" w:hAnsi="Garamond" w:cs="Calibri"/>
          <w:color w:val="000000"/>
          <w:sz w:val="24"/>
          <w:szCs w:val="24"/>
        </w:rPr>
        <w:t xml:space="preserve"> në lidhje me të drejtën e kërkuesve për t’ju drejtuar Gjykatës Kushtetuese</w:t>
      </w:r>
      <w:r w:rsidR="00BE7FBC">
        <w:rPr>
          <w:rFonts w:ascii="Garamond" w:hAnsi="Garamond" w:cs="Calibri"/>
          <w:color w:val="000000"/>
          <w:sz w:val="24"/>
          <w:szCs w:val="24"/>
        </w:rPr>
        <w:t>,</w:t>
      </w:r>
      <w:r w:rsidRPr="000F046C">
        <w:rPr>
          <w:rFonts w:ascii="Garamond" w:hAnsi="Garamond" w:cs="Calibri"/>
          <w:color w:val="000000"/>
          <w:sz w:val="24"/>
          <w:szCs w:val="24"/>
        </w:rPr>
        <w:t xml:space="preserve"> sipas paragrafit 1</w:t>
      </w:r>
      <w:r w:rsidR="00BE7FBC">
        <w:rPr>
          <w:rFonts w:ascii="Garamond" w:hAnsi="Garamond" w:cs="Calibri"/>
          <w:color w:val="000000"/>
          <w:sz w:val="24"/>
          <w:szCs w:val="24"/>
        </w:rPr>
        <w:t>,</w:t>
      </w:r>
      <w:r w:rsidRPr="000F046C">
        <w:rPr>
          <w:rFonts w:ascii="Garamond" w:hAnsi="Garamond" w:cs="Calibri"/>
          <w:color w:val="000000"/>
          <w:sz w:val="24"/>
          <w:szCs w:val="24"/>
        </w:rPr>
        <w:t xml:space="preserve"> të nenit 6 të Konventës (shihni paragrafin 25 më lart), Gjykata vëren se tani kërkuesit kanë mundësi të kërkojnë rihapjen e proceseve përpara asaj gjykate. Kjo e fundit do të lejonte shqyrtimin e ankimeve të mbetura të kërkuesve sipas Konventës (shihni</w:t>
      </w:r>
      <w:r w:rsidR="00BE7FBC">
        <w:rPr>
          <w:rFonts w:ascii="Garamond" w:hAnsi="Garamond" w:cs="Calibri"/>
          <w:color w:val="000000"/>
          <w:sz w:val="24"/>
          <w:szCs w:val="24"/>
        </w:rPr>
        <w:t>,</w:t>
      </w:r>
      <w:r w:rsidRPr="000F046C">
        <w:rPr>
          <w:rFonts w:ascii="Garamond" w:hAnsi="Garamond" w:cs="Calibri"/>
          <w:color w:val="000000"/>
          <w:sz w:val="24"/>
          <w:szCs w:val="24"/>
        </w:rPr>
        <w:t xml:space="preserve"> për shembull, në lidhje me mundësinë e Gjykatës Kushtetuese për të trajtuar ankimet për gjykim të drejtë </w:t>
      </w:r>
      <w:proofErr w:type="spellStart"/>
      <w:r w:rsidRPr="000F046C">
        <w:rPr>
          <w:rFonts w:ascii="Garamond" w:hAnsi="Garamond" w:cs="Calibri"/>
          <w:i/>
          <w:iCs/>
          <w:color w:val="000000"/>
          <w:sz w:val="24"/>
          <w:szCs w:val="24"/>
        </w:rPr>
        <w:t>Muçaj</w:t>
      </w:r>
      <w:proofErr w:type="spellEnd"/>
      <w:r w:rsidRPr="000F046C">
        <w:rPr>
          <w:rFonts w:ascii="Garamond" w:hAnsi="Garamond" w:cs="Calibri"/>
          <w:i/>
          <w:iCs/>
          <w:color w:val="000000"/>
          <w:sz w:val="24"/>
          <w:szCs w:val="24"/>
        </w:rPr>
        <w:t xml:space="preserve"> kundër Shqipërisë</w:t>
      </w:r>
      <w:r w:rsidRPr="000F046C">
        <w:rPr>
          <w:rFonts w:ascii="Garamond" w:hAnsi="Garamond" w:cs="Calibri"/>
          <w:sz w:val="24"/>
          <w:szCs w:val="24"/>
        </w:rPr>
        <w:t xml:space="preserve"> [Komiteti] nr. </w:t>
      </w:r>
      <w:r w:rsidRPr="000F046C">
        <w:rPr>
          <w:rFonts w:ascii="Garamond" w:hAnsi="Garamond" w:cs="Calibri"/>
          <w:color w:val="000000"/>
          <w:sz w:val="24"/>
          <w:szCs w:val="24"/>
        </w:rPr>
        <w:t xml:space="preserve">37814/10, § 26, 11 korrik 2023, me referenca të mëtejshme). Gjykata nuk mund të spekulojë për rezultatin e këtyre proceseve. Në këto rrethana, Gjykata vlerëson se ankimet e mbetura të kërkuesve janë të parakohshme dhe duhet të refuzohen </w:t>
      </w:r>
      <w:r w:rsidRPr="000F046C">
        <w:rPr>
          <w:rFonts w:ascii="Garamond" w:hAnsi="Garamond" w:cs="Calibri"/>
          <w:color w:val="000000"/>
          <w:sz w:val="24"/>
          <w:szCs w:val="24"/>
        </w:rPr>
        <w:lastRenderedPageBreak/>
        <w:t>në përputhje me nenin 35</w:t>
      </w:r>
      <w:r w:rsidR="002C63D4">
        <w:rPr>
          <w:rFonts w:ascii="Garamond" w:hAnsi="Garamond" w:cs="Calibri"/>
          <w:color w:val="000000"/>
          <w:sz w:val="24"/>
          <w:szCs w:val="24"/>
        </w:rPr>
        <w:t>,</w:t>
      </w:r>
      <w:r w:rsidRPr="000F046C">
        <w:rPr>
          <w:rFonts w:ascii="Garamond" w:hAnsi="Garamond" w:cs="Calibri"/>
          <w:color w:val="000000"/>
          <w:sz w:val="24"/>
          <w:szCs w:val="24"/>
        </w:rPr>
        <w:t xml:space="preserve"> paragrafët 3 dhe 4 të Konventës (shihni </w:t>
      </w:r>
      <w:proofErr w:type="spellStart"/>
      <w:r w:rsidRPr="000F046C">
        <w:rPr>
          <w:rFonts w:ascii="Garamond" w:hAnsi="Garamond" w:cs="Calibri"/>
          <w:i/>
          <w:iCs/>
          <w:color w:val="000000"/>
          <w:sz w:val="24"/>
          <w:szCs w:val="24"/>
        </w:rPr>
        <w:t>mutatis</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mutandis</w:t>
      </w:r>
      <w:proofErr w:type="spellEnd"/>
      <w:r w:rsidRPr="000F046C">
        <w:rPr>
          <w:rFonts w:ascii="Garamond" w:hAnsi="Garamond" w:cs="Calibri"/>
          <w:color w:val="000000"/>
          <w:sz w:val="24"/>
          <w:szCs w:val="24"/>
        </w:rPr>
        <w:t xml:space="preserve">, </w:t>
      </w:r>
      <w:proofErr w:type="spellStart"/>
      <w:r w:rsidRPr="000F046C">
        <w:rPr>
          <w:rFonts w:ascii="Garamond" w:hAnsi="Garamond" w:cs="Calibri"/>
          <w:i/>
          <w:iCs/>
          <w:color w:val="000000"/>
          <w:sz w:val="24"/>
          <w:szCs w:val="24"/>
        </w:rPr>
        <w:t>Baljak</w:t>
      </w:r>
      <w:proofErr w:type="spellEnd"/>
      <w:r w:rsidRPr="000F046C">
        <w:rPr>
          <w:rFonts w:ascii="Garamond" w:hAnsi="Garamond" w:cs="Calibri"/>
          <w:i/>
          <w:iCs/>
          <w:color w:val="000000"/>
          <w:sz w:val="24"/>
          <w:szCs w:val="24"/>
        </w:rPr>
        <w:t xml:space="preserve"> dhe të tjerë kundër Kroacisë</w:t>
      </w:r>
      <w:r w:rsidRPr="000F046C">
        <w:rPr>
          <w:rFonts w:ascii="Garamond" w:hAnsi="Garamond" w:cs="Calibri"/>
          <w:color w:val="000000"/>
          <w:sz w:val="24"/>
          <w:szCs w:val="24"/>
        </w:rPr>
        <w:t xml:space="preserve"> nr. 41295/19, §§ 45</w:t>
      </w:r>
      <w:r w:rsidR="00933F2D">
        <w:rPr>
          <w:rFonts w:ascii="Garamond" w:hAnsi="Garamond" w:cs="Calibri"/>
          <w:color w:val="000000"/>
          <w:sz w:val="24"/>
          <w:szCs w:val="24"/>
        </w:rPr>
        <w:t>–</w:t>
      </w:r>
      <w:r w:rsidRPr="000F046C">
        <w:rPr>
          <w:rFonts w:ascii="Garamond" w:hAnsi="Garamond" w:cs="Calibri"/>
          <w:color w:val="000000"/>
          <w:sz w:val="24"/>
          <w:szCs w:val="24"/>
        </w:rPr>
        <w:t>46, 25 nëntor 2021).</w:t>
      </w:r>
    </w:p>
    <w:p w14:paraId="609AF33B" w14:textId="10F105C2"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0F046C">
        <w:rPr>
          <w:rFonts w:ascii="Garamond" w:hAnsi="Garamond" w:cs="Calibri"/>
          <w:color w:val="000000"/>
          <w:sz w:val="24"/>
          <w:szCs w:val="24"/>
        </w:rPr>
        <w:t xml:space="preserve"> </w:t>
      </w:r>
      <w:r w:rsidRPr="000F046C">
        <w:rPr>
          <w:rFonts w:ascii="Garamond" w:hAnsi="Garamond" w:cs="Calibri"/>
          <w:caps/>
          <w:color w:val="000000"/>
          <w:sz w:val="24"/>
          <w:szCs w:val="24"/>
        </w:rPr>
        <w:t>ZBATIMI I NENIT 41 TË KONVENTËS</w:t>
      </w:r>
    </w:p>
    <w:p w14:paraId="33721618" w14:textId="17E0D876"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36. Kërkuesit në kërkesat nr. 19482/23, 19983/23, 38576/23, 6470/24 dhe 26336/24 kërkuan kompensim në shuma të ndryshme për dëmin pasuror dhe </w:t>
      </w:r>
      <w:proofErr w:type="spellStart"/>
      <w:r w:rsidRPr="000F046C">
        <w:rPr>
          <w:rFonts w:ascii="Garamond" w:hAnsi="Garamond" w:cs="Times New Roman"/>
          <w:color w:val="000000"/>
          <w:sz w:val="24"/>
          <w:szCs w:val="24"/>
        </w:rPr>
        <w:t>jopasuror</w:t>
      </w:r>
      <w:proofErr w:type="spellEnd"/>
      <w:r w:rsidRPr="000F046C">
        <w:rPr>
          <w:rFonts w:ascii="Garamond" w:hAnsi="Garamond" w:cs="Times New Roman"/>
          <w:color w:val="000000"/>
          <w:sz w:val="24"/>
          <w:szCs w:val="24"/>
        </w:rPr>
        <w:t>. Kërkuesi në kërkesën nr.</w:t>
      </w:r>
      <w:r w:rsidR="002C63D4">
        <w:rPr>
          <w:rFonts w:ascii="Garamond" w:hAnsi="Garamond" w:cs="Times New Roman"/>
          <w:color w:val="000000"/>
          <w:sz w:val="24"/>
          <w:szCs w:val="24"/>
        </w:rPr>
        <w:t xml:space="preserve"> </w:t>
      </w:r>
      <w:r w:rsidRPr="000F046C">
        <w:rPr>
          <w:rFonts w:ascii="Garamond" w:hAnsi="Garamond" w:cs="Times New Roman"/>
          <w:color w:val="000000"/>
          <w:sz w:val="24"/>
          <w:szCs w:val="24"/>
        </w:rPr>
        <w:t xml:space="preserve">26353/23 kërkoi dëmshpërblim </w:t>
      </w:r>
      <w:proofErr w:type="spellStart"/>
      <w:r w:rsidRPr="000F046C">
        <w:rPr>
          <w:rFonts w:ascii="Garamond" w:hAnsi="Garamond" w:cs="Times New Roman"/>
          <w:color w:val="000000"/>
          <w:sz w:val="24"/>
          <w:szCs w:val="24"/>
        </w:rPr>
        <w:t>jopasuror</w:t>
      </w:r>
      <w:proofErr w:type="spellEnd"/>
      <w:r w:rsidRPr="000F046C">
        <w:rPr>
          <w:rFonts w:ascii="Garamond" w:hAnsi="Garamond" w:cs="Times New Roman"/>
          <w:color w:val="000000"/>
          <w:sz w:val="24"/>
          <w:szCs w:val="24"/>
        </w:rPr>
        <w:t xml:space="preserve">, por e la shumën e dëmshpërblimit në </w:t>
      </w:r>
      <w:proofErr w:type="spellStart"/>
      <w:r w:rsidRPr="000F046C">
        <w:rPr>
          <w:rFonts w:ascii="Garamond" w:hAnsi="Garamond" w:cs="Times New Roman"/>
          <w:color w:val="000000"/>
          <w:sz w:val="24"/>
          <w:szCs w:val="24"/>
        </w:rPr>
        <w:t>diskrecion</w:t>
      </w:r>
      <w:proofErr w:type="spellEnd"/>
      <w:r w:rsidRPr="000F046C">
        <w:rPr>
          <w:rFonts w:ascii="Garamond" w:hAnsi="Garamond" w:cs="Times New Roman"/>
          <w:color w:val="000000"/>
          <w:sz w:val="24"/>
          <w:szCs w:val="24"/>
        </w:rPr>
        <w:t xml:space="preserve"> të Gjykatës. Kërkuesit në kërkesat nr. 19482/23, 26353/23, 38576/23, 6470/24 dhe 26336/24</w:t>
      </w:r>
      <w:r w:rsidR="002C63D4">
        <w:rPr>
          <w:rFonts w:ascii="Garamond" w:hAnsi="Garamond" w:cs="Times New Roman"/>
          <w:color w:val="000000"/>
          <w:sz w:val="24"/>
          <w:szCs w:val="24"/>
        </w:rPr>
        <w:t>,</w:t>
      </w:r>
      <w:r w:rsidRPr="000F046C">
        <w:rPr>
          <w:rFonts w:ascii="Garamond" w:hAnsi="Garamond" w:cs="Times New Roman"/>
          <w:color w:val="000000"/>
          <w:sz w:val="24"/>
          <w:szCs w:val="24"/>
        </w:rPr>
        <w:t xml:space="preserve"> gjithashtu</w:t>
      </w:r>
      <w:r w:rsidR="002C63D4">
        <w:rPr>
          <w:rFonts w:ascii="Garamond" w:hAnsi="Garamond" w:cs="Times New Roman"/>
          <w:color w:val="000000"/>
          <w:sz w:val="24"/>
          <w:szCs w:val="24"/>
        </w:rPr>
        <w:t>,</w:t>
      </w:r>
      <w:r w:rsidRPr="000F046C">
        <w:rPr>
          <w:rFonts w:ascii="Garamond" w:hAnsi="Garamond" w:cs="Times New Roman"/>
          <w:color w:val="000000"/>
          <w:sz w:val="24"/>
          <w:szCs w:val="24"/>
        </w:rPr>
        <w:t xml:space="preserve"> paraqitën kërkesa për kosto dhe shpenzime për përfaqësimin e tyre në procese përpara gjykatave të brendshme dhe Gjykatës.</w:t>
      </w:r>
    </w:p>
    <w:p w14:paraId="3AC673A1" w14:textId="5AB1D7BC"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37. Kërkuesit e tjerë nuk paraqitën kërkesa për dëmshpërblim</w:t>
      </w:r>
      <w:r w:rsidR="002C63D4">
        <w:rPr>
          <w:rFonts w:ascii="Garamond" w:hAnsi="Garamond" w:cs="Calibri"/>
          <w:color w:val="000000"/>
          <w:sz w:val="24"/>
          <w:szCs w:val="24"/>
        </w:rPr>
        <w:t>,</w:t>
      </w:r>
      <w:r w:rsidRPr="000F046C">
        <w:rPr>
          <w:rFonts w:ascii="Garamond" w:hAnsi="Garamond" w:cs="Calibri"/>
          <w:color w:val="000000"/>
          <w:sz w:val="24"/>
          <w:szCs w:val="24"/>
        </w:rPr>
        <w:t xml:space="preserve"> apo për kosto dhe shpenzime.</w:t>
      </w:r>
    </w:p>
    <w:p w14:paraId="6A4ECA51" w14:textId="77777777"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38. Qeveria i kundërshtoi këto shuma.</w:t>
      </w:r>
    </w:p>
    <w:p w14:paraId="6BB475AB" w14:textId="4AEA03F0"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39. Gjykata nuk dallon ndonjë lidhje shkakësore ndërmjet shkeljes së gjetur dhe dëmit pasuror të pretenduar; prandaj i refuzon këto kërkesa. Gjykata për secilin kërkues në kërkesat nr. 19482/23, 19983/23, 26353/23, 38576/23, dhe 6470/24 cakton shumën 3,600 euro (EUR), dhe për kërkuesin e kërkesës nr. 26336/24 cakton shumën 3,000 euro (sipas pretendimit)</w:t>
      </w:r>
      <w:r w:rsidR="002C63D4">
        <w:rPr>
          <w:rFonts w:ascii="Garamond" w:hAnsi="Garamond" w:cs="Calibri"/>
          <w:color w:val="000000"/>
          <w:sz w:val="24"/>
          <w:szCs w:val="24"/>
        </w:rPr>
        <w:t>,</w:t>
      </w:r>
      <w:r w:rsidRPr="000F046C">
        <w:rPr>
          <w:rFonts w:ascii="Garamond" w:hAnsi="Garamond" w:cs="Calibri"/>
          <w:color w:val="000000"/>
          <w:sz w:val="24"/>
          <w:szCs w:val="24"/>
        </w:rPr>
        <w:t xml:space="preserve"> në lidhje me dëmshpërblimin </w:t>
      </w:r>
      <w:proofErr w:type="spellStart"/>
      <w:r w:rsidRPr="000F046C">
        <w:rPr>
          <w:rFonts w:ascii="Garamond" w:hAnsi="Garamond" w:cs="Calibri"/>
          <w:color w:val="000000"/>
          <w:sz w:val="24"/>
          <w:szCs w:val="24"/>
        </w:rPr>
        <w:t>jopasuror</w:t>
      </w:r>
      <w:proofErr w:type="spellEnd"/>
      <w:r w:rsidRPr="000F046C">
        <w:rPr>
          <w:rFonts w:ascii="Garamond" w:hAnsi="Garamond" w:cs="Calibri"/>
          <w:color w:val="000000"/>
          <w:sz w:val="24"/>
          <w:szCs w:val="24"/>
        </w:rPr>
        <w:t>, plus çdo taksë që mund t’</w:t>
      </w:r>
      <w:r w:rsidR="002C63D4">
        <w:rPr>
          <w:rFonts w:ascii="Garamond" w:hAnsi="Garamond" w:cs="Calibri"/>
          <w:color w:val="000000"/>
          <w:sz w:val="24"/>
          <w:szCs w:val="24"/>
        </w:rPr>
        <w:t>u</w:t>
      </w:r>
      <w:r w:rsidRPr="000F046C">
        <w:rPr>
          <w:rFonts w:ascii="Garamond" w:hAnsi="Garamond" w:cs="Calibri"/>
          <w:color w:val="000000"/>
          <w:sz w:val="24"/>
          <w:szCs w:val="24"/>
        </w:rPr>
        <w:t xml:space="preserve"> ngarkohet kërkuesve.</w:t>
      </w:r>
    </w:p>
    <w:p w14:paraId="0512FEB6" w14:textId="66DB5877"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 xml:space="preserve">40. Gjykata, duke pasur parasysh dokumentet në dispozicion të saj dhe praktikën e saj gjyqësore, refuzon kërkesat për kosto dhe shpenzime në procese gjyqësore të brendshme (krahasoni </w:t>
      </w:r>
      <w:proofErr w:type="spellStart"/>
      <w:r w:rsidRPr="000F046C">
        <w:rPr>
          <w:rFonts w:ascii="Garamond" w:hAnsi="Garamond" w:cs="Calibri"/>
          <w:i/>
          <w:iCs/>
          <w:color w:val="000000"/>
          <w:sz w:val="24"/>
          <w:szCs w:val="24"/>
        </w:rPr>
        <w:t>Supergrav</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Albania</w:t>
      </w:r>
      <w:proofErr w:type="spellEnd"/>
      <w:r w:rsidRPr="000F046C">
        <w:rPr>
          <w:rFonts w:ascii="Garamond" w:hAnsi="Garamond" w:cs="Calibri"/>
          <w:i/>
          <w:iCs/>
          <w:color w:val="000000"/>
          <w:sz w:val="24"/>
          <w:szCs w:val="24"/>
        </w:rPr>
        <w:t xml:space="preserve"> </w:t>
      </w:r>
      <w:proofErr w:type="spellStart"/>
      <w:r w:rsidRPr="000F046C">
        <w:rPr>
          <w:rFonts w:ascii="Garamond" w:hAnsi="Garamond" w:cs="Calibri"/>
          <w:i/>
          <w:iCs/>
          <w:color w:val="000000"/>
          <w:sz w:val="24"/>
          <w:szCs w:val="24"/>
        </w:rPr>
        <w:t>sh</w:t>
      </w:r>
      <w:r w:rsidR="00D5628A">
        <w:rPr>
          <w:rFonts w:ascii="Garamond" w:hAnsi="Garamond" w:cs="Calibri"/>
          <w:i/>
          <w:iCs/>
          <w:color w:val="000000"/>
          <w:sz w:val="24"/>
          <w:szCs w:val="24"/>
        </w:rPr>
        <w:t>.</w:t>
      </w:r>
      <w:r w:rsidRPr="000F046C">
        <w:rPr>
          <w:rFonts w:ascii="Garamond" w:hAnsi="Garamond" w:cs="Calibri"/>
          <w:i/>
          <w:iCs/>
          <w:color w:val="000000"/>
          <w:sz w:val="24"/>
          <w:szCs w:val="24"/>
        </w:rPr>
        <w:t>p</w:t>
      </w:r>
      <w:r w:rsidR="00D5628A">
        <w:rPr>
          <w:rFonts w:ascii="Garamond" w:hAnsi="Garamond" w:cs="Calibri"/>
          <w:i/>
          <w:iCs/>
          <w:color w:val="000000"/>
          <w:sz w:val="24"/>
          <w:szCs w:val="24"/>
        </w:rPr>
        <w:t>.</w:t>
      </w:r>
      <w:r w:rsidRPr="000F046C">
        <w:rPr>
          <w:rFonts w:ascii="Garamond" w:hAnsi="Garamond" w:cs="Calibri"/>
          <w:i/>
          <w:iCs/>
          <w:color w:val="000000"/>
          <w:sz w:val="24"/>
          <w:szCs w:val="24"/>
        </w:rPr>
        <w:t>k</w:t>
      </w:r>
      <w:proofErr w:type="spellEnd"/>
      <w:r w:rsidR="00D5628A">
        <w:rPr>
          <w:rFonts w:ascii="Garamond" w:hAnsi="Garamond" w:cs="Calibri"/>
          <w:i/>
          <w:iCs/>
          <w:color w:val="000000"/>
          <w:sz w:val="24"/>
          <w:szCs w:val="24"/>
        </w:rPr>
        <w:t>.</w:t>
      </w:r>
      <w:r w:rsidRPr="000F046C">
        <w:rPr>
          <w:rFonts w:ascii="Garamond" w:hAnsi="Garamond" w:cs="Calibri"/>
          <w:color w:val="000000"/>
          <w:sz w:val="24"/>
          <w:szCs w:val="24"/>
        </w:rPr>
        <w:t>, cituar më sipër, § 38). Ajo e vlerëson të arsyeshme që për kërkuesit e kërkesave nr. 19482/23, 26353/23 dhe 6470/24 të caktojë si dëmshpërblim shumën prej 2,000 euro</w:t>
      </w:r>
      <w:r w:rsidR="0041596E">
        <w:rPr>
          <w:rFonts w:ascii="Garamond" w:hAnsi="Garamond" w:cs="Calibri"/>
          <w:color w:val="000000"/>
          <w:sz w:val="24"/>
          <w:szCs w:val="24"/>
        </w:rPr>
        <w:t>sh</w:t>
      </w:r>
      <w:r w:rsidRPr="000F046C">
        <w:rPr>
          <w:rFonts w:ascii="Garamond" w:hAnsi="Garamond" w:cs="Calibri"/>
          <w:color w:val="000000"/>
          <w:sz w:val="24"/>
          <w:szCs w:val="24"/>
        </w:rPr>
        <w:t>, dhe për kërkuesin e kërkesës nr. 26336/24, shumën prej 1,855 euro</w:t>
      </w:r>
      <w:r w:rsidR="0041596E">
        <w:rPr>
          <w:rFonts w:ascii="Garamond" w:hAnsi="Garamond" w:cs="Calibri"/>
          <w:color w:val="000000"/>
          <w:sz w:val="24"/>
          <w:szCs w:val="24"/>
        </w:rPr>
        <w:t>sh</w:t>
      </w:r>
      <w:r w:rsidRPr="000F046C">
        <w:rPr>
          <w:rFonts w:ascii="Garamond" w:hAnsi="Garamond" w:cs="Calibri"/>
          <w:color w:val="000000"/>
          <w:sz w:val="24"/>
          <w:szCs w:val="24"/>
        </w:rPr>
        <w:t>, sipas pretendimit, në lidhje me kosto dhe shpenzime, plus çdo taksë që mund t’</w:t>
      </w:r>
      <w:r w:rsidR="003E700D">
        <w:rPr>
          <w:rFonts w:ascii="Garamond" w:hAnsi="Garamond" w:cs="Calibri"/>
          <w:color w:val="000000"/>
          <w:sz w:val="24"/>
          <w:szCs w:val="24"/>
        </w:rPr>
        <w:t>u</w:t>
      </w:r>
      <w:r w:rsidRPr="000F046C">
        <w:rPr>
          <w:rFonts w:ascii="Garamond" w:hAnsi="Garamond" w:cs="Calibri"/>
          <w:color w:val="000000"/>
          <w:sz w:val="24"/>
          <w:szCs w:val="24"/>
        </w:rPr>
        <w:t xml:space="preserve"> ngarkohet kërkuesve.</w:t>
      </w:r>
    </w:p>
    <w:p w14:paraId="44C23AA6" w14:textId="2CD9876A"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0F046C">
        <w:rPr>
          <w:rFonts w:ascii="Garamond" w:hAnsi="Garamond" w:cs="Calibri"/>
          <w:color w:val="000000"/>
          <w:sz w:val="24"/>
          <w:szCs w:val="24"/>
        </w:rPr>
        <w:t>41. Gjykata rrëzon pretendimin për kosto dhe shpenzime në kërkesën nr. 38576/23</w:t>
      </w:r>
      <w:r w:rsidR="003E700D">
        <w:rPr>
          <w:rFonts w:ascii="Garamond" w:hAnsi="Garamond" w:cs="Calibri"/>
          <w:color w:val="000000"/>
          <w:sz w:val="24"/>
          <w:szCs w:val="24"/>
        </w:rPr>
        <w:t>,</w:t>
      </w:r>
      <w:r w:rsidRPr="000F046C">
        <w:rPr>
          <w:rFonts w:ascii="Garamond" w:hAnsi="Garamond" w:cs="Calibri"/>
          <w:color w:val="000000"/>
          <w:sz w:val="24"/>
          <w:szCs w:val="24"/>
        </w:rPr>
        <w:t xml:space="preserve"> sepse kërkuesja nuk kishte përfaqësim ligjor në procese përpara Gjykatës.</w:t>
      </w:r>
    </w:p>
    <w:p w14:paraId="6A50C46D" w14:textId="40E59322" w:rsidR="00E830C7" w:rsidRPr="000F046C" w:rsidRDefault="00E830C7" w:rsidP="00E830C7">
      <w:pPr>
        <w:keepNext/>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0F046C">
        <w:rPr>
          <w:rFonts w:ascii="Garamond" w:hAnsi="Garamond" w:cs="Calibri"/>
          <w:color w:val="000000"/>
          <w:sz w:val="24"/>
          <w:szCs w:val="24"/>
        </w:rPr>
        <w:t xml:space="preserve"> </w:t>
      </w:r>
      <w:r w:rsidRPr="000F046C">
        <w:rPr>
          <w:rFonts w:ascii="Garamond" w:hAnsi="Garamond" w:cs="Calibri"/>
          <w:caps/>
          <w:color w:val="000000"/>
          <w:sz w:val="24"/>
          <w:szCs w:val="24"/>
        </w:rPr>
        <w:t>PËR KËTO ARSYE, GJYKATA, UNANIMISHT</w:t>
      </w:r>
      <w:r w:rsidR="003E700D">
        <w:rPr>
          <w:rFonts w:ascii="Garamond" w:hAnsi="Garamond" w:cs="Calibri"/>
          <w:caps/>
          <w:color w:val="000000"/>
          <w:sz w:val="24"/>
          <w:szCs w:val="24"/>
        </w:rPr>
        <w:t>:</w:t>
      </w:r>
    </w:p>
    <w:p w14:paraId="378C666F" w14:textId="284D9B7F" w:rsidR="00E830C7" w:rsidRPr="000F046C" w:rsidRDefault="00E830C7" w:rsidP="00E830C7">
      <w:pPr>
        <w:keepNext/>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i/>
          <w:iCs/>
          <w:color w:val="000000"/>
          <w:sz w:val="24"/>
          <w:szCs w:val="24"/>
        </w:rPr>
        <w:t xml:space="preserve">1. </w:t>
      </w:r>
      <w:r w:rsidR="003E700D" w:rsidRPr="000F046C">
        <w:rPr>
          <w:rFonts w:ascii="Garamond" w:hAnsi="Garamond" w:cs="Times New Roman"/>
          <w:i/>
          <w:iCs/>
          <w:color w:val="000000"/>
          <w:sz w:val="24"/>
          <w:szCs w:val="24"/>
        </w:rPr>
        <w:t>Vendos</w:t>
      </w:r>
      <w:r w:rsidR="003E700D" w:rsidRPr="000F046C">
        <w:rPr>
          <w:rFonts w:ascii="Garamond" w:hAnsi="Garamond" w:cs="Times New Roman"/>
          <w:color w:val="000000"/>
          <w:sz w:val="24"/>
          <w:szCs w:val="24"/>
        </w:rPr>
        <w:t xml:space="preserve"> </w:t>
      </w:r>
      <w:r w:rsidRPr="000F046C">
        <w:rPr>
          <w:rFonts w:ascii="Garamond" w:hAnsi="Garamond" w:cs="Times New Roman"/>
          <w:color w:val="000000"/>
          <w:sz w:val="24"/>
          <w:szCs w:val="24"/>
        </w:rPr>
        <w:t>të bashkojë kërkesat;</w:t>
      </w:r>
    </w:p>
    <w:p w14:paraId="20428C30" w14:textId="530896A0" w:rsidR="00E830C7" w:rsidRPr="000F046C" w:rsidRDefault="00E830C7" w:rsidP="00E830C7">
      <w:pPr>
        <w:keepNext/>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i/>
          <w:iCs/>
          <w:color w:val="000000"/>
          <w:sz w:val="24"/>
          <w:szCs w:val="24"/>
        </w:rPr>
        <w:t xml:space="preserve">2. </w:t>
      </w:r>
      <w:r w:rsidR="003E700D" w:rsidRPr="000F046C">
        <w:rPr>
          <w:rFonts w:ascii="Garamond" w:hAnsi="Garamond" w:cs="Times New Roman"/>
          <w:i/>
          <w:iCs/>
          <w:color w:val="000000"/>
          <w:sz w:val="24"/>
          <w:szCs w:val="24"/>
        </w:rPr>
        <w:t>Shpall</w:t>
      </w:r>
      <w:r w:rsidR="003E700D" w:rsidRPr="000F046C">
        <w:rPr>
          <w:rFonts w:ascii="Garamond" w:hAnsi="Garamond" w:cs="Times New Roman"/>
          <w:color w:val="000000"/>
          <w:sz w:val="24"/>
          <w:szCs w:val="24"/>
        </w:rPr>
        <w:t xml:space="preserve"> </w:t>
      </w:r>
      <w:r w:rsidRPr="000F046C">
        <w:rPr>
          <w:rFonts w:ascii="Garamond" w:hAnsi="Garamond" w:cs="Times New Roman"/>
          <w:color w:val="000000"/>
          <w:sz w:val="24"/>
          <w:szCs w:val="24"/>
        </w:rPr>
        <w:t>të pranueshme ankimet</w:t>
      </w:r>
      <w:r w:rsidR="005B6808">
        <w:rPr>
          <w:rFonts w:ascii="Garamond" w:hAnsi="Garamond" w:cs="Times New Roman"/>
          <w:color w:val="000000"/>
          <w:sz w:val="24"/>
          <w:szCs w:val="24"/>
        </w:rPr>
        <w:t>,</w:t>
      </w:r>
      <w:r w:rsidRPr="000F046C">
        <w:rPr>
          <w:rFonts w:ascii="Garamond" w:hAnsi="Garamond" w:cs="Times New Roman"/>
          <w:color w:val="000000"/>
          <w:sz w:val="24"/>
          <w:szCs w:val="24"/>
        </w:rPr>
        <w:t xml:space="preserve"> në lidhje me të drejtën e kërkuesve për t’ju drejtuar Gjykatës Kushtetuese dhe të papranueshme pjesën tjetër të kërkesave;</w:t>
      </w:r>
    </w:p>
    <w:p w14:paraId="3408DB70" w14:textId="470C6B2E" w:rsidR="00E830C7" w:rsidRPr="000F046C" w:rsidRDefault="00E830C7" w:rsidP="00E830C7">
      <w:pPr>
        <w:keepNext/>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i/>
          <w:iCs/>
          <w:color w:val="000000"/>
          <w:sz w:val="24"/>
          <w:szCs w:val="24"/>
        </w:rPr>
        <w:t xml:space="preserve">3. </w:t>
      </w:r>
      <w:r w:rsidR="003E700D" w:rsidRPr="000F046C">
        <w:rPr>
          <w:rFonts w:ascii="Garamond" w:hAnsi="Garamond" w:cs="Times New Roman"/>
          <w:i/>
          <w:iCs/>
          <w:color w:val="000000"/>
          <w:sz w:val="24"/>
          <w:szCs w:val="24"/>
        </w:rPr>
        <w:t>Vendos</w:t>
      </w:r>
      <w:r w:rsidR="003E700D" w:rsidRPr="000F046C">
        <w:rPr>
          <w:rFonts w:ascii="Garamond" w:hAnsi="Garamond" w:cs="Times New Roman"/>
          <w:color w:val="000000"/>
          <w:sz w:val="24"/>
          <w:szCs w:val="24"/>
        </w:rPr>
        <w:t xml:space="preserve"> </w:t>
      </w:r>
      <w:r w:rsidRPr="000F046C">
        <w:rPr>
          <w:rFonts w:ascii="Garamond" w:hAnsi="Garamond" w:cs="Times New Roman"/>
          <w:color w:val="000000"/>
          <w:sz w:val="24"/>
          <w:szCs w:val="24"/>
        </w:rPr>
        <w:t>që është shkelur paragrafi 1 i nenit 6 të Konventës për të drejtën e kërkuesve për t’ju drejtuar Gjykatës Kushtetuese;</w:t>
      </w:r>
    </w:p>
    <w:p w14:paraId="52D734E6" w14:textId="4278B095" w:rsidR="00E830C7" w:rsidRPr="000F046C" w:rsidRDefault="00E830C7" w:rsidP="00E830C7">
      <w:pPr>
        <w:keepNext/>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i/>
          <w:iCs/>
          <w:color w:val="000000"/>
          <w:sz w:val="24"/>
          <w:szCs w:val="24"/>
        </w:rPr>
        <w:t>4. Vendos</w:t>
      </w:r>
      <w:r w:rsidR="003E700D">
        <w:rPr>
          <w:rFonts w:ascii="Garamond" w:hAnsi="Garamond" w:cs="Times New Roman"/>
          <w:i/>
          <w:iCs/>
          <w:color w:val="000000"/>
          <w:sz w:val="24"/>
          <w:szCs w:val="24"/>
        </w:rPr>
        <w:t>:</w:t>
      </w:r>
    </w:p>
    <w:p w14:paraId="251533E6" w14:textId="32C0D8E8" w:rsidR="00E830C7" w:rsidRPr="000F046C" w:rsidRDefault="00E830C7" w:rsidP="00E830C7">
      <w:pPr>
        <w:keepNext/>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a) që </w:t>
      </w:r>
      <w:r w:rsidR="00DD658B" w:rsidRPr="000F046C">
        <w:rPr>
          <w:rFonts w:ascii="Garamond" w:hAnsi="Garamond" w:cs="Times New Roman"/>
          <w:color w:val="000000"/>
          <w:sz w:val="24"/>
          <w:szCs w:val="24"/>
        </w:rPr>
        <w:t xml:space="preserve">shteti </w:t>
      </w:r>
      <w:r w:rsidRPr="000F046C">
        <w:rPr>
          <w:rFonts w:ascii="Garamond" w:hAnsi="Garamond" w:cs="Times New Roman"/>
          <w:color w:val="000000"/>
          <w:sz w:val="24"/>
          <w:szCs w:val="24"/>
        </w:rPr>
        <w:t>i paditur t’</w:t>
      </w:r>
      <w:r w:rsidR="003E700D">
        <w:rPr>
          <w:rFonts w:ascii="Garamond" w:hAnsi="Garamond" w:cs="Times New Roman"/>
          <w:color w:val="000000"/>
          <w:sz w:val="24"/>
          <w:szCs w:val="24"/>
        </w:rPr>
        <w:t>u</w:t>
      </w:r>
      <w:r w:rsidRPr="000F046C">
        <w:rPr>
          <w:rFonts w:ascii="Garamond" w:hAnsi="Garamond" w:cs="Times New Roman"/>
          <w:color w:val="000000"/>
          <w:sz w:val="24"/>
          <w:szCs w:val="24"/>
        </w:rPr>
        <w:t xml:space="preserve"> paguajë kërkuesve, brenda tre muajve, shumën e treguar në tabelën bashkëngjitur, që do të konvertohet në monedhën e </w:t>
      </w:r>
      <w:r w:rsidR="003E700D" w:rsidRPr="000F046C">
        <w:rPr>
          <w:rFonts w:ascii="Garamond" w:hAnsi="Garamond" w:cs="Times New Roman"/>
          <w:color w:val="000000"/>
          <w:sz w:val="24"/>
          <w:szCs w:val="24"/>
        </w:rPr>
        <w:t xml:space="preserve">shtetit </w:t>
      </w:r>
      <w:r w:rsidRPr="000F046C">
        <w:rPr>
          <w:rFonts w:ascii="Garamond" w:hAnsi="Garamond" w:cs="Times New Roman"/>
          <w:color w:val="000000"/>
          <w:sz w:val="24"/>
          <w:szCs w:val="24"/>
        </w:rPr>
        <w:t>të paditur me normën në fuqi në datën e shlyerjes;</w:t>
      </w:r>
    </w:p>
    <w:p w14:paraId="3974B7F3" w14:textId="0D11B853" w:rsidR="00E830C7" w:rsidRPr="000F046C" w:rsidRDefault="00E830C7" w:rsidP="00E830C7">
      <w:pPr>
        <w:keepNext/>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b) nga mbarimi i afatit tremujor të sipërpërmendur deri në shlyerje, interes i thjeshtë të paguhet për shumat e mësipërme</w:t>
      </w:r>
      <w:r w:rsidR="00114BF9">
        <w:rPr>
          <w:rFonts w:ascii="Garamond" w:hAnsi="Garamond" w:cs="Times New Roman"/>
          <w:color w:val="000000"/>
          <w:sz w:val="24"/>
          <w:szCs w:val="24"/>
        </w:rPr>
        <w:t>,</w:t>
      </w:r>
      <w:r w:rsidRPr="000F046C">
        <w:rPr>
          <w:rFonts w:ascii="Garamond" w:hAnsi="Garamond" w:cs="Times New Roman"/>
          <w:color w:val="000000"/>
          <w:sz w:val="24"/>
          <w:szCs w:val="24"/>
        </w:rPr>
        <w:t xml:space="preserve"> sipas normës </w:t>
      </w:r>
      <w:r w:rsidR="00114BF9">
        <w:rPr>
          <w:rFonts w:ascii="Garamond" w:hAnsi="Garamond" w:cs="Times New Roman"/>
          <w:color w:val="000000"/>
          <w:sz w:val="24"/>
          <w:szCs w:val="24"/>
        </w:rPr>
        <w:t>s</w:t>
      </w:r>
      <w:r w:rsidRPr="000F046C">
        <w:rPr>
          <w:rFonts w:ascii="Garamond" w:hAnsi="Garamond" w:cs="Times New Roman"/>
          <w:color w:val="000000"/>
          <w:sz w:val="24"/>
          <w:szCs w:val="24"/>
        </w:rPr>
        <w:t xml:space="preserve">ë njëjtë me normën </w:t>
      </w:r>
      <w:proofErr w:type="spellStart"/>
      <w:r w:rsidRPr="000F046C">
        <w:rPr>
          <w:rFonts w:ascii="Garamond" w:hAnsi="Garamond" w:cs="Times New Roman"/>
          <w:color w:val="000000"/>
          <w:sz w:val="24"/>
          <w:szCs w:val="24"/>
        </w:rPr>
        <w:t>marxhinale</w:t>
      </w:r>
      <w:proofErr w:type="spellEnd"/>
      <w:r w:rsidRPr="000F046C">
        <w:rPr>
          <w:rFonts w:ascii="Garamond" w:hAnsi="Garamond" w:cs="Times New Roman"/>
          <w:color w:val="000000"/>
          <w:sz w:val="24"/>
          <w:szCs w:val="24"/>
        </w:rPr>
        <w:t xml:space="preserve"> të kreditimit të Bankës Qendrore </w:t>
      </w:r>
      <w:r w:rsidR="00114BF9" w:rsidRPr="000F046C">
        <w:rPr>
          <w:rFonts w:ascii="Garamond" w:hAnsi="Garamond" w:cs="Times New Roman"/>
          <w:color w:val="000000"/>
          <w:sz w:val="24"/>
          <w:szCs w:val="24"/>
        </w:rPr>
        <w:t>evropiane</w:t>
      </w:r>
      <w:r w:rsidRPr="000F046C">
        <w:rPr>
          <w:rFonts w:ascii="Garamond" w:hAnsi="Garamond" w:cs="Times New Roman"/>
          <w:color w:val="000000"/>
          <w:sz w:val="24"/>
          <w:szCs w:val="24"/>
        </w:rPr>
        <w:t xml:space="preserve"> gjatë periudhës së mospagimit plus tre pikë përqindje</w:t>
      </w:r>
      <w:r w:rsidR="00114BF9">
        <w:rPr>
          <w:rFonts w:ascii="Garamond" w:hAnsi="Garamond" w:cs="Times New Roman"/>
          <w:color w:val="000000"/>
          <w:sz w:val="24"/>
          <w:szCs w:val="24"/>
        </w:rPr>
        <w:t>je</w:t>
      </w:r>
      <w:r w:rsidRPr="000F046C">
        <w:rPr>
          <w:rFonts w:ascii="Garamond" w:hAnsi="Garamond" w:cs="Times New Roman"/>
          <w:color w:val="000000"/>
          <w:sz w:val="24"/>
          <w:szCs w:val="24"/>
        </w:rPr>
        <w:t>;</w:t>
      </w:r>
    </w:p>
    <w:p w14:paraId="4DC1C45C" w14:textId="059A02CD" w:rsidR="00E830C7" w:rsidRPr="000F046C" w:rsidRDefault="00E830C7" w:rsidP="00E830C7">
      <w:pPr>
        <w:keepNext/>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i/>
          <w:iCs/>
          <w:color w:val="000000"/>
          <w:sz w:val="24"/>
          <w:szCs w:val="24"/>
        </w:rPr>
        <w:t xml:space="preserve">5. </w:t>
      </w:r>
      <w:r w:rsidR="00114BF9" w:rsidRPr="000F046C">
        <w:rPr>
          <w:rFonts w:ascii="Garamond" w:hAnsi="Garamond" w:cs="Times New Roman"/>
          <w:i/>
          <w:iCs/>
          <w:color w:val="000000"/>
          <w:sz w:val="24"/>
          <w:szCs w:val="24"/>
        </w:rPr>
        <w:t>Rrëzon</w:t>
      </w:r>
      <w:r w:rsidR="00114BF9" w:rsidRPr="000F046C">
        <w:rPr>
          <w:rFonts w:ascii="Garamond" w:hAnsi="Garamond" w:cs="Times New Roman"/>
          <w:color w:val="000000"/>
          <w:sz w:val="24"/>
          <w:szCs w:val="24"/>
        </w:rPr>
        <w:t xml:space="preserve"> </w:t>
      </w:r>
      <w:r w:rsidRPr="000F046C">
        <w:rPr>
          <w:rFonts w:ascii="Garamond" w:hAnsi="Garamond" w:cs="Times New Roman"/>
          <w:color w:val="000000"/>
          <w:sz w:val="24"/>
          <w:szCs w:val="24"/>
        </w:rPr>
        <w:t>pjesën tjetër të pretendimit të kërkuesve për shpërblim të drejtë.</w:t>
      </w:r>
    </w:p>
    <w:p w14:paraId="1D96EA85" w14:textId="3C951244" w:rsidR="00E830C7" w:rsidRPr="000F046C" w:rsidRDefault="00E830C7" w:rsidP="00E830C7">
      <w:pPr>
        <w:keepNext/>
        <w:autoSpaceDE w:val="0"/>
        <w:autoSpaceDN w:val="0"/>
        <w:adjustRightInd w:val="0"/>
        <w:spacing w:after="0" w:line="240" w:lineRule="auto"/>
        <w:ind w:firstLine="284"/>
        <w:jc w:val="both"/>
        <w:rPr>
          <w:rFonts w:ascii="Garamond" w:hAnsi="Garamond" w:cs="Times New Roman"/>
          <w:color w:val="000000"/>
          <w:sz w:val="24"/>
          <w:szCs w:val="24"/>
        </w:rPr>
      </w:pPr>
      <w:r w:rsidRPr="000F046C">
        <w:rPr>
          <w:rFonts w:ascii="Garamond" w:hAnsi="Garamond" w:cs="Times New Roman"/>
          <w:color w:val="000000"/>
          <w:sz w:val="24"/>
          <w:szCs w:val="24"/>
        </w:rPr>
        <w:t xml:space="preserve">Bërë në gjuhën angleze dhe njoftuar me shkrim më 31 mars 2026 sipas </w:t>
      </w:r>
      <w:r w:rsidR="00114BF9" w:rsidRPr="000F046C">
        <w:rPr>
          <w:rFonts w:ascii="Garamond" w:hAnsi="Garamond" w:cs="Times New Roman"/>
          <w:color w:val="000000"/>
          <w:sz w:val="24"/>
          <w:szCs w:val="24"/>
        </w:rPr>
        <w:t xml:space="preserve">rregullit </w:t>
      </w:r>
      <w:r w:rsidRPr="000F046C">
        <w:rPr>
          <w:rFonts w:ascii="Garamond" w:hAnsi="Garamond" w:cs="Times New Roman"/>
          <w:color w:val="000000"/>
          <w:sz w:val="24"/>
          <w:szCs w:val="24"/>
        </w:rPr>
        <w:t>77 §§ 2 dhe 3 të Rregullores së Gjykatës.</w:t>
      </w:r>
    </w:p>
    <w:p w14:paraId="41AFB5C6" w14:textId="7E3876ED" w:rsidR="00E830C7" w:rsidRPr="000F046C" w:rsidRDefault="00E830C7" w:rsidP="00E830C7">
      <w:pPr>
        <w:keepNext/>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rPr>
      </w:pPr>
      <w:r w:rsidRPr="000F046C">
        <w:rPr>
          <w:rFonts w:ascii="Garamond" w:hAnsi="Garamond" w:cs="Times New Roman"/>
          <w:color w:val="FFFFFF"/>
          <w:sz w:val="24"/>
          <w:szCs w:val="24"/>
        </w:rPr>
        <w:t xml:space="preserve"> </w:t>
      </w:r>
    </w:p>
    <w:p w14:paraId="2A04789A" w14:textId="1CEB6361" w:rsidR="00E830C7" w:rsidRPr="000F046C" w:rsidRDefault="00E830C7" w:rsidP="000F046C">
      <w:pPr>
        <w:keepNext/>
        <w:tabs>
          <w:tab w:val="center" w:pos="1400"/>
          <w:tab w:val="center" w:pos="5940"/>
        </w:tabs>
        <w:autoSpaceDE w:val="0"/>
        <w:autoSpaceDN w:val="0"/>
        <w:adjustRightInd w:val="0"/>
        <w:spacing w:after="0" w:line="240" w:lineRule="auto"/>
        <w:ind w:firstLine="284"/>
        <w:jc w:val="right"/>
        <w:rPr>
          <w:rFonts w:ascii="Garamond" w:hAnsi="Garamond" w:cs="Times New Roman"/>
          <w:b/>
          <w:color w:val="000000"/>
          <w:sz w:val="24"/>
          <w:szCs w:val="24"/>
        </w:rPr>
      </w:pPr>
      <w:proofErr w:type="spellStart"/>
      <w:r w:rsidRPr="000F046C">
        <w:rPr>
          <w:rFonts w:ascii="Garamond" w:hAnsi="Garamond" w:cs="Times New Roman"/>
          <w:b/>
          <w:color w:val="000000"/>
          <w:sz w:val="24"/>
          <w:szCs w:val="24"/>
        </w:rPr>
        <w:t>Olga</w:t>
      </w:r>
      <w:proofErr w:type="spellEnd"/>
      <w:r w:rsidRPr="000F046C">
        <w:rPr>
          <w:rFonts w:ascii="Garamond" w:hAnsi="Garamond" w:cs="Times New Roman"/>
          <w:b/>
          <w:color w:val="000000"/>
          <w:sz w:val="24"/>
          <w:szCs w:val="24"/>
        </w:rPr>
        <w:t xml:space="preserve"> </w:t>
      </w:r>
      <w:proofErr w:type="spellStart"/>
      <w:r w:rsidRPr="000F046C">
        <w:rPr>
          <w:rFonts w:ascii="Garamond" w:hAnsi="Garamond" w:cs="Times New Roman"/>
          <w:b/>
          <w:color w:val="000000"/>
          <w:sz w:val="24"/>
          <w:szCs w:val="24"/>
        </w:rPr>
        <w:t>Chernishova</w:t>
      </w:r>
      <w:proofErr w:type="spellEnd"/>
      <w:r w:rsidRPr="000F046C">
        <w:rPr>
          <w:rFonts w:ascii="Garamond" w:hAnsi="Garamond" w:cs="Times New Roman"/>
          <w:b/>
          <w:color w:val="000000"/>
          <w:sz w:val="24"/>
          <w:szCs w:val="24"/>
        </w:rPr>
        <w:t xml:space="preserve"> </w:t>
      </w:r>
    </w:p>
    <w:p w14:paraId="1B4A26AE" w14:textId="2186C41A" w:rsidR="00E830C7" w:rsidRPr="000F046C" w:rsidRDefault="000F046C" w:rsidP="000F046C">
      <w:pPr>
        <w:keepNext/>
        <w:tabs>
          <w:tab w:val="center" w:pos="1400"/>
          <w:tab w:val="center" w:pos="5940"/>
        </w:tabs>
        <w:autoSpaceDE w:val="0"/>
        <w:autoSpaceDN w:val="0"/>
        <w:adjustRightInd w:val="0"/>
        <w:spacing w:after="0" w:line="240" w:lineRule="auto"/>
        <w:ind w:firstLine="284"/>
        <w:jc w:val="right"/>
        <w:rPr>
          <w:rFonts w:ascii="Garamond" w:hAnsi="Garamond" w:cs="Times New Roman"/>
          <w:color w:val="000000"/>
          <w:sz w:val="24"/>
          <w:szCs w:val="24"/>
        </w:rPr>
      </w:pPr>
      <w:r w:rsidRPr="000F046C">
        <w:rPr>
          <w:rFonts w:ascii="Garamond" w:hAnsi="Garamond" w:cs="Times New Roman"/>
          <w:color w:val="000000"/>
          <w:sz w:val="24"/>
          <w:szCs w:val="24"/>
        </w:rPr>
        <w:t>PRESIDENT</w:t>
      </w:r>
    </w:p>
    <w:p w14:paraId="6FCFBC7E" w14:textId="77777777" w:rsidR="00E830C7" w:rsidRPr="000F046C" w:rsidRDefault="00E830C7" w:rsidP="000F046C">
      <w:pPr>
        <w:keepNext/>
        <w:tabs>
          <w:tab w:val="center" w:pos="1400"/>
          <w:tab w:val="center" w:pos="5940"/>
        </w:tabs>
        <w:autoSpaceDE w:val="0"/>
        <w:autoSpaceDN w:val="0"/>
        <w:adjustRightInd w:val="0"/>
        <w:spacing w:after="0" w:line="240" w:lineRule="auto"/>
        <w:ind w:firstLine="284"/>
        <w:jc w:val="right"/>
        <w:rPr>
          <w:rFonts w:ascii="Garamond" w:hAnsi="Garamond" w:cs="Times New Roman"/>
          <w:color w:val="000000"/>
          <w:sz w:val="24"/>
          <w:szCs w:val="24"/>
        </w:rPr>
      </w:pPr>
    </w:p>
    <w:p w14:paraId="0CDD5562" w14:textId="16665B78" w:rsidR="00E830C7" w:rsidRPr="000F046C" w:rsidRDefault="00E830C7" w:rsidP="000F046C">
      <w:pPr>
        <w:keepNext/>
        <w:tabs>
          <w:tab w:val="center" w:pos="1400"/>
          <w:tab w:val="center" w:pos="5940"/>
        </w:tabs>
        <w:autoSpaceDE w:val="0"/>
        <w:autoSpaceDN w:val="0"/>
        <w:adjustRightInd w:val="0"/>
        <w:spacing w:after="0" w:line="240" w:lineRule="auto"/>
        <w:ind w:firstLine="284"/>
        <w:jc w:val="right"/>
        <w:rPr>
          <w:rFonts w:ascii="Garamond" w:hAnsi="Garamond" w:cs="Times New Roman"/>
          <w:b/>
          <w:color w:val="000000"/>
          <w:sz w:val="24"/>
          <w:szCs w:val="24"/>
        </w:rPr>
      </w:pPr>
      <w:proofErr w:type="spellStart"/>
      <w:r w:rsidRPr="000F046C">
        <w:rPr>
          <w:rFonts w:ascii="Garamond" w:hAnsi="Garamond" w:cs="Times New Roman"/>
          <w:b/>
          <w:color w:val="000000"/>
          <w:sz w:val="24"/>
          <w:szCs w:val="24"/>
        </w:rPr>
        <w:t>Úna</w:t>
      </w:r>
      <w:proofErr w:type="spellEnd"/>
      <w:r w:rsidRPr="000F046C">
        <w:rPr>
          <w:rFonts w:ascii="Garamond" w:hAnsi="Garamond" w:cs="Times New Roman"/>
          <w:b/>
          <w:color w:val="000000"/>
          <w:sz w:val="24"/>
          <w:szCs w:val="24"/>
        </w:rPr>
        <w:t xml:space="preserve"> </w:t>
      </w:r>
      <w:proofErr w:type="spellStart"/>
      <w:r w:rsidRPr="000F046C">
        <w:rPr>
          <w:rFonts w:ascii="Garamond" w:hAnsi="Garamond" w:cs="Times New Roman"/>
          <w:b/>
          <w:color w:val="000000"/>
          <w:sz w:val="24"/>
          <w:szCs w:val="24"/>
        </w:rPr>
        <w:t>Ní</w:t>
      </w:r>
      <w:proofErr w:type="spellEnd"/>
      <w:r w:rsidRPr="000F046C">
        <w:rPr>
          <w:rFonts w:ascii="Garamond" w:hAnsi="Garamond" w:cs="Times New Roman"/>
          <w:b/>
          <w:color w:val="000000"/>
          <w:sz w:val="24"/>
          <w:szCs w:val="24"/>
        </w:rPr>
        <w:t xml:space="preserve"> </w:t>
      </w:r>
      <w:proofErr w:type="spellStart"/>
      <w:r w:rsidRPr="000F046C">
        <w:rPr>
          <w:rFonts w:ascii="Garamond" w:hAnsi="Garamond" w:cs="Times New Roman"/>
          <w:b/>
          <w:color w:val="000000"/>
          <w:sz w:val="24"/>
          <w:szCs w:val="24"/>
        </w:rPr>
        <w:t>Raifeartaigh</w:t>
      </w:r>
      <w:proofErr w:type="spellEnd"/>
    </w:p>
    <w:p w14:paraId="22214C06" w14:textId="7B15D14C" w:rsidR="00E830C7" w:rsidRPr="000F046C" w:rsidRDefault="000F046C" w:rsidP="000F046C">
      <w:pPr>
        <w:keepNext/>
        <w:tabs>
          <w:tab w:val="center" w:pos="1400"/>
          <w:tab w:val="center" w:pos="5940"/>
        </w:tabs>
        <w:autoSpaceDE w:val="0"/>
        <w:autoSpaceDN w:val="0"/>
        <w:adjustRightInd w:val="0"/>
        <w:spacing w:after="0" w:line="240" w:lineRule="auto"/>
        <w:ind w:firstLine="284"/>
        <w:jc w:val="right"/>
        <w:rPr>
          <w:rFonts w:ascii="Garamond" w:hAnsi="Garamond" w:cs="Times New Roman"/>
          <w:color w:val="000000"/>
          <w:sz w:val="24"/>
          <w:szCs w:val="24"/>
        </w:rPr>
      </w:pPr>
      <w:r w:rsidRPr="000F046C">
        <w:rPr>
          <w:rFonts w:ascii="Garamond" w:hAnsi="Garamond" w:cs="Times New Roman"/>
          <w:color w:val="000000"/>
          <w:sz w:val="24"/>
          <w:szCs w:val="24"/>
        </w:rPr>
        <w:t xml:space="preserve">ZËVENDËSKANCELAR NË DETYRË </w:t>
      </w:r>
    </w:p>
    <w:p w14:paraId="450DC436" w14:textId="33B6BA68" w:rsidR="00E830C7" w:rsidRPr="000F046C" w:rsidRDefault="00E830C7" w:rsidP="000F046C">
      <w:pPr>
        <w:spacing w:after="0" w:line="240" w:lineRule="auto"/>
        <w:ind w:firstLine="284"/>
        <w:jc w:val="right"/>
        <w:rPr>
          <w:rFonts w:ascii="Garamond" w:hAnsi="Garamond"/>
          <w:b/>
          <w:sz w:val="24"/>
          <w:szCs w:val="24"/>
        </w:rPr>
      </w:pPr>
    </w:p>
    <w:p w14:paraId="311B458C" w14:textId="77777777" w:rsidR="000F046C" w:rsidRPr="000F046C" w:rsidRDefault="000F046C" w:rsidP="006866D1">
      <w:pPr>
        <w:spacing w:after="0" w:line="240" w:lineRule="auto"/>
        <w:ind w:firstLine="284"/>
        <w:jc w:val="center"/>
        <w:rPr>
          <w:rFonts w:ascii="Garamond" w:hAnsi="Garamond"/>
          <w:b/>
          <w:sz w:val="24"/>
          <w:szCs w:val="24"/>
        </w:rPr>
      </w:pPr>
    </w:p>
    <w:p w14:paraId="2646E115" w14:textId="77777777" w:rsidR="000F046C" w:rsidRPr="000F046C" w:rsidRDefault="000F046C" w:rsidP="006866D1">
      <w:pPr>
        <w:spacing w:after="0" w:line="240" w:lineRule="auto"/>
        <w:ind w:firstLine="284"/>
        <w:jc w:val="center"/>
        <w:rPr>
          <w:rFonts w:ascii="Garamond" w:hAnsi="Garamond"/>
          <w:b/>
          <w:sz w:val="24"/>
          <w:szCs w:val="24"/>
        </w:rPr>
      </w:pPr>
    </w:p>
    <w:p w14:paraId="0D5BBDFF" w14:textId="77777777" w:rsidR="000F046C" w:rsidRPr="000F046C" w:rsidRDefault="000F046C" w:rsidP="006866D1">
      <w:pPr>
        <w:spacing w:after="0" w:line="240" w:lineRule="auto"/>
        <w:ind w:firstLine="284"/>
        <w:jc w:val="center"/>
        <w:rPr>
          <w:rFonts w:ascii="Garamond" w:hAnsi="Garamond"/>
          <w:b/>
          <w:sz w:val="24"/>
          <w:szCs w:val="24"/>
        </w:rPr>
      </w:pPr>
    </w:p>
    <w:p w14:paraId="48B6B05C" w14:textId="77777777" w:rsidR="000F046C" w:rsidRPr="000F046C" w:rsidRDefault="000F046C" w:rsidP="006866D1">
      <w:pPr>
        <w:spacing w:after="0" w:line="240" w:lineRule="auto"/>
        <w:ind w:firstLine="284"/>
        <w:jc w:val="center"/>
        <w:rPr>
          <w:rFonts w:ascii="Garamond" w:hAnsi="Garamond"/>
          <w:b/>
          <w:sz w:val="24"/>
          <w:szCs w:val="24"/>
        </w:rPr>
      </w:pPr>
    </w:p>
    <w:p w14:paraId="0419EEE4" w14:textId="464B989D" w:rsidR="006866D1" w:rsidRPr="000F046C" w:rsidRDefault="006866D1" w:rsidP="006866D1">
      <w:pPr>
        <w:spacing w:after="0" w:line="240" w:lineRule="auto"/>
        <w:ind w:firstLine="284"/>
        <w:jc w:val="center"/>
        <w:rPr>
          <w:rFonts w:ascii="Garamond" w:hAnsi="Garamond"/>
          <w:b/>
          <w:sz w:val="24"/>
          <w:szCs w:val="24"/>
        </w:rPr>
      </w:pPr>
      <w:r w:rsidRPr="000F046C">
        <w:rPr>
          <w:rFonts w:ascii="Garamond" w:hAnsi="Garamond"/>
          <w:b/>
          <w:sz w:val="24"/>
          <w:szCs w:val="24"/>
        </w:rPr>
        <w:lastRenderedPageBreak/>
        <w:t>SHTOJCË</w:t>
      </w:r>
    </w:p>
    <w:p w14:paraId="5D2AA370" w14:textId="47CCE8D0" w:rsidR="006866D1" w:rsidRPr="000F046C" w:rsidRDefault="006866D1" w:rsidP="006866D1">
      <w:pPr>
        <w:spacing w:after="0" w:line="240" w:lineRule="auto"/>
        <w:ind w:firstLine="284"/>
        <w:jc w:val="center"/>
        <w:rPr>
          <w:rFonts w:ascii="Garamond" w:hAnsi="Garamond"/>
          <w:b/>
          <w:sz w:val="24"/>
          <w:szCs w:val="24"/>
        </w:rPr>
      </w:pPr>
    </w:p>
    <w:tbl>
      <w:tblPr>
        <w:tblStyle w:val="ECHRListTable"/>
        <w:tblW w:w="0" w:type="auto"/>
        <w:jc w:val="center"/>
        <w:tblLook w:val="0420" w:firstRow="1" w:lastRow="0" w:firstColumn="0" w:lastColumn="0" w:noHBand="0" w:noVBand="1"/>
      </w:tblPr>
      <w:tblGrid>
        <w:gridCol w:w="506"/>
        <w:gridCol w:w="1220"/>
        <w:gridCol w:w="1237"/>
        <w:gridCol w:w="1471"/>
        <w:gridCol w:w="1382"/>
        <w:gridCol w:w="1435"/>
        <w:gridCol w:w="1765"/>
      </w:tblGrid>
      <w:tr w:rsidR="00A217FF" w:rsidRPr="000F046C" w14:paraId="3D695D16" w14:textId="77777777" w:rsidTr="000F046C">
        <w:trPr>
          <w:cnfStyle w:val="100000000000" w:firstRow="1" w:lastRow="0" w:firstColumn="0" w:lastColumn="0" w:oddVBand="0" w:evenVBand="0" w:oddHBand="0" w:evenHBand="0" w:firstRowFirstColumn="0" w:firstRowLastColumn="0" w:lastRowFirstColumn="0" w:lastRowLastColumn="0"/>
          <w:trHeight w:val="144"/>
          <w:jc w:val="center"/>
        </w:trPr>
        <w:tc>
          <w:tcPr>
            <w:tcW w:w="0" w:type="auto"/>
            <w:vAlign w:val="center"/>
            <w:hideMark/>
          </w:tcPr>
          <w:p w14:paraId="6723F885"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Nr.</w:t>
            </w:r>
          </w:p>
        </w:tc>
        <w:tc>
          <w:tcPr>
            <w:tcW w:w="0" w:type="auto"/>
            <w:vAlign w:val="center"/>
          </w:tcPr>
          <w:p w14:paraId="6A01E253"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Kërkesa nr.</w:t>
            </w:r>
          </w:p>
          <w:p w14:paraId="65548C73"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Depozituar më</w:t>
            </w:r>
          </w:p>
        </w:tc>
        <w:tc>
          <w:tcPr>
            <w:tcW w:w="0" w:type="auto"/>
            <w:vAlign w:val="center"/>
            <w:hideMark/>
          </w:tcPr>
          <w:p w14:paraId="779D131B"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Emri i çështjes</w:t>
            </w:r>
          </w:p>
        </w:tc>
        <w:tc>
          <w:tcPr>
            <w:tcW w:w="0" w:type="auto"/>
            <w:vAlign w:val="center"/>
            <w:hideMark/>
          </w:tcPr>
          <w:p w14:paraId="5FF2F243"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Kërkues</w:t>
            </w:r>
            <w:r w:rsidRPr="000F046C">
              <w:rPr>
                <w:rFonts w:ascii="Garamond" w:hAnsi="Garamond"/>
                <w:color w:val="000000" w:themeColor="text1"/>
                <w:sz w:val="20"/>
                <w:szCs w:val="20"/>
              </w:rPr>
              <w:br/>
              <w:t>Viti i lindjes</w:t>
            </w:r>
            <w:r w:rsidRPr="000F046C">
              <w:rPr>
                <w:rFonts w:ascii="Garamond" w:hAnsi="Garamond"/>
                <w:color w:val="000000" w:themeColor="text1"/>
                <w:sz w:val="20"/>
                <w:szCs w:val="20"/>
              </w:rPr>
              <w:br/>
              <w:t>Vendi i qëndrimit</w:t>
            </w:r>
            <w:r w:rsidRPr="000F046C">
              <w:rPr>
                <w:rFonts w:ascii="Garamond" w:hAnsi="Garamond"/>
                <w:color w:val="000000" w:themeColor="text1"/>
                <w:sz w:val="20"/>
                <w:szCs w:val="20"/>
              </w:rPr>
              <w:br/>
              <w:t>Shtetësia</w:t>
            </w:r>
          </w:p>
          <w:p w14:paraId="0644CD22" w14:textId="77777777" w:rsidR="00A217FF" w:rsidRPr="000F046C" w:rsidRDefault="00A217FF" w:rsidP="000F046C">
            <w:pPr>
              <w:jc w:val="center"/>
              <w:rPr>
                <w:rFonts w:ascii="Garamond" w:eastAsia="Times New Roman" w:hAnsi="Garamond"/>
                <w:color w:val="000000" w:themeColor="text1"/>
                <w:sz w:val="20"/>
                <w:szCs w:val="20"/>
              </w:rPr>
            </w:pPr>
          </w:p>
        </w:tc>
        <w:tc>
          <w:tcPr>
            <w:tcW w:w="0" w:type="auto"/>
            <w:vAlign w:val="center"/>
            <w:hideMark/>
          </w:tcPr>
          <w:p w14:paraId="187E4E32"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Përfaqësuar nga</w:t>
            </w:r>
          </w:p>
        </w:tc>
        <w:tc>
          <w:tcPr>
            <w:tcW w:w="0" w:type="auto"/>
            <w:vAlign w:val="center"/>
          </w:tcPr>
          <w:p w14:paraId="666CE006" w14:textId="77777777" w:rsidR="000F046C" w:rsidRPr="000F046C" w:rsidRDefault="00A217FF" w:rsidP="000F046C">
            <w:pPr>
              <w:jc w:val="center"/>
              <w:rPr>
                <w:rFonts w:ascii="Garamond" w:hAnsi="Garamond"/>
                <w:b w:val="0"/>
                <w:color w:val="000000" w:themeColor="text1"/>
                <w:sz w:val="20"/>
                <w:szCs w:val="20"/>
              </w:rPr>
            </w:pPr>
            <w:r w:rsidRPr="000F046C">
              <w:rPr>
                <w:rFonts w:ascii="Garamond" w:hAnsi="Garamond"/>
                <w:color w:val="000000" w:themeColor="text1"/>
                <w:sz w:val="20"/>
                <w:szCs w:val="20"/>
              </w:rPr>
              <w:t xml:space="preserve">Shuma e shpërblimit të drejtë </w:t>
            </w:r>
          </w:p>
          <w:p w14:paraId="408A9A86" w14:textId="6C507A33"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(në euro)</w:t>
            </w:r>
            <w:r w:rsidRPr="000F046C">
              <w:rPr>
                <w:rStyle w:val="FootnoteReference"/>
                <w:rFonts w:ascii="Garamond" w:eastAsia="Times New Roman" w:hAnsi="Garamond"/>
                <w:color w:val="000000" w:themeColor="text1"/>
                <w:sz w:val="20"/>
                <w:szCs w:val="20"/>
              </w:rPr>
              <w:footnoteReference w:id="2"/>
            </w:r>
          </w:p>
        </w:tc>
        <w:tc>
          <w:tcPr>
            <w:tcW w:w="0" w:type="auto"/>
            <w:vAlign w:val="center"/>
          </w:tcPr>
          <w:p w14:paraId="2056CFA9" w14:textId="77777777" w:rsidR="00A217FF" w:rsidRPr="000F046C" w:rsidRDefault="00A217FF" w:rsidP="000F046C">
            <w:pPr>
              <w:jc w:val="center"/>
              <w:rPr>
                <w:rFonts w:ascii="Garamond" w:eastAsia="Times New Roman" w:hAnsi="Garamond"/>
                <w:color w:val="000000" w:themeColor="text1"/>
                <w:sz w:val="20"/>
                <w:szCs w:val="20"/>
              </w:rPr>
            </w:pPr>
            <w:r w:rsidRPr="000F046C">
              <w:rPr>
                <w:rFonts w:ascii="Garamond" w:hAnsi="Garamond"/>
                <w:color w:val="000000" w:themeColor="text1"/>
                <w:sz w:val="20"/>
                <w:szCs w:val="20"/>
              </w:rPr>
              <w:t>Shuma e kostove dhe shpenzimeve (në euro)</w:t>
            </w:r>
            <w:r w:rsidRPr="000F046C">
              <w:rPr>
                <w:rStyle w:val="FootnoteReference"/>
                <w:rFonts w:ascii="Garamond" w:eastAsia="Times New Roman" w:hAnsi="Garamond"/>
                <w:color w:val="000000" w:themeColor="text1"/>
                <w:sz w:val="20"/>
                <w:szCs w:val="20"/>
              </w:rPr>
              <w:footnoteReference w:id="3"/>
            </w:r>
          </w:p>
        </w:tc>
      </w:tr>
      <w:tr w:rsidR="00A217FF" w:rsidRPr="000F046C" w14:paraId="74CE6017" w14:textId="77777777" w:rsidTr="000F046C">
        <w:trPr>
          <w:trHeight w:val="144"/>
          <w:jc w:val="center"/>
        </w:trPr>
        <w:tc>
          <w:tcPr>
            <w:tcW w:w="0" w:type="auto"/>
            <w:hideMark/>
          </w:tcPr>
          <w:p w14:paraId="0E24F4E7"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1.</w:t>
            </w:r>
          </w:p>
        </w:tc>
        <w:tc>
          <w:tcPr>
            <w:tcW w:w="0" w:type="auto"/>
            <w:vAlign w:val="center"/>
          </w:tcPr>
          <w:p w14:paraId="3AD40893"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17829/23</w:t>
            </w:r>
          </w:p>
          <w:p w14:paraId="7359D441" w14:textId="1A1D2CE8"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27</w:t>
            </w:r>
            <w:r w:rsidR="000F046C" w:rsidRPr="000F046C">
              <w:rPr>
                <w:rFonts w:ascii="Garamond" w:hAnsi="Garamond"/>
                <w:sz w:val="20"/>
                <w:szCs w:val="20"/>
              </w:rPr>
              <w:t>.</w:t>
            </w:r>
            <w:r w:rsidRPr="000F046C">
              <w:rPr>
                <w:rFonts w:ascii="Garamond" w:hAnsi="Garamond"/>
                <w:sz w:val="20"/>
                <w:szCs w:val="20"/>
              </w:rPr>
              <w:t>4</w:t>
            </w:r>
            <w:r w:rsidR="000F046C" w:rsidRPr="000F046C">
              <w:rPr>
                <w:rFonts w:ascii="Garamond" w:hAnsi="Garamond"/>
                <w:sz w:val="20"/>
                <w:szCs w:val="20"/>
              </w:rPr>
              <w:t>.</w:t>
            </w:r>
            <w:r w:rsidRPr="000F046C">
              <w:rPr>
                <w:rFonts w:ascii="Garamond" w:hAnsi="Garamond"/>
                <w:sz w:val="20"/>
                <w:szCs w:val="20"/>
              </w:rPr>
              <w:t>2023</w:t>
            </w:r>
          </w:p>
        </w:tc>
        <w:tc>
          <w:tcPr>
            <w:tcW w:w="0" w:type="auto"/>
            <w:vAlign w:val="center"/>
            <w:hideMark/>
          </w:tcPr>
          <w:p w14:paraId="5830AE2F"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Lepuri kundër Shqipërisë</w:t>
            </w:r>
          </w:p>
        </w:tc>
        <w:tc>
          <w:tcPr>
            <w:tcW w:w="0" w:type="auto"/>
            <w:vAlign w:val="center"/>
            <w:hideMark/>
          </w:tcPr>
          <w:p w14:paraId="5E97228E" w14:textId="77777777" w:rsidR="00A217FF" w:rsidRPr="000F046C" w:rsidRDefault="00A217FF" w:rsidP="000F046C">
            <w:pPr>
              <w:jc w:val="center"/>
              <w:rPr>
                <w:rFonts w:ascii="Garamond" w:eastAsia="Times New Roman" w:hAnsi="Garamond"/>
                <w:sz w:val="20"/>
                <w:szCs w:val="20"/>
              </w:rPr>
            </w:pPr>
            <w:r w:rsidRPr="000F046C">
              <w:rPr>
                <w:rFonts w:ascii="Garamond" w:hAnsi="Garamond"/>
                <w:b/>
                <w:bCs/>
                <w:sz w:val="20"/>
                <w:szCs w:val="20"/>
              </w:rPr>
              <w:t>Mirash LEPURI</w:t>
            </w:r>
            <w:r w:rsidRPr="000F046C">
              <w:rPr>
                <w:rFonts w:ascii="Garamond" w:hAnsi="Garamond"/>
                <w:sz w:val="20"/>
                <w:szCs w:val="20"/>
              </w:rPr>
              <w:br/>
              <w:t>1973</w:t>
            </w:r>
            <w:r w:rsidRPr="000F046C">
              <w:rPr>
                <w:rFonts w:ascii="Garamond" w:hAnsi="Garamond"/>
                <w:sz w:val="20"/>
                <w:szCs w:val="20"/>
              </w:rPr>
              <w:br/>
              <w:t>Shkodër</w:t>
            </w:r>
            <w:r w:rsidRPr="000F046C">
              <w:rPr>
                <w:rFonts w:ascii="Garamond" w:hAnsi="Garamond"/>
                <w:sz w:val="20"/>
                <w:szCs w:val="20"/>
              </w:rPr>
              <w:br/>
              <w:t>Shqiptar</w:t>
            </w:r>
          </w:p>
          <w:p w14:paraId="6715877D"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3FFBA173"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Klodjan</w:t>
            </w:r>
            <w:proofErr w:type="spellEnd"/>
            <w:r w:rsidRPr="000F046C">
              <w:rPr>
                <w:rFonts w:ascii="Garamond" w:hAnsi="Garamond"/>
                <w:sz w:val="20"/>
                <w:szCs w:val="20"/>
              </w:rPr>
              <w:t xml:space="preserve"> RECI</w:t>
            </w:r>
          </w:p>
        </w:tc>
        <w:tc>
          <w:tcPr>
            <w:tcW w:w="0" w:type="auto"/>
            <w:vAlign w:val="center"/>
          </w:tcPr>
          <w:p w14:paraId="336D86DB"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c>
          <w:tcPr>
            <w:tcW w:w="0" w:type="auto"/>
            <w:vAlign w:val="center"/>
          </w:tcPr>
          <w:p w14:paraId="0BDB3D61" w14:textId="77777777" w:rsidR="00A217FF" w:rsidRPr="000F046C" w:rsidRDefault="00A217FF" w:rsidP="000F046C">
            <w:pPr>
              <w:tabs>
                <w:tab w:val="center" w:pos="742"/>
              </w:tabs>
              <w:jc w:val="center"/>
              <w:rPr>
                <w:rFonts w:ascii="Garamond" w:eastAsia="Times New Roman" w:hAnsi="Garamond"/>
                <w:sz w:val="20"/>
                <w:szCs w:val="20"/>
              </w:rPr>
            </w:pPr>
            <w:r w:rsidRPr="000F046C">
              <w:rPr>
                <w:rFonts w:ascii="Garamond" w:hAnsi="Garamond"/>
                <w:sz w:val="20"/>
                <w:szCs w:val="20"/>
              </w:rPr>
              <w:t>-</w:t>
            </w:r>
          </w:p>
        </w:tc>
      </w:tr>
      <w:tr w:rsidR="00A217FF" w:rsidRPr="000F046C" w14:paraId="051DDA70" w14:textId="77777777" w:rsidTr="000F046C">
        <w:trPr>
          <w:trHeight w:val="144"/>
          <w:jc w:val="center"/>
        </w:trPr>
        <w:tc>
          <w:tcPr>
            <w:tcW w:w="0" w:type="auto"/>
            <w:hideMark/>
          </w:tcPr>
          <w:p w14:paraId="2C4958DA"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2.</w:t>
            </w:r>
          </w:p>
        </w:tc>
        <w:tc>
          <w:tcPr>
            <w:tcW w:w="0" w:type="auto"/>
            <w:vAlign w:val="center"/>
          </w:tcPr>
          <w:p w14:paraId="14E27ED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19482/23</w:t>
            </w:r>
          </w:p>
          <w:p w14:paraId="502890D6" w14:textId="08663D6E"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5</w:t>
            </w:r>
            <w:r w:rsidR="000F046C" w:rsidRPr="000F046C">
              <w:rPr>
                <w:rFonts w:ascii="Garamond" w:hAnsi="Garamond"/>
                <w:sz w:val="20"/>
                <w:szCs w:val="20"/>
              </w:rPr>
              <w:t>.</w:t>
            </w:r>
            <w:r w:rsidRPr="000F046C">
              <w:rPr>
                <w:rFonts w:ascii="Garamond" w:hAnsi="Garamond"/>
                <w:sz w:val="20"/>
                <w:szCs w:val="20"/>
              </w:rPr>
              <w:t>5</w:t>
            </w:r>
            <w:r w:rsidR="000F046C" w:rsidRPr="000F046C">
              <w:rPr>
                <w:rFonts w:ascii="Garamond" w:hAnsi="Garamond"/>
                <w:sz w:val="20"/>
                <w:szCs w:val="20"/>
              </w:rPr>
              <w:t>.</w:t>
            </w:r>
            <w:r w:rsidRPr="000F046C">
              <w:rPr>
                <w:rFonts w:ascii="Garamond" w:hAnsi="Garamond"/>
                <w:sz w:val="20"/>
                <w:szCs w:val="20"/>
              </w:rPr>
              <w:t>2023</w:t>
            </w:r>
          </w:p>
        </w:tc>
        <w:tc>
          <w:tcPr>
            <w:tcW w:w="0" w:type="auto"/>
            <w:vAlign w:val="center"/>
            <w:hideMark/>
          </w:tcPr>
          <w:p w14:paraId="3F494B51"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Braho</w:t>
            </w:r>
            <w:proofErr w:type="spellEnd"/>
            <w:r w:rsidRPr="000F046C">
              <w:rPr>
                <w:rFonts w:ascii="Garamond" w:hAnsi="Garamond"/>
                <w:sz w:val="20"/>
                <w:szCs w:val="20"/>
              </w:rPr>
              <w:t xml:space="preserve"> kundër Shqipërisë</w:t>
            </w:r>
          </w:p>
        </w:tc>
        <w:tc>
          <w:tcPr>
            <w:tcW w:w="0" w:type="auto"/>
            <w:vAlign w:val="center"/>
            <w:hideMark/>
          </w:tcPr>
          <w:p w14:paraId="79DB39A4" w14:textId="77777777" w:rsidR="00A217FF" w:rsidRPr="000F046C" w:rsidRDefault="00A217FF" w:rsidP="000F046C">
            <w:pPr>
              <w:jc w:val="center"/>
              <w:rPr>
                <w:rFonts w:ascii="Garamond" w:eastAsia="Times New Roman" w:hAnsi="Garamond"/>
                <w:sz w:val="20"/>
                <w:szCs w:val="20"/>
              </w:rPr>
            </w:pPr>
            <w:r w:rsidRPr="000F046C">
              <w:rPr>
                <w:rFonts w:ascii="Garamond" w:hAnsi="Garamond"/>
                <w:b/>
                <w:bCs/>
                <w:sz w:val="20"/>
                <w:szCs w:val="20"/>
              </w:rPr>
              <w:t>Arian BRAHO</w:t>
            </w:r>
            <w:r w:rsidRPr="000F046C">
              <w:rPr>
                <w:rFonts w:ascii="Garamond" w:hAnsi="Garamond"/>
                <w:sz w:val="20"/>
                <w:szCs w:val="20"/>
              </w:rPr>
              <w:br/>
              <w:t>1970</w:t>
            </w:r>
            <w:r w:rsidRPr="000F046C">
              <w:rPr>
                <w:rFonts w:ascii="Garamond" w:hAnsi="Garamond"/>
                <w:sz w:val="20"/>
                <w:szCs w:val="20"/>
              </w:rPr>
              <w:br/>
              <w:t>Tiranë</w:t>
            </w:r>
            <w:r w:rsidRPr="000F046C">
              <w:rPr>
                <w:rFonts w:ascii="Garamond" w:hAnsi="Garamond"/>
                <w:sz w:val="20"/>
                <w:szCs w:val="20"/>
              </w:rPr>
              <w:br/>
              <w:t>Shqiptar</w:t>
            </w:r>
          </w:p>
          <w:p w14:paraId="6A3F32E6"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1590982B"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Gentian NEBIAJ</w:t>
            </w:r>
          </w:p>
        </w:tc>
        <w:tc>
          <w:tcPr>
            <w:tcW w:w="0" w:type="auto"/>
            <w:vAlign w:val="center"/>
          </w:tcPr>
          <w:p w14:paraId="672A71B3"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3.600</w:t>
            </w:r>
          </w:p>
        </w:tc>
        <w:tc>
          <w:tcPr>
            <w:tcW w:w="0" w:type="auto"/>
            <w:vAlign w:val="center"/>
          </w:tcPr>
          <w:p w14:paraId="6258D630"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2.000</w:t>
            </w:r>
          </w:p>
        </w:tc>
      </w:tr>
      <w:tr w:rsidR="00A217FF" w:rsidRPr="000F046C" w14:paraId="0FFFDC5E" w14:textId="77777777" w:rsidTr="000F046C">
        <w:trPr>
          <w:trHeight w:val="144"/>
          <w:jc w:val="center"/>
        </w:trPr>
        <w:tc>
          <w:tcPr>
            <w:tcW w:w="0" w:type="auto"/>
            <w:hideMark/>
          </w:tcPr>
          <w:p w14:paraId="6551BCD9"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3.</w:t>
            </w:r>
          </w:p>
        </w:tc>
        <w:tc>
          <w:tcPr>
            <w:tcW w:w="0" w:type="auto"/>
            <w:vAlign w:val="center"/>
          </w:tcPr>
          <w:p w14:paraId="0BC6B99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19983/23</w:t>
            </w:r>
          </w:p>
          <w:p w14:paraId="61CA606B" w14:textId="6DBEDDCD"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12</w:t>
            </w:r>
            <w:r w:rsidR="000F046C" w:rsidRPr="000F046C">
              <w:rPr>
                <w:rFonts w:ascii="Garamond" w:hAnsi="Garamond"/>
                <w:sz w:val="20"/>
                <w:szCs w:val="20"/>
              </w:rPr>
              <w:t>.</w:t>
            </w:r>
            <w:r w:rsidRPr="000F046C">
              <w:rPr>
                <w:rFonts w:ascii="Garamond" w:hAnsi="Garamond"/>
                <w:sz w:val="20"/>
                <w:szCs w:val="20"/>
              </w:rPr>
              <w:t>5</w:t>
            </w:r>
            <w:r w:rsidR="000F046C" w:rsidRPr="000F046C">
              <w:rPr>
                <w:rFonts w:ascii="Garamond" w:hAnsi="Garamond"/>
                <w:sz w:val="20"/>
                <w:szCs w:val="20"/>
              </w:rPr>
              <w:t>.</w:t>
            </w:r>
            <w:r w:rsidRPr="000F046C">
              <w:rPr>
                <w:rFonts w:ascii="Garamond" w:hAnsi="Garamond"/>
                <w:sz w:val="20"/>
                <w:szCs w:val="20"/>
              </w:rPr>
              <w:t>2023</w:t>
            </w:r>
          </w:p>
        </w:tc>
        <w:tc>
          <w:tcPr>
            <w:tcW w:w="0" w:type="auto"/>
            <w:vAlign w:val="center"/>
            <w:hideMark/>
          </w:tcPr>
          <w:p w14:paraId="2BE1DA2A"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Kule kundër Shqipërisë</w:t>
            </w:r>
          </w:p>
        </w:tc>
        <w:tc>
          <w:tcPr>
            <w:tcW w:w="0" w:type="auto"/>
            <w:vAlign w:val="center"/>
            <w:hideMark/>
          </w:tcPr>
          <w:p w14:paraId="127B4950"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b/>
                <w:bCs/>
                <w:sz w:val="20"/>
                <w:szCs w:val="20"/>
              </w:rPr>
              <w:t>Perikli</w:t>
            </w:r>
            <w:proofErr w:type="spellEnd"/>
            <w:r w:rsidRPr="000F046C">
              <w:rPr>
                <w:rFonts w:ascii="Garamond" w:hAnsi="Garamond"/>
                <w:b/>
                <w:bCs/>
                <w:sz w:val="20"/>
                <w:szCs w:val="20"/>
              </w:rPr>
              <w:t xml:space="preserve"> KULE</w:t>
            </w:r>
            <w:r w:rsidRPr="000F046C">
              <w:rPr>
                <w:rFonts w:ascii="Garamond" w:hAnsi="Garamond"/>
                <w:sz w:val="20"/>
                <w:szCs w:val="20"/>
              </w:rPr>
              <w:br/>
              <w:t>1968</w:t>
            </w:r>
            <w:r w:rsidRPr="000F046C">
              <w:rPr>
                <w:rFonts w:ascii="Garamond" w:hAnsi="Garamond"/>
                <w:sz w:val="20"/>
                <w:szCs w:val="20"/>
              </w:rPr>
              <w:br/>
              <w:t>Korçë</w:t>
            </w:r>
            <w:r w:rsidRPr="000F046C">
              <w:rPr>
                <w:rFonts w:ascii="Garamond" w:hAnsi="Garamond"/>
                <w:sz w:val="20"/>
                <w:szCs w:val="20"/>
              </w:rPr>
              <w:br/>
              <w:t>Shqiptar</w:t>
            </w:r>
          </w:p>
          <w:p w14:paraId="1EB8438D"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1E0448A0"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Gianluca</w:t>
            </w:r>
            <w:proofErr w:type="spellEnd"/>
            <w:r w:rsidRPr="000F046C">
              <w:rPr>
                <w:rFonts w:ascii="Garamond" w:hAnsi="Garamond"/>
                <w:sz w:val="20"/>
                <w:szCs w:val="20"/>
              </w:rPr>
              <w:t xml:space="preserve"> PIEMONTE</w:t>
            </w:r>
          </w:p>
        </w:tc>
        <w:tc>
          <w:tcPr>
            <w:tcW w:w="0" w:type="auto"/>
            <w:vAlign w:val="center"/>
          </w:tcPr>
          <w:p w14:paraId="2562D1C8"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3.600</w:t>
            </w:r>
          </w:p>
        </w:tc>
        <w:tc>
          <w:tcPr>
            <w:tcW w:w="0" w:type="auto"/>
            <w:vAlign w:val="center"/>
          </w:tcPr>
          <w:p w14:paraId="5B16AD3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r>
      <w:tr w:rsidR="00A217FF" w:rsidRPr="000F046C" w14:paraId="4287AE03" w14:textId="77777777" w:rsidTr="000F046C">
        <w:trPr>
          <w:trHeight w:val="144"/>
          <w:jc w:val="center"/>
        </w:trPr>
        <w:tc>
          <w:tcPr>
            <w:tcW w:w="0" w:type="auto"/>
            <w:hideMark/>
          </w:tcPr>
          <w:p w14:paraId="65B5BD44"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4.</w:t>
            </w:r>
          </w:p>
        </w:tc>
        <w:tc>
          <w:tcPr>
            <w:tcW w:w="0" w:type="auto"/>
            <w:vAlign w:val="center"/>
          </w:tcPr>
          <w:p w14:paraId="082ABF9C"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26353/23</w:t>
            </w:r>
          </w:p>
          <w:p w14:paraId="6B057858" w14:textId="0784CACF"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28</w:t>
            </w:r>
            <w:r w:rsidR="000F046C" w:rsidRPr="000F046C">
              <w:rPr>
                <w:rFonts w:ascii="Garamond" w:hAnsi="Garamond"/>
                <w:sz w:val="20"/>
                <w:szCs w:val="20"/>
              </w:rPr>
              <w:t>.</w:t>
            </w:r>
            <w:r w:rsidRPr="000F046C">
              <w:rPr>
                <w:rFonts w:ascii="Garamond" w:hAnsi="Garamond"/>
                <w:sz w:val="20"/>
                <w:szCs w:val="20"/>
              </w:rPr>
              <w:t>6</w:t>
            </w:r>
            <w:r w:rsidR="000F046C" w:rsidRPr="000F046C">
              <w:rPr>
                <w:rFonts w:ascii="Garamond" w:hAnsi="Garamond"/>
                <w:sz w:val="20"/>
                <w:szCs w:val="20"/>
              </w:rPr>
              <w:t>.</w:t>
            </w:r>
            <w:r w:rsidRPr="000F046C">
              <w:rPr>
                <w:rFonts w:ascii="Garamond" w:hAnsi="Garamond"/>
                <w:sz w:val="20"/>
                <w:szCs w:val="20"/>
              </w:rPr>
              <w:t>2023</w:t>
            </w:r>
          </w:p>
        </w:tc>
        <w:tc>
          <w:tcPr>
            <w:tcW w:w="0" w:type="auto"/>
            <w:vAlign w:val="center"/>
            <w:hideMark/>
          </w:tcPr>
          <w:p w14:paraId="4BE6BC68"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Malltezi</w:t>
            </w:r>
            <w:proofErr w:type="spellEnd"/>
            <w:r w:rsidRPr="000F046C">
              <w:rPr>
                <w:rFonts w:ascii="Garamond" w:hAnsi="Garamond"/>
                <w:sz w:val="20"/>
                <w:szCs w:val="20"/>
              </w:rPr>
              <w:t xml:space="preserve"> kundër Shqipërisë</w:t>
            </w:r>
          </w:p>
        </w:tc>
        <w:tc>
          <w:tcPr>
            <w:tcW w:w="0" w:type="auto"/>
            <w:vAlign w:val="center"/>
            <w:hideMark/>
          </w:tcPr>
          <w:p w14:paraId="6DD6C61C"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b/>
                <w:bCs/>
                <w:sz w:val="20"/>
                <w:szCs w:val="20"/>
              </w:rPr>
              <w:t>Jamarber</w:t>
            </w:r>
            <w:proofErr w:type="spellEnd"/>
            <w:r w:rsidRPr="000F046C">
              <w:rPr>
                <w:rFonts w:ascii="Garamond" w:hAnsi="Garamond"/>
                <w:b/>
                <w:bCs/>
                <w:sz w:val="20"/>
                <w:szCs w:val="20"/>
              </w:rPr>
              <w:t xml:space="preserve"> MALLTEZI</w:t>
            </w:r>
            <w:r w:rsidRPr="000F046C">
              <w:rPr>
                <w:rFonts w:ascii="Garamond" w:hAnsi="Garamond"/>
                <w:sz w:val="20"/>
                <w:szCs w:val="20"/>
              </w:rPr>
              <w:br/>
              <w:t>1972</w:t>
            </w:r>
            <w:r w:rsidRPr="000F046C">
              <w:rPr>
                <w:rFonts w:ascii="Garamond" w:hAnsi="Garamond"/>
                <w:sz w:val="20"/>
                <w:szCs w:val="20"/>
              </w:rPr>
              <w:br/>
              <w:t>Tiranë</w:t>
            </w:r>
            <w:r w:rsidRPr="000F046C">
              <w:rPr>
                <w:rFonts w:ascii="Garamond" w:hAnsi="Garamond"/>
                <w:sz w:val="20"/>
                <w:szCs w:val="20"/>
              </w:rPr>
              <w:br/>
              <w:t>Shqiptar</w:t>
            </w:r>
          </w:p>
          <w:p w14:paraId="637B0253"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0115288F"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Ledi</w:t>
            </w:r>
            <w:proofErr w:type="spellEnd"/>
            <w:r w:rsidRPr="000F046C">
              <w:rPr>
                <w:rFonts w:ascii="Garamond" w:hAnsi="Garamond"/>
                <w:sz w:val="20"/>
                <w:szCs w:val="20"/>
              </w:rPr>
              <w:t xml:space="preserve"> BIANKU</w:t>
            </w:r>
          </w:p>
        </w:tc>
        <w:tc>
          <w:tcPr>
            <w:tcW w:w="0" w:type="auto"/>
            <w:vAlign w:val="center"/>
          </w:tcPr>
          <w:p w14:paraId="23C1B9D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3.600</w:t>
            </w:r>
          </w:p>
        </w:tc>
        <w:tc>
          <w:tcPr>
            <w:tcW w:w="0" w:type="auto"/>
            <w:vAlign w:val="center"/>
          </w:tcPr>
          <w:p w14:paraId="5A030FF2"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2.000</w:t>
            </w:r>
          </w:p>
        </w:tc>
      </w:tr>
      <w:tr w:rsidR="00A217FF" w:rsidRPr="000F046C" w14:paraId="6ECEE874" w14:textId="77777777" w:rsidTr="000F046C">
        <w:trPr>
          <w:trHeight w:val="144"/>
          <w:jc w:val="center"/>
        </w:trPr>
        <w:tc>
          <w:tcPr>
            <w:tcW w:w="0" w:type="auto"/>
            <w:hideMark/>
          </w:tcPr>
          <w:p w14:paraId="6A2B8B3E"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5.</w:t>
            </w:r>
          </w:p>
        </w:tc>
        <w:tc>
          <w:tcPr>
            <w:tcW w:w="0" w:type="auto"/>
            <w:vAlign w:val="center"/>
          </w:tcPr>
          <w:p w14:paraId="2389C7C8"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38576/23</w:t>
            </w:r>
          </w:p>
          <w:p w14:paraId="77C1F99A" w14:textId="4B62A570"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18</w:t>
            </w:r>
            <w:r w:rsidR="000F046C" w:rsidRPr="000F046C">
              <w:rPr>
                <w:rFonts w:ascii="Garamond" w:hAnsi="Garamond"/>
                <w:sz w:val="20"/>
                <w:szCs w:val="20"/>
              </w:rPr>
              <w:t>.</w:t>
            </w:r>
            <w:r w:rsidRPr="000F046C">
              <w:rPr>
                <w:rFonts w:ascii="Garamond" w:hAnsi="Garamond"/>
                <w:sz w:val="20"/>
                <w:szCs w:val="20"/>
              </w:rPr>
              <w:t>10</w:t>
            </w:r>
            <w:r w:rsidR="000F046C" w:rsidRPr="000F046C">
              <w:rPr>
                <w:rFonts w:ascii="Garamond" w:hAnsi="Garamond"/>
                <w:sz w:val="20"/>
                <w:szCs w:val="20"/>
              </w:rPr>
              <w:t>.</w:t>
            </w:r>
            <w:r w:rsidRPr="000F046C">
              <w:rPr>
                <w:rFonts w:ascii="Garamond" w:hAnsi="Garamond"/>
                <w:sz w:val="20"/>
                <w:szCs w:val="20"/>
              </w:rPr>
              <w:t>2023</w:t>
            </w:r>
          </w:p>
        </w:tc>
        <w:tc>
          <w:tcPr>
            <w:tcW w:w="0" w:type="auto"/>
            <w:vAlign w:val="center"/>
            <w:hideMark/>
          </w:tcPr>
          <w:p w14:paraId="679180C1"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Guralumi</w:t>
            </w:r>
            <w:proofErr w:type="spellEnd"/>
            <w:r w:rsidRPr="000F046C">
              <w:rPr>
                <w:rFonts w:ascii="Garamond" w:hAnsi="Garamond"/>
                <w:sz w:val="20"/>
                <w:szCs w:val="20"/>
              </w:rPr>
              <w:t xml:space="preserve"> kundër Shqipërisë</w:t>
            </w:r>
          </w:p>
        </w:tc>
        <w:tc>
          <w:tcPr>
            <w:tcW w:w="0" w:type="auto"/>
            <w:vAlign w:val="center"/>
            <w:hideMark/>
          </w:tcPr>
          <w:p w14:paraId="54055709" w14:textId="77777777" w:rsidR="00A217FF" w:rsidRPr="000F046C" w:rsidRDefault="00A217FF" w:rsidP="000F046C">
            <w:pPr>
              <w:jc w:val="center"/>
              <w:rPr>
                <w:rFonts w:ascii="Garamond" w:eastAsia="Times New Roman" w:hAnsi="Garamond"/>
                <w:sz w:val="20"/>
                <w:szCs w:val="20"/>
              </w:rPr>
            </w:pPr>
            <w:r w:rsidRPr="000F046C">
              <w:rPr>
                <w:rFonts w:ascii="Garamond" w:hAnsi="Garamond"/>
                <w:b/>
                <w:bCs/>
                <w:sz w:val="20"/>
                <w:szCs w:val="20"/>
              </w:rPr>
              <w:t>Margarita GURALUMI</w:t>
            </w:r>
            <w:r w:rsidRPr="000F046C">
              <w:rPr>
                <w:rFonts w:ascii="Garamond" w:hAnsi="Garamond"/>
                <w:sz w:val="20"/>
                <w:szCs w:val="20"/>
              </w:rPr>
              <w:br/>
              <w:t>1939</w:t>
            </w:r>
            <w:r w:rsidRPr="000F046C">
              <w:rPr>
                <w:rFonts w:ascii="Garamond" w:hAnsi="Garamond"/>
                <w:sz w:val="20"/>
                <w:szCs w:val="20"/>
              </w:rPr>
              <w:br/>
              <w:t>Tiranë</w:t>
            </w:r>
            <w:r w:rsidRPr="000F046C">
              <w:rPr>
                <w:rFonts w:ascii="Garamond" w:hAnsi="Garamond"/>
                <w:sz w:val="20"/>
                <w:szCs w:val="20"/>
              </w:rPr>
              <w:br/>
              <w:t>Shqiptare</w:t>
            </w:r>
          </w:p>
          <w:p w14:paraId="6BE8D5D3"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5E5FEC8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c>
          <w:tcPr>
            <w:tcW w:w="0" w:type="auto"/>
            <w:vAlign w:val="center"/>
          </w:tcPr>
          <w:p w14:paraId="2101A7AC"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3.600</w:t>
            </w:r>
          </w:p>
        </w:tc>
        <w:tc>
          <w:tcPr>
            <w:tcW w:w="0" w:type="auto"/>
            <w:vAlign w:val="center"/>
          </w:tcPr>
          <w:p w14:paraId="578A46E7"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r>
      <w:tr w:rsidR="00A217FF" w:rsidRPr="000F046C" w14:paraId="00B8FD3A" w14:textId="77777777" w:rsidTr="000F046C">
        <w:trPr>
          <w:trHeight w:val="144"/>
          <w:jc w:val="center"/>
        </w:trPr>
        <w:tc>
          <w:tcPr>
            <w:tcW w:w="0" w:type="auto"/>
            <w:hideMark/>
          </w:tcPr>
          <w:p w14:paraId="12B8907F"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6.</w:t>
            </w:r>
          </w:p>
        </w:tc>
        <w:tc>
          <w:tcPr>
            <w:tcW w:w="0" w:type="auto"/>
            <w:vAlign w:val="center"/>
          </w:tcPr>
          <w:p w14:paraId="4D8C1068"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4427/24</w:t>
            </w:r>
          </w:p>
          <w:p w14:paraId="115E4F6F" w14:textId="5E7AC9D2"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w:t>
            </w:r>
            <w:r w:rsidR="000F046C" w:rsidRPr="000F046C">
              <w:rPr>
                <w:rFonts w:ascii="Garamond" w:hAnsi="Garamond"/>
                <w:sz w:val="20"/>
                <w:szCs w:val="20"/>
              </w:rPr>
              <w:t>.</w:t>
            </w:r>
            <w:r w:rsidRPr="000F046C">
              <w:rPr>
                <w:rFonts w:ascii="Garamond" w:hAnsi="Garamond"/>
                <w:sz w:val="20"/>
                <w:szCs w:val="20"/>
              </w:rPr>
              <w:t>2</w:t>
            </w:r>
            <w:r w:rsidR="000F046C" w:rsidRPr="000F046C">
              <w:rPr>
                <w:rFonts w:ascii="Garamond" w:hAnsi="Garamond"/>
                <w:sz w:val="20"/>
                <w:szCs w:val="20"/>
              </w:rPr>
              <w:t>.</w:t>
            </w:r>
            <w:r w:rsidRPr="000F046C">
              <w:rPr>
                <w:rFonts w:ascii="Garamond" w:hAnsi="Garamond"/>
                <w:sz w:val="20"/>
                <w:szCs w:val="20"/>
              </w:rPr>
              <w:t>2024</w:t>
            </w:r>
          </w:p>
        </w:tc>
        <w:tc>
          <w:tcPr>
            <w:tcW w:w="0" w:type="auto"/>
            <w:vAlign w:val="center"/>
            <w:hideMark/>
          </w:tcPr>
          <w:p w14:paraId="6A1A0D25"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Çela kundër Shqipërisë</w:t>
            </w:r>
          </w:p>
        </w:tc>
        <w:tc>
          <w:tcPr>
            <w:tcW w:w="0" w:type="auto"/>
            <w:vAlign w:val="center"/>
            <w:hideMark/>
          </w:tcPr>
          <w:p w14:paraId="04772AA6"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b/>
                <w:bCs/>
                <w:sz w:val="20"/>
                <w:szCs w:val="20"/>
              </w:rPr>
              <w:t>Ornela</w:t>
            </w:r>
            <w:proofErr w:type="spellEnd"/>
            <w:r w:rsidRPr="000F046C">
              <w:rPr>
                <w:rFonts w:ascii="Garamond" w:hAnsi="Garamond"/>
                <w:b/>
                <w:bCs/>
                <w:sz w:val="20"/>
                <w:szCs w:val="20"/>
              </w:rPr>
              <w:t xml:space="preserve"> ÇELA</w:t>
            </w:r>
            <w:r w:rsidRPr="000F046C">
              <w:rPr>
                <w:rFonts w:ascii="Garamond" w:hAnsi="Garamond"/>
                <w:sz w:val="20"/>
                <w:szCs w:val="20"/>
              </w:rPr>
              <w:br/>
              <w:t>1971</w:t>
            </w:r>
            <w:r w:rsidRPr="000F046C">
              <w:rPr>
                <w:rFonts w:ascii="Garamond" w:hAnsi="Garamond"/>
                <w:sz w:val="20"/>
                <w:szCs w:val="20"/>
              </w:rPr>
              <w:br/>
              <w:t>Tiranë</w:t>
            </w:r>
            <w:r w:rsidRPr="000F046C">
              <w:rPr>
                <w:rFonts w:ascii="Garamond" w:hAnsi="Garamond"/>
                <w:sz w:val="20"/>
                <w:szCs w:val="20"/>
              </w:rPr>
              <w:br/>
              <w:t>Shqiptare</w:t>
            </w:r>
          </w:p>
          <w:p w14:paraId="6AABCC7D"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5BD0BB5D"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Ndue</w:t>
            </w:r>
            <w:proofErr w:type="spellEnd"/>
            <w:r w:rsidRPr="000F046C">
              <w:rPr>
                <w:rFonts w:ascii="Garamond" w:hAnsi="Garamond"/>
                <w:sz w:val="20"/>
                <w:szCs w:val="20"/>
              </w:rPr>
              <w:t xml:space="preserve"> PJETRA</w:t>
            </w:r>
          </w:p>
        </w:tc>
        <w:tc>
          <w:tcPr>
            <w:tcW w:w="0" w:type="auto"/>
            <w:vAlign w:val="center"/>
          </w:tcPr>
          <w:p w14:paraId="71B0C47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c>
          <w:tcPr>
            <w:tcW w:w="0" w:type="auto"/>
            <w:vAlign w:val="center"/>
          </w:tcPr>
          <w:p w14:paraId="256DCF5E"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w:t>
            </w:r>
          </w:p>
        </w:tc>
      </w:tr>
      <w:tr w:rsidR="00A217FF" w:rsidRPr="000F046C" w14:paraId="3547E9BF" w14:textId="77777777" w:rsidTr="000F046C">
        <w:trPr>
          <w:trHeight w:val="144"/>
          <w:jc w:val="center"/>
        </w:trPr>
        <w:tc>
          <w:tcPr>
            <w:tcW w:w="0" w:type="auto"/>
            <w:hideMark/>
          </w:tcPr>
          <w:p w14:paraId="53D756C3"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7.</w:t>
            </w:r>
          </w:p>
        </w:tc>
        <w:tc>
          <w:tcPr>
            <w:tcW w:w="0" w:type="auto"/>
            <w:vAlign w:val="center"/>
          </w:tcPr>
          <w:p w14:paraId="072855A1"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6470/24</w:t>
            </w:r>
          </w:p>
          <w:p w14:paraId="3169B7D0" w14:textId="310562EA"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23</w:t>
            </w:r>
            <w:r w:rsidR="000F046C" w:rsidRPr="000F046C">
              <w:rPr>
                <w:rFonts w:ascii="Garamond" w:hAnsi="Garamond"/>
                <w:sz w:val="20"/>
                <w:szCs w:val="20"/>
              </w:rPr>
              <w:t>.</w:t>
            </w:r>
            <w:r w:rsidRPr="000F046C">
              <w:rPr>
                <w:rFonts w:ascii="Garamond" w:hAnsi="Garamond"/>
                <w:sz w:val="20"/>
                <w:szCs w:val="20"/>
              </w:rPr>
              <w:t>2</w:t>
            </w:r>
            <w:r w:rsidR="000F046C" w:rsidRPr="000F046C">
              <w:rPr>
                <w:rFonts w:ascii="Garamond" w:hAnsi="Garamond"/>
                <w:sz w:val="20"/>
                <w:szCs w:val="20"/>
              </w:rPr>
              <w:t>.</w:t>
            </w:r>
            <w:r w:rsidRPr="000F046C">
              <w:rPr>
                <w:rFonts w:ascii="Garamond" w:hAnsi="Garamond"/>
                <w:sz w:val="20"/>
                <w:szCs w:val="20"/>
              </w:rPr>
              <w:t>2024</w:t>
            </w:r>
          </w:p>
        </w:tc>
        <w:tc>
          <w:tcPr>
            <w:tcW w:w="0" w:type="auto"/>
            <w:vAlign w:val="center"/>
            <w:hideMark/>
          </w:tcPr>
          <w:p w14:paraId="3FBD747D"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Balla kundër Shqipërisë</w:t>
            </w:r>
          </w:p>
        </w:tc>
        <w:tc>
          <w:tcPr>
            <w:tcW w:w="0" w:type="auto"/>
            <w:vAlign w:val="center"/>
            <w:hideMark/>
          </w:tcPr>
          <w:p w14:paraId="622AB5A7"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b/>
                <w:bCs/>
                <w:sz w:val="20"/>
                <w:szCs w:val="20"/>
              </w:rPr>
              <w:t>Shyqiri</w:t>
            </w:r>
            <w:proofErr w:type="spellEnd"/>
            <w:r w:rsidRPr="000F046C">
              <w:rPr>
                <w:rFonts w:ascii="Garamond" w:hAnsi="Garamond"/>
                <w:b/>
                <w:bCs/>
                <w:sz w:val="20"/>
                <w:szCs w:val="20"/>
              </w:rPr>
              <w:t xml:space="preserve"> BALLA</w:t>
            </w:r>
            <w:r w:rsidRPr="000F046C">
              <w:rPr>
                <w:rFonts w:ascii="Garamond" w:hAnsi="Garamond"/>
                <w:sz w:val="20"/>
                <w:szCs w:val="20"/>
              </w:rPr>
              <w:br/>
              <w:t>1949</w:t>
            </w:r>
            <w:r w:rsidRPr="000F046C">
              <w:rPr>
                <w:rFonts w:ascii="Garamond" w:hAnsi="Garamond"/>
                <w:sz w:val="20"/>
                <w:szCs w:val="20"/>
              </w:rPr>
              <w:br/>
              <w:t>Bulqizë</w:t>
            </w:r>
            <w:r w:rsidRPr="000F046C">
              <w:rPr>
                <w:rFonts w:ascii="Garamond" w:hAnsi="Garamond"/>
                <w:sz w:val="20"/>
                <w:szCs w:val="20"/>
              </w:rPr>
              <w:br/>
              <w:t>Shqiptar</w:t>
            </w:r>
          </w:p>
          <w:p w14:paraId="1B87A422"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3DB0655F" w14:textId="77777777" w:rsidR="00A217FF" w:rsidRPr="000F046C" w:rsidRDefault="00A217FF" w:rsidP="000F046C">
            <w:pPr>
              <w:jc w:val="center"/>
              <w:rPr>
                <w:rFonts w:ascii="Garamond" w:eastAsia="Times New Roman" w:hAnsi="Garamond"/>
                <w:sz w:val="20"/>
                <w:szCs w:val="20"/>
              </w:rPr>
            </w:pPr>
            <w:proofErr w:type="spellStart"/>
            <w:r w:rsidRPr="000F046C">
              <w:rPr>
                <w:rFonts w:ascii="Garamond" w:hAnsi="Garamond"/>
                <w:sz w:val="20"/>
                <w:szCs w:val="20"/>
              </w:rPr>
              <w:t>Ahmet</w:t>
            </w:r>
            <w:proofErr w:type="spellEnd"/>
            <w:r w:rsidRPr="000F046C">
              <w:rPr>
                <w:rFonts w:ascii="Garamond" w:hAnsi="Garamond"/>
                <w:sz w:val="20"/>
                <w:szCs w:val="20"/>
              </w:rPr>
              <w:t xml:space="preserve"> JANGULLI</w:t>
            </w:r>
          </w:p>
        </w:tc>
        <w:tc>
          <w:tcPr>
            <w:tcW w:w="0" w:type="auto"/>
            <w:vAlign w:val="center"/>
          </w:tcPr>
          <w:p w14:paraId="332DD01E"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3.600</w:t>
            </w:r>
          </w:p>
        </w:tc>
        <w:tc>
          <w:tcPr>
            <w:tcW w:w="0" w:type="auto"/>
            <w:vAlign w:val="center"/>
          </w:tcPr>
          <w:p w14:paraId="7F95EA3C"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2.000</w:t>
            </w:r>
          </w:p>
        </w:tc>
      </w:tr>
      <w:tr w:rsidR="00A217FF" w:rsidRPr="000F046C" w14:paraId="62F17855" w14:textId="77777777" w:rsidTr="000F046C">
        <w:trPr>
          <w:trHeight w:val="144"/>
          <w:jc w:val="center"/>
        </w:trPr>
        <w:tc>
          <w:tcPr>
            <w:tcW w:w="0" w:type="auto"/>
            <w:hideMark/>
          </w:tcPr>
          <w:p w14:paraId="22DF183C" w14:textId="77777777" w:rsidR="00A217FF" w:rsidRPr="000F046C" w:rsidRDefault="00A217FF" w:rsidP="00A217FF">
            <w:pPr>
              <w:rPr>
                <w:rFonts w:ascii="Garamond" w:eastAsia="Times New Roman" w:hAnsi="Garamond"/>
                <w:sz w:val="20"/>
                <w:szCs w:val="20"/>
              </w:rPr>
            </w:pPr>
            <w:r w:rsidRPr="000F046C">
              <w:rPr>
                <w:rFonts w:ascii="Garamond" w:hAnsi="Garamond"/>
                <w:sz w:val="20"/>
                <w:szCs w:val="20"/>
              </w:rPr>
              <w:t>8.</w:t>
            </w:r>
          </w:p>
        </w:tc>
        <w:tc>
          <w:tcPr>
            <w:tcW w:w="0" w:type="auto"/>
            <w:vAlign w:val="center"/>
          </w:tcPr>
          <w:p w14:paraId="63B17316"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26336/24</w:t>
            </w:r>
          </w:p>
          <w:p w14:paraId="29990329" w14:textId="075AA526"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10</w:t>
            </w:r>
            <w:r w:rsidR="000F046C" w:rsidRPr="000F046C">
              <w:rPr>
                <w:rFonts w:ascii="Garamond" w:hAnsi="Garamond"/>
                <w:sz w:val="20"/>
                <w:szCs w:val="20"/>
              </w:rPr>
              <w:t>.</w:t>
            </w:r>
            <w:r w:rsidRPr="000F046C">
              <w:rPr>
                <w:rFonts w:ascii="Garamond" w:hAnsi="Garamond"/>
                <w:sz w:val="20"/>
                <w:szCs w:val="20"/>
              </w:rPr>
              <w:t>9</w:t>
            </w:r>
            <w:r w:rsidR="000F046C" w:rsidRPr="000F046C">
              <w:rPr>
                <w:rFonts w:ascii="Garamond" w:hAnsi="Garamond"/>
                <w:sz w:val="20"/>
                <w:szCs w:val="20"/>
              </w:rPr>
              <w:t>.</w:t>
            </w:r>
            <w:r w:rsidRPr="000F046C">
              <w:rPr>
                <w:rFonts w:ascii="Garamond" w:hAnsi="Garamond"/>
                <w:sz w:val="20"/>
                <w:szCs w:val="20"/>
              </w:rPr>
              <w:t>2024</w:t>
            </w:r>
          </w:p>
        </w:tc>
        <w:tc>
          <w:tcPr>
            <w:tcW w:w="0" w:type="auto"/>
            <w:vAlign w:val="center"/>
            <w:hideMark/>
          </w:tcPr>
          <w:p w14:paraId="6E1B1282"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Kuqo kundër Shqipërisë</w:t>
            </w:r>
          </w:p>
        </w:tc>
        <w:tc>
          <w:tcPr>
            <w:tcW w:w="0" w:type="auto"/>
            <w:vAlign w:val="center"/>
            <w:hideMark/>
          </w:tcPr>
          <w:p w14:paraId="1FA20488" w14:textId="77777777" w:rsidR="00A217FF" w:rsidRPr="000F046C" w:rsidRDefault="00A217FF" w:rsidP="000F046C">
            <w:pPr>
              <w:jc w:val="center"/>
              <w:rPr>
                <w:rFonts w:ascii="Garamond" w:eastAsia="Times New Roman" w:hAnsi="Garamond"/>
                <w:sz w:val="20"/>
                <w:szCs w:val="20"/>
              </w:rPr>
            </w:pPr>
            <w:r w:rsidRPr="000F046C">
              <w:rPr>
                <w:rFonts w:ascii="Garamond" w:hAnsi="Garamond"/>
                <w:b/>
                <w:bCs/>
                <w:sz w:val="20"/>
                <w:szCs w:val="20"/>
              </w:rPr>
              <w:t>Taulant KUQO</w:t>
            </w:r>
            <w:r w:rsidRPr="000F046C">
              <w:rPr>
                <w:rFonts w:ascii="Garamond" w:hAnsi="Garamond"/>
                <w:sz w:val="20"/>
                <w:szCs w:val="20"/>
              </w:rPr>
              <w:br/>
              <w:t>1987</w:t>
            </w:r>
            <w:r w:rsidRPr="000F046C">
              <w:rPr>
                <w:rFonts w:ascii="Garamond" w:hAnsi="Garamond"/>
                <w:sz w:val="20"/>
                <w:szCs w:val="20"/>
              </w:rPr>
              <w:br/>
            </w:r>
            <w:proofErr w:type="spellStart"/>
            <w:r w:rsidRPr="000F046C">
              <w:rPr>
                <w:rFonts w:ascii="Garamond" w:hAnsi="Garamond"/>
                <w:sz w:val="20"/>
                <w:szCs w:val="20"/>
              </w:rPr>
              <w:t>Princeton</w:t>
            </w:r>
            <w:proofErr w:type="spellEnd"/>
            <w:r w:rsidRPr="000F046C">
              <w:rPr>
                <w:rFonts w:ascii="Garamond" w:hAnsi="Garamond"/>
                <w:sz w:val="20"/>
                <w:szCs w:val="20"/>
              </w:rPr>
              <w:t>, SHBA</w:t>
            </w:r>
            <w:r w:rsidRPr="000F046C">
              <w:rPr>
                <w:rFonts w:ascii="Garamond" w:hAnsi="Garamond"/>
                <w:sz w:val="20"/>
                <w:szCs w:val="20"/>
              </w:rPr>
              <w:br/>
              <w:t>Shqiptar</w:t>
            </w:r>
          </w:p>
          <w:p w14:paraId="2594A043" w14:textId="77777777" w:rsidR="00A217FF" w:rsidRPr="000F046C" w:rsidRDefault="00A217FF" w:rsidP="000F046C">
            <w:pPr>
              <w:jc w:val="center"/>
              <w:rPr>
                <w:rFonts w:ascii="Garamond" w:eastAsia="Times New Roman" w:hAnsi="Garamond"/>
                <w:sz w:val="20"/>
                <w:szCs w:val="20"/>
              </w:rPr>
            </w:pPr>
          </w:p>
        </w:tc>
        <w:tc>
          <w:tcPr>
            <w:tcW w:w="0" w:type="auto"/>
            <w:vAlign w:val="center"/>
            <w:hideMark/>
          </w:tcPr>
          <w:p w14:paraId="51D4EF6C"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Gjergji NOLE</w:t>
            </w:r>
          </w:p>
        </w:tc>
        <w:tc>
          <w:tcPr>
            <w:tcW w:w="0" w:type="auto"/>
            <w:vAlign w:val="center"/>
          </w:tcPr>
          <w:p w14:paraId="70F1EE34"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3.000</w:t>
            </w:r>
          </w:p>
        </w:tc>
        <w:tc>
          <w:tcPr>
            <w:tcW w:w="0" w:type="auto"/>
            <w:vAlign w:val="center"/>
          </w:tcPr>
          <w:p w14:paraId="0C4C3748" w14:textId="77777777" w:rsidR="00A217FF" w:rsidRPr="000F046C" w:rsidRDefault="00A217FF" w:rsidP="000F046C">
            <w:pPr>
              <w:jc w:val="center"/>
              <w:rPr>
                <w:rFonts w:ascii="Garamond" w:eastAsia="Times New Roman" w:hAnsi="Garamond"/>
                <w:sz w:val="20"/>
                <w:szCs w:val="20"/>
              </w:rPr>
            </w:pPr>
            <w:r w:rsidRPr="000F046C">
              <w:rPr>
                <w:rFonts w:ascii="Garamond" w:hAnsi="Garamond"/>
                <w:sz w:val="20"/>
                <w:szCs w:val="20"/>
              </w:rPr>
              <w:t>1.855</w:t>
            </w:r>
          </w:p>
        </w:tc>
      </w:tr>
    </w:tbl>
    <w:p w14:paraId="1B0C4756" w14:textId="77777777" w:rsidR="006866D1" w:rsidRPr="000F046C" w:rsidRDefault="006866D1" w:rsidP="006866D1">
      <w:pPr>
        <w:spacing w:after="0" w:line="240" w:lineRule="auto"/>
        <w:ind w:firstLine="284"/>
        <w:jc w:val="center"/>
        <w:rPr>
          <w:rFonts w:ascii="Garamond" w:hAnsi="Garamond"/>
          <w:sz w:val="24"/>
          <w:szCs w:val="24"/>
        </w:rPr>
      </w:pPr>
    </w:p>
    <w:sectPr w:rsidR="006866D1" w:rsidRPr="000F046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052B8" w14:textId="77777777" w:rsidR="005A1AAD" w:rsidRDefault="005A1AAD" w:rsidP="00A217FF">
      <w:pPr>
        <w:spacing w:after="0" w:line="240" w:lineRule="auto"/>
      </w:pPr>
      <w:r>
        <w:separator/>
      </w:r>
    </w:p>
  </w:endnote>
  <w:endnote w:type="continuationSeparator" w:id="0">
    <w:p w14:paraId="46AE11F8" w14:textId="77777777" w:rsidR="005A1AAD" w:rsidRDefault="005A1AAD" w:rsidP="00A217FF">
      <w:pPr>
        <w:spacing w:after="0" w:line="240" w:lineRule="auto"/>
      </w:pPr>
      <w:r>
        <w:continuationSeparator/>
      </w:r>
    </w:p>
  </w:endnote>
  <w:endnote w:type="continuationNotice" w:id="1">
    <w:p w14:paraId="170C2943" w14:textId="77777777" w:rsidR="005A1AAD" w:rsidRDefault="005A1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585FF" w14:textId="77777777" w:rsidR="005A1AAD" w:rsidRDefault="005A1AAD" w:rsidP="00A217FF">
      <w:pPr>
        <w:spacing w:after="0" w:line="240" w:lineRule="auto"/>
      </w:pPr>
      <w:r>
        <w:separator/>
      </w:r>
    </w:p>
  </w:footnote>
  <w:footnote w:type="continuationSeparator" w:id="0">
    <w:p w14:paraId="5F2E48BF" w14:textId="77777777" w:rsidR="005A1AAD" w:rsidRDefault="005A1AAD" w:rsidP="00A217FF">
      <w:pPr>
        <w:spacing w:after="0" w:line="240" w:lineRule="auto"/>
      </w:pPr>
      <w:r>
        <w:continuationSeparator/>
      </w:r>
    </w:p>
  </w:footnote>
  <w:footnote w:type="continuationNotice" w:id="1">
    <w:p w14:paraId="4449C0D1" w14:textId="77777777" w:rsidR="005A1AAD" w:rsidRDefault="005A1AAD">
      <w:pPr>
        <w:spacing w:after="0" w:line="240" w:lineRule="auto"/>
      </w:pPr>
    </w:p>
  </w:footnote>
  <w:footnote w:id="2">
    <w:p w14:paraId="64A2310A" w14:textId="40E0FAE0" w:rsidR="005A1AAD" w:rsidRPr="00657513" w:rsidRDefault="005A1AAD" w:rsidP="00A217FF">
      <w:pPr>
        <w:pStyle w:val="FootnoteText"/>
        <w:rPr>
          <w:rFonts w:ascii="Garamond" w:hAnsi="Garamond"/>
        </w:rPr>
      </w:pPr>
      <w:r w:rsidRPr="00657513">
        <w:rPr>
          <w:rStyle w:val="FootnoteReference"/>
          <w:rFonts w:ascii="Garamond" w:hAnsi="Garamond"/>
        </w:rPr>
        <w:footnoteRef/>
      </w:r>
      <w:r w:rsidRPr="00657513">
        <w:rPr>
          <w:rStyle w:val="FootnoteReference"/>
          <w:rFonts w:ascii="Garamond" w:hAnsi="Garamond"/>
        </w:rPr>
        <w:t xml:space="preserve"> </w:t>
      </w:r>
      <w:r w:rsidRPr="00657513">
        <w:rPr>
          <w:rFonts w:ascii="Garamond" w:hAnsi="Garamond"/>
        </w:rPr>
        <w:t>Plus çdo taksë që mund t</w:t>
      </w:r>
      <w:r>
        <w:rPr>
          <w:rFonts w:ascii="Garamond" w:hAnsi="Garamond"/>
        </w:rPr>
        <w:t>’u</w:t>
      </w:r>
      <w:r w:rsidRPr="00657513">
        <w:rPr>
          <w:rFonts w:ascii="Garamond" w:hAnsi="Garamond"/>
        </w:rPr>
        <w:t xml:space="preserve"> ngarkohet kërkuesve.</w:t>
      </w:r>
    </w:p>
  </w:footnote>
  <w:footnote w:id="3">
    <w:p w14:paraId="3D403682" w14:textId="1F581158" w:rsidR="005A1AAD" w:rsidRDefault="005A1AAD" w:rsidP="00A217FF">
      <w:pPr>
        <w:pStyle w:val="FootnoteText"/>
      </w:pPr>
      <w:r w:rsidRPr="00657513">
        <w:rPr>
          <w:rStyle w:val="FootnoteReference"/>
          <w:rFonts w:ascii="Garamond" w:hAnsi="Garamond"/>
        </w:rPr>
        <w:footnoteRef/>
      </w:r>
      <w:r w:rsidRPr="00657513">
        <w:rPr>
          <w:rStyle w:val="FootnoteReference"/>
          <w:rFonts w:ascii="Garamond" w:hAnsi="Garamond"/>
        </w:rPr>
        <w:t xml:space="preserve"> </w:t>
      </w:r>
      <w:r w:rsidRPr="00657513">
        <w:rPr>
          <w:rFonts w:ascii="Garamond" w:hAnsi="Garamond"/>
        </w:rPr>
        <w:t>Plus çdo taksë që mund t</w:t>
      </w:r>
      <w:r>
        <w:rPr>
          <w:rFonts w:ascii="Garamond" w:hAnsi="Garamond"/>
        </w:rPr>
        <w:t>’u</w:t>
      </w:r>
      <w:r w:rsidRPr="00657513">
        <w:rPr>
          <w:rFonts w:ascii="Garamond" w:hAnsi="Garamond"/>
        </w:rPr>
        <w:t xml:space="preserve"> ngarkohet kërkuesve.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66"/>
    <w:rsid w:val="00006AD4"/>
    <w:rsid w:val="000255EB"/>
    <w:rsid w:val="00083723"/>
    <w:rsid w:val="000E43C8"/>
    <w:rsid w:val="000F046C"/>
    <w:rsid w:val="00100307"/>
    <w:rsid w:val="00114BF9"/>
    <w:rsid w:val="001506BB"/>
    <w:rsid w:val="00154B0F"/>
    <w:rsid w:val="00157A02"/>
    <w:rsid w:val="001833D5"/>
    <w:rsid w:val="0020019A"/>
    <w:rsid w:val="0026103B"/>
    <w:rsid w:val="002C63D4"/>
    <w:rsid w:val="00301821"/>
    <w:rsid w:val="00312F61"/>
    <w:rsid w:val="00314F5B"/>
    <w:rsid w:val="003173AE"/>
    <w:rsid w:val="00321088"/>
    <w:rsid w:val="003E700D"/>
    <w:rsid w:val="0041596E"/>
    <w:rsid w:val="004402C3"/>
    <w:rsid w:val="00515450"/>
    <w:rsid w:val="00542C2A"/>
    <w:rsid w:val="00562AC9"/>
    <w:rsid w:val="00565A95"/>
    <w:rsid w:val="005A1AAD"/>
    <w:rsid w:val="005B6808"/>
    <w:rsid w:val="0061795C"/>
    <w:rsid w:val="006507E8"/>
    <w:rsid w:val="00657513"/>
    <w:rsid w:val="00681DB7"/>
    <w:rsid w:val="00682A7A"/>
    <w:rsid w:val="006866D1"/>
    <w:rsid w:val="006C30ED"/>
    <w:rsid w:val="00701C2B"/>
    <w:rsid w:val="00713596"/>
    <w:rsid w:val="00713D5F"/>
    <w:rsid w:val="00781098"/>
    <w:rsid w:val="00783218"/>
    <w:rsid w:val="007858B0"/>
    <w:rsid w:val="00786953"/>
    <w:rsid w:val="007D5AD6"/>
    <w:rsid w:val="0080686A"/>
    <w:rsid w:val="008172F1"/>
    <w:rsid w:val="008B189C"/>
    <w:rsid w:val="009217F9"/>
    <w:rsid w:val="00933F2D"/>
    <w:rsid w:val="009902AD"/>
    <w:rsid w:val="009E0CE1"/>
    <w:rsid w:val="00A217FF"/>
    <w:rsid w:val="00A41466"/>
    <w:rsid w:val="00A61FE6"/>
    <w:rsid w:val="00A6283F"/>
    <w:rsid w:val="00B1142C"/>
    <w:rsid w:val="00B13039"/>
    <w:rsid w:val="00BA406E"/>
    <w:rsid w:val="00BD4DBC"/>
    <w:rsid w:val="00BE7624"/>
    <w:rsid w:val="00BE7FBC"/>
    <w:rsid w:val="00BF71A3"/>
    <w:rsid w:val="00C14AAC"/>
    <w:rsid w:val="00C817B6"/>
    <w:rsid w:val="00C94533"/>
    <w:rsid w:val="00CC52DF"/>
    <w:rsid w:val="00CE16F2"/>
    <w:rsid w:val="00D531FC"/>
    <w:rsid w:val="00D5628A"/>
    <w:rsid w:val="00D84239"/>
    <w:rsid w:val="00DC129D"/>
    <w:rsid w:val="00DD658B"/>
    <w:rsid w:val="00E5366F"/>
    <w:rsid w:val="00E57538"/>
    <w:rsid w:val="00E61196"/>
    <w:rsid w:val="00E77BCF"/>
    <w:rsid w:val="00E830C7"/>
    <w:rsid w:val="00ED3D16"/>
    <w:rsid w:val="00F037B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A213"/>
  <w15:chartTrackingRefBased/>
  <w15:docId w15:val="{FA35AF77-588F-4222-97C2-55AF9F3E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0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30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E830C7"/>
    <w:rPr>
      <w:color w:val="FFFFFF"/>
    </w:rPr>
  </w:style>
  <w:style w:type="paragraph" w:customStyle="1" w:styleId="JuSigned">
    <w:name w:val="Ju_Signed"/>
    <w:aliases w:val="_Signature"/>
    <w:basedOn w:val="Normal"/>
    <w:uiPriority w:val="99"/>
    <w:rsid w:val="00E830C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rPr>
  </w:style>
  <w:style w:type="paragraph" w:customStyle="1" w:styleId="JuParaLast">
    <w:name w:val="Ju_Para_Last"/>
    <w:aliases w:val="_Para_Spaced"/>
    <w:basedOn w:val="Normal"/>
    <w:uiPriority w:val="99"/>
    <w:rsid w:val="00E830C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Lista">
    <w:name w:val="Ju_List_a"/>
    <w:aliases w:val="_List_2"/>
    <w:basedOn w:val="Normal"/>
    <w:uiPriority w:val="99"/>
    <w:rsid w:val="00E830C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rPr>
  </w:style>
  <w:style w:type="paragraph" w:customStyle="1" w:styleId="JuHIRoman">
    <w:name w:val="Ju_H_I_Roman"/>
    <w:aliases w:val="_Head_2"/>
    <w:basedOn w:val="Heading2"/>
    <w:uiPriority w:val="99"/>
    <w:rsid w:val="00E830C7"/>
    <w:pPr>
      <w:tabs>
        <w:tab w:val="left" w:pos="360"/>
        <w:tab w:val="left" w:pos="440"/>
        <w:tab w:val="left" w:pos="520"/>
        <w:tab w:val="left" w:pos="620"/>
        <w:tab w:val="left" w:pos="700"/>
        <w:tab w:val="left" w:pos="78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4"/>
      <w:szCs w:val="24"/>
    </w:rPr>
  </w:style>
  <w:style w:type="paragraph" w:customStyle="1" w:styleId="JuHHead">
    <w:name w:val="Ju_H_Head"/>
    <w:aliases w:val="_Head_1"/>
    <w:basedOn w:val="Heading1"/>
    <w:uiPriority w:val="99"/>
    <w:rsid w:val="00E830C7"/>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E830C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Para">
    <w:name w:val="Ju_Para"/>
    <w:aliases w:val="_Para"/>
    <w:basedOn w:val="Normal"/>
    <w:uiPriority w:val="99"/>
    <w:rsid w:val="00E830C7"/>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paragraph" w:customStyle="1" w:styleId="JuCase">
    <w:name w:val="Ju_Case"/>
    <w:aliases w:val="_Case_Name"/>
    <w:basedOn w:val="Normal"/>
    <w:next w:val="JuPara"/>
    <w:uiPriority w:val="99"/>
    <w:rsid w:val="00E830C7"/>
    <w:pPr>
      <w:autoSpaceDE w:val="0"/>
      <w:autoSpaceDN w:val="0"/>
      <w:adjustRightInd w:val="0"/>
      <w:spacing w:after="0" w:line="240" w:lineRule="auto"/>
      <w:ind w:firstLine="280"/>
      <w:jc w:val="both"/>
    </w:pPr>
    <w:rPr>
      <w:rFonts w:ascii="Times New Roman" w:hAnsi="Times New Roman" w:cs="Times New Roman"/>
      <w:b/>
      <w:bCs/>
      <w:color w:val="000000"/>
      <w:sz w:val="24"/>
      <w:szCs w:val="24"/>
    </w:rPr>
  </w:style>
  <w:style w:type="character" w:customStyle="1" w:styleId="Heading2Char">
    <w:name w:val="Heading 2 Char"/>
    <w:basedOn w:val="DefaultParagraphFont"/>
    <w:link w:val="Heading2"/>
    <w:uiPriority w:val="9"/>
    <w:semiHidden/>
    <w:rsid w:val="00E830C7"/>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830C7"/>
    <w:rPr>
      <w:rFonts w:asciiTheme="majorHAnsi" w:eastAsiaTheme="majorEastAsia" w:hAnsiTheme="majorHAnsi" w:cstheme="majorBidi"/>
      <w:color w:val="2E74B5" w:themeColor="accent1" w:themeShade="BF"/>
      <w:sz w:val="32"/>
      <w:szCs w:val="32"/>
    </w:rPr>
  </w:style>
  <w:style w:type="character" w:styleId="FootnoteReference">
    <w:name w:val="footnote reference"/>
    <w:basedOn w:val="DefaultParagraphFont"/>
    <w:uiPriority w:val="98"/>
    <w:semiHidden/>
    <w:rsid w:val="00A217FF"/>
    <w:rPr>
      <w:vertAlign w:val="superscript"/>
    </w:rPr>
  </w:style>
  <w:style w:type="paragraph" w:styleId="FootnoteText">
    <w:name w:val="footnote text"/>
    <w:basedOn w:val="Normal"/>
    <w:link w:val="FootnoteTextChar"/>
    <w:uiPriority w:val="98"/>
    <w:semiHidden/>
    <w:rsid w:val="00A217FF"/>
    <w:pPr>
      <w:spacing w:after="0" w:line="240" w:lineRule="auto"/>
      <w:jc w:val="both"/>
    </w:pPr>
    <w:rPr>
      <w:sz w:val="20"/>
      <w:szCs w:val="20"/>
    </w:rPr>
  </w:style>
  <w:style w:type="character" w:customStyle="1" w:styleId="FootnoteTextChar">
    <w:name w:val="Footnote Text Char"/>
    <w:basedOn w:val="DefaultParagraphFont"/>
    <w:link w:val="FootnoteText"/>
    <w:uiPriority w:val="98"/>
    <w:semiHidden/>
    <w:rsid w:val="00A217FF"/>
    <w:rPr>
      <w:sz w:val="20"/>
      <w:szCs w:val="20"/>
    </w:rPr>
  </w:style>
  <w:style w:type="table" w:customStyle="1" w:styleId="ECHRListTable">
    <w:name w:val="ECHR_List_Table"/>
    <w:basedOn w:val="TableNormal"/>
    <w:uiPriority w:val="99"/>
    <w:rsid w:val="00A217FF"/>
    <w:pPr>
      <w:spacing w:after="0" w:line="240" w:lineRule="auto"/>
    </w:pPr>
    <w:rPr>
      <w:sz w:val="24"/>
      <w:szCs w:val="24"/>
    </w:rPr>
    <w:tblPr>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rPr>
        <w:tblHeader/>
      </w:tr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 w:type="paragraph" w:styleId="Header">
    <w:name w:val="header"/>
    <w:basedOn w:val="Normal"/>
    <w:link w:val="HeaderChar"/>
    <w:uiPriority w:val="99"/>
    <w:semiHidden/>
    <w:unhideWhenUsed/>
    <w:rsid w:val="00CE16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16F2"/>
  </w:style>
  <w:style w:type="paragraph" w:styleId="Footer">
    <w:name w:val="footer"/>
    <w:basedOn w:val="Normal"/>
    <w:link w:val="FooterChar"/>
    <w:uiPriority w:val="99"/>
    <w:semiHidden/>
    <w:unhideWhenUsed/>
    <w:rsid w:val="00CE16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1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C661884A8EB4920B788FF7421D016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17829-23</Nr_x002e__x0020_akti>
    <Data_x0020_e_x0020_Krijimit xmlns="0e656187-b300-4fb0-8bf4-3a50f872073c">2026-04-20T13:42:09Z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2026-04-20T00:00:00Z</Date_x0020_protokolli>
    <Titulli xmlns="0e656187-b300-4fb0-8bf4-3a50f872073c">Çështja Lepuri dhe të tjerë kundër Shqipërisë</Titulli>
    <Modifikuesi xmlns="0e656187-b300-4fb0-8bf4-3a50f872073c">alma.lisaku</Modifikuesi>
    <Nr_x002e__x0020_prot_x0020_QBZ xmlns="0e656187-b300-4fb0-8bf4-3a50f872073c">844/1</Nr_x002e__x0020_prot_x0020_QBZ>
    <Data_x0020_e_x0020_Modifikimit xmlns="0e656187-b300-4fb0-8bf4-3a50f872073c">2026-04-21T12:55:12Z</Data_x0020_e_x0020_Modifikimit>
    <Dekretuar xmlns="0e656187-b300-4fb0-8bf4-3a50f872073c">false</Dekretuar>
    <Data xmlns="0e656187-b300-4fb0-8bf4-3a50f872073c">2026-03-31T00:00:00Z</Data>
    <Nr_x002e__x0020_protokolli_x0020_i_x0020_aktit xmlns="0e656187-b300-4fb0-8bf4-3a50f872073c">2041/1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C661884A8EB4920B788FF7421D016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0A2F80-350C-4AC9-8A30-64C1978B0E2A}">
  <ds:schemaRefs>
    <ds:schemaRef ds:uri="http://schemas.microsoft.com/sharepoint/v3/contenttype/forms"/>
  </ds:schemaRefs>
</ds:datastoreItem>
</file>

<file path=customXml/itemProps2.xml><?xml version="1.0" encoding="utf-8"?>
<ds:datastoreItem xmlns:ds="http://schemas.openxmlformats.org/officeDocument/2006/customXml" ds:itemID="{DE876CAE-CF24-4F87-B194-49D033CB7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F99A66F-BB53-4287-B752-78694F22A5DF}">
  <ds:schemaRefs>
    <ds:schemaRef ds:uri="http://schemas.microsoft.com/office/2006/documentManagement/types"/>
    <ds:schemaRef ds:uri="http://purl.org/dc/dcmitype/"/>
    <ds:schemaRef ds:uri="http://purl.org/dc/terms/"/>
    <ds:schemaRef ds:uri="http://purl.org/dc/elements/1.1/"/>
    <ds:schemaRef ds:uri="http://www.w3.org/XML/1998/namespace"/>
    <ds:schemaRef ds:uri="http://schemas.openxmlformats.org/package/2006/metadata/core-properties"/>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0A3EC100-F3D0-4104-8BB8-BA5B9CC96F2B}">
  <ds:schemaRefs>
    <ds:schemaRef ds:uri="http://schemas.microsoft.com/sharepoint/v3/contenttype/forms"/>
  </ds:schemaRefs>
</ds:datastoreItem>
</file>

<file path=customXml/itemProps5.xml><?xml version="1.0" encoding="utf-8"?>
<ds:datastoreItem xmlns:ds="http://schemas.openxmlformats.org/officeDocument/2006/customXml" ds:itemID="{E23E2E88-7FA5-4F63-8BC5-F881B54BB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2897</Words>
  <Characters>16514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Çështja Lepuri dhe të tjerë kundër Shqipërisë</vt:lpstr>
    </vt:vector>
  </TitlesOfParts>
  <Company/>
  <LinksUpToDate>false</LinksUpToDate>
  <CharactersWithSpaces>19373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Lepuri dhe të tjerë kundër Shqipërisë</dc:title>
  <dc:creator>Entela Suli</dc:creator>
  <cp:lastModifiedBy>Amarilda Muja</cp:lastModifiedBy>
  <cp:revision>39</cp:revision>
  <dcterms:created xsi:type="dcterms:W3CDTF">2026-04-20T11:59:00Z</dcterms:created>
  <dcterms:modified xsi:type="dcterms:W3CDTF">2026-04-21T12:16:00Z</dcterms:modified>
</cp:coreProperties>
</file>