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D1CB1" w14:textId="426BE5BD" w:rsidR="009C0247" w:rsidRPr="005E3835" w:rsidRDefault="00A17B27" w:rsidP="005E3835">
      <w:pPr>
        <w:tabs>
          <w:tab w:val="left" w:pos="5520"/>
        </w:tabs>
        <w:spacing w:after="0" w:line="240" w:lineRule="auto"/>
        <w:ind w:firstLine="284"/>
        <w:jc w:val="center"/>
        <w:rPr>
          <w:rFonts w:ascii="Garamond" w:hAnsi="Garamond"/>
          <w:sz w:val="24"/>
          <w:szCs w:val="24"/>
        </w:rPr>
      </w:pPr>
      <w:r w:rsidRPr="005E3835">
        <w:rPr>
          <w:rFonts w:ascii="Garamond" w:hAnsi="Garamond"/>
          <w:sz w:val="24"/>
          <w:szCs w:val="24"/>
        </w:rPr>
        <w:t>GJYKATA EVROPIANE E TË DREJTAVE TË NJERIUT</w:t>
      </w:r>
    </w:p>
    <w:p w14:paraId="0072719F" w14:textId="77777777" w:rsidR="009C0247" w:rsidRPr="005E3835" w:rsidRDefault="009C0247" w:rsidP="009C024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SEKSIONI I TRETË</w:t>
      </w:r>
    </w:p>
    <w:p w14:paraId="06B8D2D8"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B7D6F59"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5E3835">
        <w:rPr>
          <w:rFonts w:ascii="Garamond" w:eastAsiaTheme="minorHAnsi" w:hAnsi="Garamond"/>
          <w:b/>
          <w:bCs/>
          <w:color w:val="000000"/>
          <w:sz w:val="24"/>
          <w:szCs w:val="24"/>
          <w14:ligatures w14:val="standardContextual"/>
        </w:rPr>
        <w:t>ÇËSHTJA BITRAJ KUNDËR SHQIPËRISË</w:t>
      </w:r>
    </w:p>
    <w:p w14:paraId="1625A318"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r w:rsidRPr="005E3835">
        <w:rPr>
          <w:rFonts w:ascii="Garamond" w:eastAsiaTheme="minorHAnsi" w:hAnsi="Garamond"/>
          <w:i/>
          <w:iCs/>
          <w:color w:val="000000"/>
          <w:sz w:val="24"/>
          <w:szCs w:val="24"/>
          <w14:ligatures w14:val="standardContextual"/>
        </w:rPr>
        <w:t>(Kërkesa nr. 10024/17)</w:t>
      </w:r>
    </w:p>
    <w:p w14:paraId="3F1EE241"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p>
    <w:p w14:paraId="1EDA9C53"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VENDIM</w:t>
      </w:r>
    </w:p>
    <w:p w14:paraId="43ABE548"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487DFC9"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STRASBURG</w:t>
      </w:r>
    </w:p>
    <w:p w14:paraId="5BA0F9AF" w14:textId="56D19DCE" w:rsidR="009C0247" w:rsidRPr="005E3835" w:rsidRDefault="009C0247" w:rsidP="009C024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5 </w:t>
      </w:r>
      <w:r w:rsidR="005E3835" w:rsidRPr="005E3835">
        <w:rPr>
          <w:rFonts w:ascii="Garamond" w:eastAsiaTheme="minorHAnsi" w:hAnsi="Garamond"/>
          <w:color w:val="000000"/>
          <w:sz w:val="24"/>
          <w:szCs w:val="24"/>
          <w14:ligatures w14:val="standardContextual"/>
        </w:rPr>
        <w:t>m</w:t>
      </w:r>
      <w:r w:rsidRPr="005E3835">
        <w:rPr>
          <w:rFonts w:ascii="Garamond" w:eastAsiaTheme="minorHAnsi" w:hAnsi="Garamond"/>
          <w:color w:val="000000"/>
          <w:sz w:val="24"/>
          <w:szCs w:val="24"/>
          <w14:ligatures w14:val="standardContextual"/>
        </w:rPr>
        <w:t>aj 2026</w:t>
      </w:r>
    </w:p>
    <w:p w14:paraId="49979C58" w14:textId="77777777" w:rsidR="009C0247" w:rsidRPr="005E3835" w:rsidRDefault="009C0247" w:rsidP="009C024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5855B9C7" w14:textId="3CB8A7F4" w:rsidR="009C0247" w:rsidRPr="005E3835" w:rsidRDefault="009C0247" w:rsidP="009C0247">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Ky vendim është përfundimtar, por mund të jetë </w:t>
      </w:r>
      <w:r w:rsidR="005E3835">
        <w:rPr>
          <w:rFonts w:ascii="Garamond" w:eastAsiaTheme="minorHAnsi" w:hAnsi="Garamond"/>
          <w:i/>
          <w:iCs/>
          <w:color w:val="000000"/>
          <w:sz w:val="24"/>
          <w:szCs w:val="24"/>
          <w14:ligatures w14:val="standardContextual"/>
        </w:rPr>
        <w:t>subjekt i rishikimit redaktues.</w:t>
      </w:r>
    </w:p>
    <w:p w14:paraId="424D1B8A" w14:textId="77777777" w:rsidR="009C0247" w:rsidRPr="005E3835" w:rsidRDefault="009C0247" w:rsidP="009C024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3265C12" w14:textId="77777777" w:rsidR="009C0247" w:rsidRPr="005E3835" w:rsidRDefault="009C0247" w:rsidP="009C0247">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5E3835">
        <w:rPr>
          <w:rFonts w:ascii="Garamond" w:eastAsiaTheme="minorHAnsi" w:hAnsi="Garamond"/>
          <w:b/>
          <w:bCs/>
          <w:color w:val="000000"/>
          <w:sz w:val="24"/>
          <w:szCs w:val="24"/>
          <w14:ligatures w14:val="standardContextual"/>
        </w:rPr>
        <w:t>Në çështjen Bitraj kundër Shqipërisë</w:t>
      </w:r>
    </w:p>
    <w:p w14:paraId="11A6D756" w14:textId="77777777" w:rsidR="009C0247" w:rsidRPr="005E3835" w:rsidRDefault="009C0247" w:rsidP="009C024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Gjykata Evropiane e të Drejtave të Njeriut (Seksioni i Tretë), e mbledhur si një Komitet i përbërë nga: </w:t>
      </w:r>
    </w:p>
    <w:p w14:paraId="489FCBF1" w14:textId="5AB3C5F0" w:rsidR="009C0247" w:rsidRPr="005E3835" w:rsidRDefault="009C0247" w:rsidP="009C0247">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 Úna Ní Raifeartaigh,</w:t>
      </w:r>
      <w:r w:rsidRPr="005E3835">
        <w:rPr>
          <w:rFonts w:ascii="Garamond" w:eastAsiaTheme="minorHAnsi" w:hAnsi="Garamond"/>
          <w:i/>
          <w:iCs/>
          <w:color w:val="000000"/>
          <w:sz w:val="24"/>
          <w:szCs w:val="24"/>
          <w14:ligatures w14:val="standardContextual"/>
        </w:rPr>
        <w:t xml:space="preserve"> Kryetar,</w:t>
      </w:r>
    </w:p>
    <w:p w14:paraId="355FC441" w14:textId="59F8097A" w:rsidR="009C0247" w:rsidRPr="005E3835" w:rsidRDefault="009C0247" w:rsidP="009C0247">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 </w:t>
      </w:r>
      <w:r w:rsidRPr="005E3835">
        <w:rPr>
          <w:rFonts w:ascii="Garamond" w:eastAsiaTheme="minorHAnsi" w:hAnsi="Garamond"/>
          <w:color w:val="000000"/>
          <w:sz w:val="24"/>
          <w:szCs w:val="24"/>
          <w14:ligatures w14:val="standardContextual"/>
        </w:rPr>
        <w:t>Darian Pavli,</w:t>
      </w:r>
      <w:r w:rsidRPr="005E3835">
        <w:rPr>
          <w:rFonts w:ascii="Garamond" w:eastAsiaTheme="minorHAnsi" w:hAnsi="Garamond"/>
          <w:i/>
          <w:iCs/>
          <w:color w:val="000000"/>
          <w:sz w:val="24"/>
          <w:szCs w:val="24"/>
          <w14:ligatures w14:val="standardContextual"/>
        </w:rPr>
        <w:t xml:space="preserve"> </w:t>
      </w:r>
    </w:p>
    <w:p w14:paraId="35F8B413" w14:textId="110B5C74" w:rsidR="009C0247" w:rsidRPr="005E3835" w:rsidRDefault="009C0247" w:rsidP="009C0247">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 Mateja Đurović, </w:t>
      </w:r>
      <w:r w:rsidRPr="005E3835">
        <w:rPr>
          <w:rFonts w:ascii="Garamond" w:eastAsiaTheme="minorHAnsi" w:hAnsi="Garamond"/>
          <w:i/>
          <w:iCs/>
          <w:color w:val="000000"/>
          <w:sz w:val="24"/>
          <w:szCs w:val="24"/>
          <w14:ligatures w14:val="standardContextual"/>
        </w:rPr>
        <w:t>gjyqtarë</w:t>
      </w:r>
    </w:p>
    <w:p w14:paraId="21211B2A" w14:textId="68857ED7" w:rsidR="009C0247" w:rsidRPr="005E3835" w:rsidRDefault="009C0247" w:rsidP="009C024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dhe Olga Chernishova, </w:t>
      </w:r>
      <w:r w:rsidR="005E3835">
        <w:rPr>
          <w:rFonts w:ascii="Garamond" w:eastAsiaTheme="minorHAnsi" w:hAnsi="Garamond"/>
          <w:i/>
          <w:iCs/>
          <w:color w:val="000000"/>
          <w:sz w:val="24"/>
          <w:szCs w:val="24"/>
          <w14:ligatures w14:val="standardContextual"/>
        </w:rPr>
        <w:t>z</w:t>
      </w:r>
      <w:r w:rsidRPr="005E3835">
        <w:rPr>
          <w:rFonts w:ascii="Garamond" w:eastAsiaTheme="minorHAnsi" w:hAnsi="Garamond"/>
          <w:i/>
          <w:iCs/>
          <w:color w:val="000000"/>
          <w:sz w:val="24"/>
          <w:szCs w:val="24"/>
          <w14:ligatures w14:val="standardContextual"/>
        </w:rPr>
        <w:t>ëvendëssekretare e Seksionit,</w:t>
      </w:r>
    </w:p>
    <w:p w14:paraId="0E1BE112" w14:textId="55F03198"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 </w:t>
      </w:r>
      <w:r w:rsidRPr="005E3835">
        <w:rPr>
          <w:rFonts w:ascii="Garamond" w:eastAsiaTheme="minorHAnsi" w:hAnsi="Garamond"/>
          <w:color w:val="000000"/>
          <w:sz w:val="24"/>
          <w:szCs w:val="24"/>
          <w14:ligatures w14:val="standardContextual"/>
        </w:rPr>
        <w:t xml:space="preserve">Duke mbajtur në konsideratë: </w:t>
      </w:r>
    </w:p>
    <w:p w14:paraId="5E96159A" w14:textId="4404AD54"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 kërkesën (nr. 10024/17) kundër Republikës së Shqipërisë depozituar në Gjykatë, më 31 </w:t>
      </w:r>
      <w:r w:rsidR="005E3835">
        <w:rPr>
          <w:rFonts w:ascii="Garamond" w:eastAsiaTheme="minorHAnsi" w:hAnsi="Garamond"/>
          <w:color w:val="000000"/>
          <w:sz w:val="24"/>
          <w:szCs w:val="24"/>
          <w14:ligatures w14:val="standardContextual"/>
        </w:rPr>
        <w:t>j</w:t>
      </w:r>
      <w:r w:rsidRPr="005E3835">
        <w:rPr>
          <w:rFonts w:ascii="Garamond" w:eastAsiaTheme="minorHAnsi" w:hAnsi="Garamond"/>
          <w:color w:val="000000"/>
          <w:sz w:val="24"/>
          <w:szCs w:val="24"/>
          <w14:ligatures w14:val="standardContextual"/>
        </w:rPr>
        <w:t xml:space="preserve">anar 2017, në mbështetje të </w:t>
      </w:r>
      <w:r w:rsidR="005E3835">
        <w:rPr>
          <w:rFonts w:ascii="Garamond" w:eastAsiaTheme="minorHAnsi" w:hAnsi="Garamond"/>
          <w:color w:val="000000"/>
          <w:sz w:val="24"/>
          <w:szCs w:val="24"/>
          <w14:ligatures w14:val="standardContextual"/>
        </w:rPr>
        <w:t>n</w:t>
      </w:r>
      <w:r w:rsidRPr="005E3835">
        <w:rPr>
          <w:rFonts w:ascii="Garamond" w:eastAsiaTheme="minorHAnsi" w:hAnsi="Garamond"/>
          <w:color w:val="000000"/>
          <w:sz w:val="24"/>
          <w:szCs w:val="24"/>
          <w14:ligatures w14:val="standardContextual"/>
        </w:rPr>
        <w:t>enit 34 të Konventës për Mbrojtjen e të Drejtave të</w:t>
      </w:r>
      <w:r w:rsidR="005E3835">
        <w:rPr>
          <w:rFonts w:ascii="Garamond" w:eastAsiaTheme="minorHAnsi" w:hAnsi="Garamond"/>
          <w:color w:val="000000"/>
          <w:sz w:val="24"/>
          <w:szCs w:val="24"/>
          <w14:ligatures w14:val="standardContextual"/>
        </w:rPr>
        <w:t xml:space="preserve"> Njeriut dhe Lirive Themelore (Konventa</w:t>
      </w:r>
      <w:r w:rsidRPr="005E3835">
        <w:rPr>
          <w:rFonts w:ascii="Garamond" w:eastAsiaTheme="minorHAnsi" w:hAnsi="Garamond"/>
          <w:color w:val="000000"/>
          <w:sz w:val="24"/>
          <w:szCs w:val="24"/>
          <w14:ligatures w14:val="standardContextual"/>
        </w:rPr>
        <w:t xml:space="preserve">), nga një shtetas shqiptar, </w:t>
      </w:r>
      <w:r w:rsidR="005E3835">
        <w:rPr>
          <w:rFonts w:ascii="Garamond" w:eastAsiaTheme="minorHAnsi" w:hAnsi="Garamond"/>
          <w:color w:val="000000"/>
          <w:sz w:val="24"/>
          <w:szCs w:val="24"/>
          <w14:ligatures w14:val="standardContextual"/>
        </w:rPr>
        <w:t>z. Klaidin Bitraj (kërkuesi</w:t>
      </w:r>
      <w:r w:rsidRPr="005E3835">
        <w:rPr>
          <w:rFonts w:ascii="Garamond" w:eastAsiaTheme="minorHAnsi" w:hAnsi="Garamond"/>
          <w:color w:val="000000"/>
          <w:sz w:val="24"/>
          <w:szCs w:val="24"/>
          <w14:ligatures w14:val="standardContextual"/>
        </w:rPr>
        <w:t xml:space="preserve">), i cili ka lindur në vitin 1974, jeton në Tiranë, dhe u përfaqësua nga </w:t>
      </w:r>
      <w:r w:rsidR="005E3835">
        <w:rPr>
          <w:rFonts w:ascii="Garamond" w:eastAsiaTheme="minorHAnsi" w:hAnsi="Garamond"/>
          <w:color w:val="000000"/>
          <w:sz w:val="24"/>
          <w:szCs w:val="24"/>
          <w14:ligatures w14:val="standardContextual"/>
        </w:rPr>
        <w:t>z</w:t>
      </w:r>
      <w:r w:rsidRPr="005E3835">
        <w:rPr>
          <w:rFonts w:ascii="Garamond" w:eastAsiaTheme="minorHAnsi" w:hAnsi="Garamond"/>
          <w:color w:val="000000"/>
          <w:sz w:val="24"/>
          <w:szCs w:val="24"/>
          <w14:ligatures w14:val="standardContextual"/>
        </w:rPr>
        <w:t xml:space="preserve">. D. Matlija, dhe </w:t>
      </w:r>
      <w:r w:rsidR="005E3835">
        <w:rPr>
          <w:rFonts w:ascii="Garamond" w:eastAsiaTheme="minorHAnsi" w:hAnsi="Garamond"/>
          <w:color w:val="000000"/>
          <w:sz w:val="24"/>
          <w:szCs w:val="24"/>
          <w14:ligatures w14:val="standardContextual"/>
        </w:rPr>
        <w:t>z</w:t>
      </w:r>
      <w:r w:rsidRPr="005E3835">
        <w:rPr>
          <w:rFonts w:ascii="Garamond" w:eastAsiaTheme="minorHAnsi" w:hAnsi="Garamond"/>
          <w:color w:val="000000"/>
          <w:sz w:val="24"/>
          <w:szCs w:val="24"/>
          <w14:ligatures w14:val="standardContextual"/>
        </w:rPr>
        <w:t>. T. Alexandridis, avokatë të cilët e u</w:t>
      </w:r>
      <w:r w:rsidR="005E3835">
        <w:rPr>
          <w:rFonts w:ascii="Garamond" w:eastAsiaTheme="minorHAnsi" w:hAnsi="Garamond"/>
          <w:color w:val="000000"/>
          <w:sz w:val="24"/>
          <w:szCs w:val="24"/>
          <w14:ligatures w14:val="standardContextual"/>
        </w:rPr>
        <w:t>shtrojnë profesionin në Tiranë;</w:t>
      </w:r>
    </w:p>
    <w:p w14:paraId="3EC79946" w14:textId="161D57F2"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 vendimin për të njoftuar </w:t>
      </w:r>
      <w:r w:rsidR="005E3835" w:rsidRPr="005E3835">
        <w:rPr>
          <w:rFonts w:ascii="Garamond" w:eastAsiaTheme="minorHAnsi" w:hAnsi="Garamond"/>
          <w:color w:val="000000"/>
          <w:sz w:val="24"/>
          <w:szCs w:val="24"/>
          <w14:ligatures w14:val="standardContextual"/>
        </w:rPr>
        <w:t>qev</w:t>
      </w:r>
      <w:r w:rsidR="005E3835">
        <w:rPr>
          <w:rFonts w:ascii="Garamond" w:eastAsiaTheme="minorHAnsi" w:hAnsi="Garamond"/>
          <w:color w:val="000000"/>
          <w:sz w:val="24"/>
          <w:szCs w:val="24"/>
          <w14:ligatures w14:val="standardContextual"/>
        </w:rPr>
        <w:t>erinë shqiptare (</w:t>
      </w:r>
      <w:r w:rsidR="005E3835" w:rsidRPr="005E3835">
        <w:rPr>
          <w:rFonts w:ascii="Garamond" w:eastAsiaTheme="minorHAnsi" w:hAnsi="Garamond"/>
          <w:color w:val="000000"/>
          <w:sz w:val="24"/>
          <w:szCs w:val="24"/>
          <w14:ligatures w14:val="standardContextual"/>
        </w:rPr>
        <w:t>Qev</w:t>
      </w:r>
      <w:r w:rsidR="005E3835">
        <w:rPr>
          <w:rFonts w:ascii="Garamond" w:eastAsiaTheme="minorHAnsi" w:hAnsi="Garamond"/>
          <w:color w:val="000000"/>
          <w:sz w:val="24"/>
          <w:szCs w:val="24"/>
          <w14:ligatures w14:val="standardContextual"/>
        </w:rPr>
        <w:t>eria</w:t>
      </w:r>
      <w:r w:rsidRPr="005E3835">
        <w:rPr>
          <w:rFonts w:ascii="Garamond" w:eastAsiaTheme="minorHAnsi" w:hAnsi="Garamond"/>
          <w:color w:val="000000"/>
          <w:sz w:val="24"/>
          <w:szCs w:val="24"/>
          <w14:ligatures w14:val="standardContextual"/>
        </w:rPr>
        <w:t xml:space="preserve">), e përfaqësuar nga Agjenti i saj, </w:t>
      </w:r>
      <w:r w:rsidR="005E3835">
        <w:rPr>
          <w:rFonts w:ascii="Garamond" w:eastAsiaTheme="minorHAnsi" w:hAnsi="Garamond"/>
          <w:color w:val="000000"/>
          <w:sz w:val="24"/>
          <w:szCs w:val="24"/>
          <w14:ligatures w14:val="standardContextual"/>
        </w:rPr>
        <w:t>z</w:t>
      </w:r>
      <w:r w:rsidRPr="005E3835">
        <w:rPr>
          <w:rFonts w:ascii="Garamond" w:eastAsiaTheme="minorHAnsi" w:hAnsi="Garamond"/>
          <w:color w:val="000000"/>
          <w:sz w:val="24"/>
          <w:szCs w:val="24"/>
          <w14:ligatures w14:val="standardContextual"/>
        </w:rPr>
        <w:t>. O Moçka, Avokati i Përgjithshëm i Shtetit, në lidhje me ankesat</w:t>
      </w:r>
      <w:r w:rsidR="005E3835">
        <w:rPr>
          <w:rFonts w:ascii="Garamond" w:eastAsiaTheme="minorHAnsi" w:hAnsi="Garamond"/>
          <w:color w:val="000000"/>
          <w:sz w:val="24"/>
          <w:szCs w:val="24"/>
          <w14:ligatures w14:val="standardContextual"/>
        </w:rPr>
        <w:t>;</w:t>
      </w:r>
    </w:p>
    <w:p w14:paraId="0A4FF497" w14:textId="27A577E0"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 </w:t>
      </w:r>
      <w:r w:rsidR="001E2BED">
        <w:rPr>
          <w:rFonts w:ascii="Garamond" w:eastAsiaTheme="minorHAnsi" w:hAnsi="Garamond"/>
          <w:color w:val="000000"/>
          <w:sz w:val="24"/>
          <w:szCs w:val="24"/>
          <w14:ligatures w14:val="standardContextual"/>
        </w:rPr>
        <w:t>vërejtjet e palëve;</w:t>
      </w:r>
      <w:bookmarkStart w:id="0" w:name="_GoBack"/>
      <w:bookmarkEnd w:id="0"/>
    </w:p>
    <w:p w14:paraId="3866F662" w14:textId="78F81E59"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 Pasi diskutoi me dyer të mbyllura</w:t>
      </w:r>
      <w:r w:rsidR="005E3835">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më 31 </w:t>
      </w:r>
      <w:r w:rsidR="005E3835">
        <w:rPr>
          <w:rFonts w:ascii="Garamond" w:eastAsiaTheme="minorHAnsi" w:hAnsi="Garamond"/>
          <w:color w:val="000000"/>
          <w:sz w:val="24"/>
          <w:szCs w:val="24"/>
          <w14:ligatures w14:val="standardContextual"/>
        </w:rPr>
        <w:t>m</w:t>
      </w:r>
      <w:r w:rsidRPr="005E3835">
        <w:rPr>
          <w:rFonts w:ascii="Garamond" w:eastAsiaTheme="minorHAnsi" w:hAnsi="Garamond"/>
          <w:color w:val="000000"/>
          <w:sz w:val="24"/>
          <w:szCs w:val="24"/>
          <w14:ligatures w14:val="standardContextual"/>
        </w:rPr>
        <w:t xml:space="preserve">ars 2026, </w:t>
      </w:r>
    </w:p>
    <w:p w14:paraId="6106E9E9" w14:textId="51E36193"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 Shpall vendimin e mëposhtëm, që u miratua në të njëjtën datë: </w:t>
      </w:r>
    </w:p>
    <w:p w14:paraId="368157FD" w14:textId="77777777"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LËNDA E ÇËSHTJES</w:t>
      </w:r>
    </w:p>
    <w:p w14:paraId="37717C21" w14:textId="503F4D06"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1. Çështja ka të bëjë me një shkelje të pretenduar të së drejtës së kërkuesit për t’iu drejtuar Gjykatës Kushtetuese dhe garancive të tjera të gjykimit të drejtë sipas </w:t>
      </w:r>
      <w:r w:rsidR="00EE740E">
        <w:rPr>
          <w:rFonts w:ascii="Garamond" w:eastAsiaTheme="minorHAnsi" w:hAnsi="Garamond"/>
          <w:color w:val="000000"/>
          <w:sz w:val="24"/>
          <w:szCs w:val="24"/>
          <w14:ligatures w14:val="standardContextual"/>
        </w:rPr>
        <w:t>nenit 6 §§</w:t>
      </w:r>
      <w:r w:rsidRPr="005E3835">
        <w:rPr>
          <w:rFonts w:ascii="Garamond" w:eastAsiaTheme="minorHAnsi" w:hAnsi="Garamond"/>
          <w:color w:val="000000"/>
          <w:sz w:val="24"/>
          <w:szCs w:val="24"/>
          <w14:ligatures w14:val="standardContextual"/>
        </w:rPr>
        <w:t>1, 2 dhe 3 të Konventës.</w:t>
      </w:r>
    </w:p>
    <w:p w14:paraId="17B3D489" w14:textId="1AA42607"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2. Më 8 mars 2006, Gjykata e Rrethit Vlorë </w:t>
      </w:r>
      <w:r w:rsidR="00EE740E">
        <w:rPr>
          <w:rFonts w:ascii="Garamond" w:eastAsiaTheme="minorHAnsi" w:hAnsi="Garamond"/>
          <w:color w:val="000000"/>
          <w:sz w:val="24"/>
          <w:szCs w:val="24"/>
          <w14:ligatures w14:val="standardContextual"/>
        </w:rPr>
        <w:t>(Gjykata e Rrethit</w:t>
      </w:r>
      <w:r w:rsidRPr="005E3835">
        <w:rPr>
          <w:rFonts w:ascii="Garamond" w:eastAsiaTheme="minorHAnsi" w:hAnsi="Garamond"/>
          <w:color w:val="000000"/>
          <w:sz w:val="24"/>
          <w:szCs w:val="24"/>
          <w14:ligatures w14:val="standardContextual"/>
        </w:rPr>
        <w:t>) e shpalli kërkuesin fajtor për vrasje, të kryer në bashkëpunim me të tjerë, dhe për mbajtje të paligjshme të armëve të zjarrit. Ajo e dënoi atë me 25 vjet burgim.</w:t>
      </w:r>
    </w:p>
    <w:p w14:paraId="68ED3760" w14:textId="2F7CEA84"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3. Pasi çështja u ridërgua disa herë për shqyrtim, më 18 </w:t>
      </w:r>
      <w:r w:rsidR="00EE740E">
        <w:rPr>
          <w:rFonts w:ascii="Garamond" w:eastAsiaTheme="minorHAnsi" w:hAnsi="Garamond"/>
          <w:color w:val="000000"/>
          <w:sz w:val="24"/>
          <w:szCs w:val="24"/>
          <w14:ligatures w14:val="standardContextual"/>
        </w:rPr>
        <w:t>q</w:t>
      </w:r>
      <w:r w:rsidRPr="005E3835">
        <w:rPr>
          <w:rFonts w:ascii="Garamond" w:eastAsiaTheme="minorHAnsi" w:hAnsi="Garamond"/>
          <w:color w:val="000000"/>
          <w:sz w:val="24"/>
          <w:szCs w:val="24"/>
          <w14:ligatures w14:val="standardContextual"/>
        </w:rPr>
        <w:t>ershor 2014, Gjykata e Apelit Vlorë uli dënimin e dhënë nga Gjykata e Rrethit</w:t>
      </w:r>
      <w:r w:rsidR="00EE740E">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më 8 </w:t>
      </w:r>
      <w:r w:rsidR="00EE740E">
        <w:rPr>
          <w:rFonts w:ascii="Garamond" w:eastAsiaTheme="minorHAnsi" w:hAnsi="Garamond"/>
          <w:color w:val="000000"/>
          <w:sz w:val="24"/>
          <w:szCs w:val="24"/>
          <w14:ligatures w14:val="standardContextual"/>
        </w:rPr>
        <w:t>m</w:t>
      </w:r>
      <w:r w:rsidRPr="005E3835">
        <w:rPr>
          <w:rFonts w:ascii="Garamond" w:eastAsiaTheme="minorHAnsi" w:hAnsi="Garamond"/>
          <w:color w:val="000000"/>
          <w:sz w:val="24"/>
          <w:szCs w:val="24"/>
          <w14:ligatures w14:val="standardContextual"/>
        </w:rPr>
        <w:t>ars 2006</w:t>
      </w:r>
      <w:r w:rsidR="00EE740E">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për veprën penale të mbajtjes së paligjshme të armëve të zjarrit, por la në fuqi dënimin e përbashkët të dhënë nga Gjykata e Rrethit. Dënimi total me burgim i kërkuesit prej 25 vjetësh mbeti i pandryshuar. Më 5 </w:t>
      </w:r>
      <w:r w:rsidR="00EE740E">
        <w:rPr>
          <w:rFonts w:ascii="Garamond" w:eastAsiaTheme="minorHAnsi" w:hAnsi="Garamond"/>
          <w:color w:val="000000"/>
          <w:sz w:val="24"/>
          <w:szCs w:val="24"/>
          <w14:ligatures w14:val="standardContextual"/>
        </w:rPr>
        <w:t>n</w:t>
      </w:r>
      <w:r w:rsidRPr="005E3835">
        <w:rPr>
          <w:rFonts w:ascii="Garamond" w:eastAsiaTheme="minorHAnsi" w:hAnsi="Garamond"/>
          <w:color w:val="000000"/>
          <w:sz w:val="24"/>
          <w:szCs w:val="24"/>
          <w14:ligatures w14:val="standardContextual"/>
        </w:rPr>
        <w:t>ëntor 2015, Gjykata e Lartë rrëzoi një ankim kasacioni nga kërkuesi pasi ai nuk kishte paraqitur asnjë bazë të argumentueshme mbi të cilën mund të bazohej një ankim mbi pikat e ligjit.</w:t>
      </w:r>
    </w:p>
    <w:p w14:paraId="6F725323" w14:textId="64B62071"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4. Më 4 </w:t>
      </w:r>
      <w:r w:rsidR="00EE740E">
        <w:rPr>
          <w:rFonts w:ascii="Garamond" w:eastAsiaTheme="minorHAnsi" w:hAnsi="Garamond"/>
          <w:color w:val="000000"/>
          <w:sz w:val="24"/>
          <w:szCs w:val="24"/>
          <w14:ligatures w14:val="standardContextual"/>
        </w:rPr>
        <w:t>g</w:t>
      </w:r>
      <w:r w:rsidRPr="005E3835">
        <w:rPr>
          <w:rFonts w:ascii="Garamond" w:eastAsiaTheme="minorHAnsi" w:hAnsi="Garamond"/>
          <w:color w:val="000000"/>
          <w:sz w:val="24"/>
          <w:szCs w:val="24"/>
          <w14:ligatures w14:val="standardContextual"/>
        </w:rPr>
        <w:t>usht 2016, Gjykata Kushtetuese, e mbledhur në një formacion prej shtatë nga nëntë gjyqtarësh, pasi dy gjyqtarë u tërhoqën nga shqyrtimi i çështjes, e rrëzoi pa paragjykim ankesën e kërkuesit për mosarritjen e shumicës së kërkuar prej pesë anëtarësh. Arsyetimi në vendim u kufizua në deklarimin e rezultateve të votimit (katër vota kundër tre në favor të rrëzimit të ankesës kushtetuese) dhe faktin se gjykata nuk kishte qenë në gjendje të arrinte shumicën e kërkuar prej pesë anëtarësh për asnjë nga çështjet e ngritura në ankesë.</w:t>
      </w:r>
    </w:p>
    <w:p w14:paraId="0FEC49D3" w14:textId="6D672039"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5. Kërkuesi u informua për mundësinë, sipas nenit 74 të Ligjit të Gjykatës Kushtetuese, për të paraqitur një ankesë të re në një datë të mëvonshme.</w:t>
      </w:r>
    </w:p>
    <w:p w14:paraId="75DEF462" w14:textId="77777777"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LIGJI DHE PRAKTIKA E BRENDSHME</w:t>
      </w:r>
    </w:p>
    <w:p w14:paraId="429F54FF" w14:textId="66587035"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lastRenderedPageBreak/>
        <w:t xml:space="preserve">6. Në çështjen </w:t>
      </w:r>
      <w:r w:rsidRPr="005E3835">
        <w:rPr>
          <w:rFonts w:ascii="Garamond" w:eastAsiaTheme="minorHAnsi" w:hAnsi="Garamond"/>
          <w:i/>
          <w:iCs/>
          <w:color w:val="000000"/>
          <w:sz w:val="24"/>
          <w:szCs w:val="24"/>
          <w14:ligatures w14:val="standardContextual"/>
        </w:rPr>
        <w:t>Marini kundër Shqipërisë</w:t>
      </w:r>
      <w:r w:rsidRPr="005E3835">
        <w:rPr>
          <w:rFonts w:ascii="Garamond" w:eastAsiaTheme="minorHAnsi" w:hAnsi="Garamond"/>
          <w:color w:val="000000"/>
          <w:sz w:val="24"/>
          <w:szCs w:val="24"/>
          <w14:ligatures w14:val="standardContextual"/>
        </w:rPr>
        <w:t xml:space="preserve"> (nr. 3738/02, 18 </w:t>
      </w:r>
      <w:r w:rsidR="00EE740E">
        <w:rPr>
          <w:rFonts w:ascii="Garamond" w:eastAsiaTheme="minorHAnsi" w:hAnsi="Garamond"/>
          <w:color w:val="000000"/>
          <w:sz w:val="24"/>
          <w:szCs w:val="24"/>
          <w14:ligatures w14:val="standardContextual"/>
        </w:rPr>
        <w:t>d</w:t>
      </w:r>
      <w:r w:rsidRPr="005E3835">
        <w:rPr>
          <w:rFonts w:ascii="Garamond" w:eastAsiaTheme="minorHAnsi" w:hAnsi="Garamond"/>
          <w:color w:val="000000"/>
          <w:sz w:val="24"/>
          <w:szCs w:val="24"/>
          <w14:ligatures w14:val="standardContextual"/>
        </w:rPr>
        <w:t xml:space="preserve">hjetor 2007), Gjykata vendosi se rrëzimi i një ankese kushtetuese pa paragjykim, me arsyetimin se gjykata nuk kishte arritur “shumicën e kërkuar të votave të të gjithë anëtarëve për asnjë nga rezultatet”, kishte shkelur të drejtën për një gjykim të drejtë. Pas këtij vendimi, </w:t>
      </w:r>
      <w:r w:rsidR="00EE740E">
        <w:rPr>
          <w:rFonts w:ascii="Garamond" w:eastAsiaTheme="minorHAnsi" w:hAnsi="Garamond"/>
          <w:color w:val="000000"/>
          <w:sz w:val="24"/>
          <w:szCs w:val="24"/>
          <w14:ligatures w14:val="standardContextual"/>
        </w:rPr>
        <w:t>l</w:t>
      </w:r>
      <w:r w:rsidRPr="005E3835">
        <w:rPr>
          <w:rFonts w:ascii="Garamond" w:eastAsiaTheme="minorHAnsi" w:hAnsi="Garamond"/>
          <w:color w:val="000000"/>
          <w:sz w:val="24"/>
          <w:szCs w:val="24"/>
          <w14:ligatures w14:val="standardContextual"/>
        </w:rPr>
        <w:t xml:space="preserve">igji nr. 99/2016, që hyri në fuqi më 1 </w:t>
      </w:r>
      <w:r w:rsidR="00EE740E">
        <w:rPr>
          <w:rFonts w:ascii="Garamond" w:eastAsiaTheme="minorHAnsi" w:hAnsi="Garamond"/>
          <w:color w:val="000000"/>
          <w:sz w:val="24"/>
          <w:szCs w:val="24"/>
          <w14:ligatures w14:val="standardContextual"/>
        </w:rPr>
        <w:t>m</w:t>
      </w:r>
      <w:r w:rsidRPr="005E3835">
        <w:rPr>
          <w:rFonts w:ascii="Garamond" w:eastAsiaTheme="minorHAnsi" w:hAnsi="Garamond"/>
          <w:color w:val="000000"/>
          <w:sz w:val="24"/>
          <w:szCs w:val="24"/>
          <w14:ligatures w14:val="standardContextual"/>
        </w:rPr>
        <w:t>ars 2017, ndryshoi nenin 73(4) të Ligjit të Gjykatës Kushtetuese. Në përputhje me këto ndryshime, nuk është më e mundur që të rrëzohet pa paragjykim një ankesë individuale si pasojë e mosarritjes së shumicës prej pesë anëtarësh. Në raste të tilla, ankesa do të rrëzohet me paragjykim në mënyrë përfundimtare dhe definitive. Neni i mëparshëm 74 i Ligjit të Gjykatës Kushtetuese, që parashikonte mundësinë e paraqitjes së një ankese të re në raste të tilla, u shfuqizua.</w:t>
      </w:r>
    </w:p>
    <w:p w14:paraId="2D487C92" w14:textId="77777777"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VLERËSIMI I GJYKATËS</w:t>
      </w:r>
    </w:p>
    <w:p w14:paraId="32C3C416" w14:textId="6E45D486"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I. S</w:t>
      </w:r>
      <w:r w:rsidR="00EE740E">
        <w:rPr>
          <w:rFonts w:ascii="Garamond" w:eastAsiaTheme="minorHAnsi" w:hAnsi="Garamond"/>
          <w:color w:val="000000"/>
          <w:sz w:val="24"/>
          <w:szCs w:val="24"/>
          <w14:ligatures w14:val="standardContextual"/>
        </w:rPr>
        <w:t>HKELJA E PRETENDUAR E NENIT 6 §</w:t>
      </w:r>
      <w:r w:rsidRPr="005E3835">
        <w:rPr>
          <w:rFonts w:ascii="Garamond" w:eastAsiaTheme="minorHAnsi" w:hAnsi="Garamond"/>
          <w:color w:val="000000"/>
          <w:sz w:val="24"/>
          <w:szCs w:val="24"/>
          <w14:ligatures w14:val="standardContextual"/>
        </w:rPr>
        <w:t>1 TË KONVENTËS</w:t>
      </w:r>
      <w:r w:rsidR="00EE740E">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NË LIDHJE ME TË DREJTËN PËR T’IU DREJTUAR GJYKATËS KUSHTETUESE</w:t>
      </w:r>
    </w:p>
    <w:p w14:paraId="7228321F" w14:textId="2D1AEC81"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7. Gjykata vëren se kjo ankesë nuk është qartazi e pabazuar sipas interpretimit të </w:t>
      </w:r>
      <w:r w:rsidR="00EE740E">
        <w:rPr>
          <w:rFonts w:ascii="Garamond" w:eastAsiaTheme="minorHAnsi" w:hAnsi="Garamond"/>
          <w:color w:val="000000"/>
          <w:sz w:val="24"/>
          <w:szCs w:val="24"/>
          <w14:ligatures w14:val="standardContextual"/>
        </w:rPr>
        <w:t>n</w:t>
      </w:r>
      <w:r w:rsidRPr="005E3835">
        <w:rPr>
          <w:rFonts w:ascii="Garamond" w:eastAsiaTheme="minorHAnsi" w:hAnsi="Garamond"/>
          <w:color w:val="000000"/>
          <w:sz w:val="24"/>
          <w:szCs w:val="24"/>
          <w14:ligatures w14:val="standardContextual"/>
        </w:rPr>
        <w:t>enit 35 § 3 (a) të Konventës, dhe as nuk është e papranueshme për ndonjë arsye tjetër. Prandaj, ajo duhet të shpallet e pranueshme.</w:t>
      </w:r>
    </w:p>
    <w:p w14:paraId="0B17C13B" w14:textId="7EA00051"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8. Parimet e përgjithshme</w:t>
      </w:r>
      <w:r w:rsidR="00EE740E">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në lidhje me aksesin në Gjykatën Kushtetuese të Shqipërisë për sa i përket rrëzimit të ankesave kushtetuese për shkak se nuk mund të arrihej shumica </w:t>
      </w:r>
      <w:r w:rsidR="00EE740E">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para ndryshimeve të bëra nga </w:t>
      </w:r>
      <w:r w:rsidR="00EE740E">
        <w:rPr>
          <w:rFonts w:ascii="Garamond" w:eastAsiaTheme="minorHAnsi" w:hAnsi="Garamond"/>
          <w:color w:val="000000"/>
          <w:sz w:val="24"/>
          <w:szCs w:val="24"/>
          <w14:ligatures w14:val="standardContextual"/>
        </w:rPr>
        <w:t>l</w:t>
      </w:r>
      <w:r w:rsidRPr="005E3835">
        <w:rPr>
          <w:rFonts w:ascii="Garamond" w:eastAsiaTheme="minorHAnsi" w:hAnsi="Garamond"/>
          <w:color w:val="000000"/>
          <w:sz w:val="24"/>
          <w:szCs w:val="24"/>
          <w14:ligatures w14:val="standardContextual"/>
        </w:rPr>
        <w:t xml:space="preserve">igji nr. 99/2016 (shih paragrafin 6 më sipër) </w:t>
      </w:r>
      <w:r w:rsidR="00EE740E">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janë përmbledhur në vendimin </w:t>
      </w:r>
      <w:r w:rsidRPr="005E3835">
        <w:rPr>
          <w:rFonts w:ascii="Garamond" w:eastAsiaTheme="minorHAnsi" w:hAnsi="Garamond"/>
          <w:i/>
          <w:iCs/>
          <w:color w:val="000000"/>
          <w:sz w:val="24"/>
          <w:szCs w:val="24"/>
          <w14:ligatures w14:val="standardContextual"/>
        </w:rPr>
        <w:t>Marini</w:t>
      </w:r>
      <w:r w:rsidRPr="005E3835">
        <w:rPr>
          <w:rFonts w:ascii="Garamond" w:eastAsiaTheme="minorHAnsi" w:hAnsi="Garamond"/>
          <w:color w:val="000000"/>
          <w:sz w:val="24"/>
          <w:szCs w:val="24"/>
          <w14:ligatures w14:val="standardContextual"/>
        </w:rPr>
        <w:t xml:space="preserve"> (cituar më sipër, §§ 118</w:t>
      </w:r>
      <w:r w:rsidR="00EE740E">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23).</w:t>
      </w:r>
    </w:p>
    <w:p w14:paraId="295CB28D" w14:textId="05A9905A"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9. Kërkuesi argumentoi se ai ishte privuar nga aksesi në Gjykatën Kushtetuese, pasi ajo nuk kishte arritur shumicën e kërkuar prej pesë anëtarësh. Një qasje e tillë e kishte lënë atë pa një vendim përfundimtar të pretendimeve të tij dhe kishte shkelur garancitë e gjy</w:t>
      </w:r>
      <w:r w:rsidR="00EE740E">
        <w:rPr>
          <w:rFonts w:ascii="Garamond" w:eastAsiaTheme="minorHAnsi" w:hAnsi="Garamond"/>
          <w:color w:val="000000"/>
          <w:sz w:val="24"/>
          <w:szCs w:val="24"/>
          <w14:ligatures w14:val="standardContextual"/>
        </w:rPr>
        <w:t>kimit të drejtë sipas Konventës.</w:t>
      </w:r>
    </w:p>
    <w:p w14:paraId="643A94F3" w14:textId="638AB3B1"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10. Qeveria pretendoi se rrëzimi i çështjes për shkak të mosarritjes së shumicës së kërkuar prej pesë anëtarësh ishte bazuar në ligjin në fuqi në kohën përkatëse dhe kishte për qëllim sigurimin e konsistencës së praktikës gjyqësore të Gjykatës Kushtetuese dhe miratimin e vendimeve të mbështetura në fakte.</w:t>
      </w:r>
    </w:p>
    <w:p w14:paraId="3671244A" w14:textId="4A3ABBC8"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11. Gjykata nuk gjen argumente të forta për të dalluar çështjen aktuale nga çështja </w:t>
      </w:r>
      <w:r w:rsidRPr="005E3835">
        <w:rPr>
          <w:rFonts w:ascii="Garamond" w:eastAsiaTheme="minorHAnsi" w:hAnsi="Garamond"/>
          <w:i/>
          <w:iCs/>
          <w:color w:val="000000"/>
          <w:sz w:val="24"/>
          <w:szCs w:val="24"/>
          <w14:ligatures w14:val="standardContextual"/>
        </w:rPr>
        <w:t>Marini</w:t>
      </w:r>
      <w:r w:rsidRPr="005E3835">
        <w:rPr>
          <w:rFonts w:ascii="Garamond" w:eastAsiaTheme="minorHAnsi" w:hAnsi="Garamond"/>
          <w:color w:val="000000"/>
          <w:sz w:val="24"/>
          <w:szCs w:val="24"/>
          <w14:ligatures w14:val="standardContextual"/>
        </w:rPr>
        <w:t xml:space="preserve">. Ankesa kushtetuese e kërkuesit u rrëzua sepse anëtarët e panelit ishin të ndarë dhe nuk mundën të arrinin shumicën prej pesë anëtarësh të kërkuar me ligj. Kjo e la kërkuesin pa një vendim përfundimtar të çështjes së tij dhe, në përputhje me rrethanat, kufizoi të drejtën e tij për t’iu drejtuar Gjykatës Kushtetuese (krahaso </w:t>
      </w:r>
      <w:r w:rsidRPr="005E3835">
        <w:rPr>
          <w:rFonts w:ascii="Garamond" w:eastAsiaTheme="minorHAnsi" w:hAnsi="Garamond"/>
          <w:i/>
          <w:iCs/>
          <w:color w:val="000000"/>
          <w:sz w:val="24"/>
          <w:szCs w:val="24"/>
          <w14:ligatures w14:val="standardContextual"/>
        </w:rPr>
        <w:t>Marini</w:t>
      </w:r>
      <w:r w:rsidRPr="005E3835">
        <w:rPr>
          <w:rFonts w:ascii="Garamond" w:eastAsiaTheme="minorHAnsi" w:hAnsi="Garamond"/>
          <w:color w:val="000000"/>
          <w:sz w:val="24"/>
          <w:szCs w:val="24"/>
          <w14:ligatures w14:val="standardContextual"/>
        </w:rPr>
        <w:t xml:space="preserve">, cituar më sipër, § 122, dhe </w:t>
      </w:r>
      <w:r w:rsidRPr="005E3835">
        <w:rPr>
          <w:rFonts w:ascii="Garamond" w:eastAsiaTheme="minorHAnsi" w:hAnsi="Garamond"/>
          <w:i/>
          <w:iCs/>
          <w:color w:val="000000"/>
          <w:sz w:val="24"/>
          <w:szCs w:val="24"/>
          <w14:ligatures w14:val="standardContextual"/>
        </w:rPr>
        <w:t xml:space="preserve">Prodhim Veshje </w:t>
      </w:r>
      <w:r w:rsidR="00137564">
        <w:rPr>
          <w:rFonts w:ascii="Garamond" w:eastAsiaTheme="minorHAnsi" w:hAnsi="Garamond"/>
          <w:i/>
          <w:iCs/>
          <w:color w:val="000000"/>
          <w:sz w:val="24"/>
          <w:szCs w:val="24"/>
          <w14:ligatures w14:val="standardContextual"/>
        </w:rPr>
        <w:t>n</w:t>
      </w:r>
      <w:r w:rsidRPr="005E3835">
        <w:rPr>
          <w:rFonts w:ascii="Garamond" w:eastAsiaTheme="minorHAnsi" w:hAnsi="Garamond"/>
          <w:i/>
          <w:iCs/>
          <w:color w:val="000000"/>
          <w:sz w:val="24"/>
          <w:szCs w:val="24"/>
          <w14:ligatures w14:val="standardContextual"/>
        </w:rPr>
        <w:t xml:space="preserve">r. 2 </w:t>
      </w:r>
      <w:r w:rsidR="00137564" w:rsidRPr="005E3835">
        <w:rPr>
          <w:rFonts w:ascii="Garamond" w:eastAsiaTheme="minorHAnsi" w:hAnsi="Garamond"/>
          <w:i/>
          <w:iCs/>
          <w:color w:val="000000"/>
          <w:sz w:val="24"/>
          <w:szCs w:val="24"/>
          <w14:ligatures w14:val="standardContextual"/>
        </w:rPr>
        <w:t>sh.a</w:t>
      </w:r>
      <w:r w:rsidRPr="005E3835">
        <w:rPr>
          <w:rFonts w:ascii="Garamond" w:eastAsiaTheme="minorHAnsi" w:hAnsi="Garamond"/>
          <w:i/>
          <w:iCs/>
          <w:color w:val="000000"/>
          <w:sz w:val="24"/>
          <w:szCs w:val="24"/>
          <w14:ligatures w14:val="standardContextual"/>
        </w:rPr>
        <w:t>. kundër Shqipërisë</w:t>
      </w:r>
      <w:r w:rsidRPr="005E3835">
        <w:rPr>
          <w:rFonts w:ascii="Garamond" w:eastAsiaTheme="minorHAnsi" w:hAnsi="Garamond"/>
          <w:color w:val="000000"/>
          <w:sz w:val="24"/>
          <w:szCs w:val="24"/>
          <w14:ligatures w14:val="standardContextual"/>
        </w:rPr>
        <w:t xml:space="preserve">, [Komiteti], nr. 34649/14, § 10, 17 </w:t>
      </w:r>
      <w:r w:rsidR="00137564">
        <w:rPr>
          <w:rFonts w:ascii="Garamond" w:eastAsiaTheme="minorHAnsi" w:hAnsi="Garamond"/>
          <w:color w:val="000000"/>
          <w:sz w:val="24"/>
          <w:szCs w:val="24"/>
          <w14:ligatures w14:val="standardContextual"/>
        </w:rPr>
        <w:t>t</w:t>
      </w:r>
      <w:r w:rsidRPr="005E3835">
        <w:rPr>
          <w:rFonts w:ascii="Garamond" w:eastAsiaTheme="minorHAnsi" w:hAnsi="Garamond"/>
          <w:color w:val="000000"/>
          <w:sz w:val="24"/>
          <w:szCs w:val="24"/>
          <w14:ligatures w14:val="standardContextual"/>
        </w:rPr>
        <w:t>etor 2023). Nuk kishte asnjë mundësi të afërt që situata të ndryshonte, pasi dy nga gjyqtarët ishin vetëpërjashtuar për shkak të pjesëmarrjes së tyre të mëparshme në Trupin Gjykues të Gjykatës së Lartë që gjykonte çështjen në fjalë. Në këto rrethana, Gjykata vlerëson se vendimi i kontestuar i Gjykatës Kushtetuese, i cili e rrëzoi kërkesën kushtetuese të kërkuesit si pasojë e mosarritjes së shumicës së kërkuar prej pesë anëtarësh, përbënte një mohim të pajustifikuar të së drejtës së kërkuesit për t’iu drejtuar Gjykatës Kushtetuese.</w:t>
      </w:r>
    </w:p>
    <w:p w14:paraId="2D8A07F2" w14:textId="24CA5ED8"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12. Për këtë arsye, është shkelur </w:t>
      </w:r>
      <w:r w:rsidR="00137564">
        <w:rPr>
          <w:rFonts w:ascii="Garamond" w:eastAsiaTheme="minorHAnsi" w:hAnsi="Garamond"/>
          <w:color w:val="000000"/>
          <w:sz w:val="24"/>
          <w:szCs w:val="24"/>
          <w14:ligatures w14:val="standardContextual"/>
        </w:rPr>
        <w:t>neni 6 §</w:t>
      </w:r>
      <w:r w:rsidRPr="005E3835">
        <w:rPr>
          <w:rFonts w:ascii="Garamond" w:eastAsiaTheme="minorHAnsi" w:hAnsi="Garamond"/>
          <w:color w:val="000000"/>
          <w:sz w:val="24"/>
          <w:szCs w:val="24"/>
          <w14:ligatures w14:val="standardContextual"/>
        </w:rPr>
        <w:t>1 i Konventës.</w:t>
      </w:r>
    </w:p>
    <w:p w14:paraId="2589A06E" w14:textId="006F4CD1"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II. SHKELJE TË TJERA TË PRETENDUARA SIPAS PRAKTIKËS GJYQËSORE TË KONSOLIDUAR</w:t>
      </w:r>
    </w:p>
    <w:p w14:paraId="3E8CC59A" w14:textId="2AF187F3"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13. Kërkuesi paraqiti</w:t>
      </w:r>
      <w:r w:rsidR="00137564">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gjithashtu</w:t>
      </w:r>
      <w:r w:rsidR="00137564">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ankesa të tjera sipas </w:t>
      </w:r>
      <w:r w:rsidR="00137564">
        <w:rPr>
          <w:rFonts w:ascii="Garamond" w:eastAsiaTheme="minorHAnsi" w:hAnsi="Garamond"/>
          <w:color w:val="000000"/>
          <w:sz w:val="24"/>
          <w:szCs w:val="24"/>
          <w14:ligatures w14:val="standardContextual"/>
        </w:rPr>
        <w:t>nenit 6 §§</w:t>
      </w:r>
      <w:r w:rsidRPr="005E3835">
        <w:rPr>
          <w:rFonts w:ascii="Garamond" w:eastAsiaTheme="minorHAnsi" w:hAnsi="Garamond"/>
          <w:color w:val="000000"/>
          <w:sz w:val="24"/>
          <w:szCs w:val="24"/>
          <w14:ligatures w14:val="standardContextual"/>
        </w:rPr>
        <w:t>1, 2 dhe 3 të Konventës.</w:t>
      </w:r>
    </w:p>
    <w:p w14:paraId="39856D40" w14:textId="1A967D8F"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14. Duke pasur parasysh gjetjet e saj</w:t>
      </w:r>
      <w:r w:rsidR="00137564">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në lidhje me të drejtën e kërkuesit për t’iu drejtuar gjykatës sipas </w:t>
      </w:r>
      <w:r w:rsidR="00137564">
        <w:rPr>
          <w:rFonts w:ascii="Garamond" w:eastAsiaTheme="minorHAnsi" w:hAnsi="Garamond"/>
          <w:color w:val="000000"/>
          <w:sz w:val="24"/>
          <w:szCs w:val="24"/>
          <w14:ligatures w14:val="standardContextual"/>
        </w:rPr>
        <w:t>nenit 6 §</w:t>
      </w:r>
      <w:r w:rsidRPr="005E3835">
        <w:rPr>
          <w:rFonts w:ascii="Garamond" w:eastAsiaTheme="minorHAnsi" w:hAnsi="Garamond"/>
          <w:color w:val="000000"/>
          <w:sz w:val="24"/>
          <w:szCs w:val="24"/>
          <w14:ligatures w14:val="standardContextual"/>
        </w:rPr>
        <w:t>1 të Konventës (shih paragrafin 12 më sipër), Gjykata vëren se kërkuesi tani ka një mundësi për të kërkuar rihapjen e procedurave në Gjykatën Kushtetuese (shih paragrafin 17 në vijim). Kjo do të lejonte, në parim, një shqyrtim gjithëpërfshirës të ankesave të mbetura të kërkuesit sipas Konventës. Në këto rrethana, dhe në përputhje me rolin e saj ndihmues, Gjykata konsideron se nuk është e nevojshme të shqyrtojë ankesat e mbetura të kërkuesit në këtë kohë. Ai është i hapur për të paraqitur një kërkesë të re në Gjykatë, sipas rastit, pas një vendimi të ri të ankesës së tij kushtetuese në nivel kombëtar.</w:t>
      </w:r>
    </w:p>
    <w:p w14:paraId="46D9B346" w14:textId="77777777"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ZBATIMI I NENIT 41 TË KONVENTËS</w:t>
      </w:r>
    </w:p>
    <w:p w14:paraId="52EED373" w14:textId="47F68572"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15. Kërkuesi kërkoi 45,000 euro (EUR) në lidhje për dëmin</w:t>
      </w:r>
      <w:r w:rsidR="00137564">
        <w:rPr>
          <w:rFonts w:ascii="Garamond" w:eastAsiaTheme="minorHAnsi" w:hAnsi="Garamond"/>
          <w:color w:val="000000"/>
          <w:sz w:val="24"/>
          <w:szCs w:val="24"/>
          <w14:ligatures w14:val="standardContextual"/>
        </w:rPr>
        <w:t xml:space="preserve"> jo</w:t>
      </w:r>
      <w:r w:rsidRPr="005E3835">
        <w:rPr>
          <w:rFonts w:ascii="Garamond" w:eastAsiaTheme="minorHAnsi" w:hAnsi="Garamond"/>
          <w:color w:val="000000"/>
          <w:sz w:val="24"/>
          <w:szCs w:val="24"/>
          <w14:ligatures w14:val="standardContextual"/>
        </w:rPr>
        <w:t>material dhe 15,000 euro për kostot dhe shpenzimet në gjykatat vendase dhe 12,685 euro për ato para Gjykatës.</w:t>
      </w:r>
    </w:p>
    <w:p w14:paraId="2F32C8FB" w14:textId="68F97B13"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16. Qeveria argumentoi se pretendimet ishin të pabazuara dhe të tepërta.</w:t>
      </w:r>
    </w:p>
    <w:p w14:paraId="4A5515BB" w14:textId="0AE038DD"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lastRenderedPageBreak/>
        <w:t xml:space="preserve">17. Gjykata përsërit se një vendim në të cilin ajo konstaton një shkelje i imponon </w:t>
      </w:r>
      <w:r w:rsidR="00137564" w:rsidRPr="005E3835">
        <w:rPr>
          <w:rFonts w:ascii="Garamond" w:eastAsiaTheme="minorHAnsi" w:hAnsi="Garamond"/>
          <w:color w:val="000000"/>
          <w:sz w:val="24"/>
          <w:szCs w:val="24"/>
          <w14:ligatures w14:val="standardContextual"/>
        </w:rPr>
        <w:t xml:space="preserve">shtetit </w:t>
      </w:r>
      <w:r w:rsidRPr="005E3835">
        <w:rPr>
          <w:rFonts w:ascii="Garamond" w:eastAsiaTheme="minorHAnsi" w:hAnsi="Garamond"/>
          <w:color w:val="000000"/>
          <w:sz w:val="24"/>
          <w:szCs w:val="24"/>
          <w14:ligatures w14:val="standardContextual"/>
        </w:rPr>
        <w:t xml:space="preserve">të paditur një detyrim ligjor për t’i dhënë fund shkeljes dhe për të bërë dëmshpërblim për pasojat e saj. Duke pasur parasysh natyrën e ankesës së kërkuesit dhe shkeljen e konstatuar, Gjykata vlerëson se forma më e përshtatshme e dëmshpërblimit në rastin konkret do të ishte rihapja e procedurave penale kundër kërkuesit, nëse ai e kërkon këtë (krahaso </w:t>
      </w:r>
      <w:r w:rsidRPr="005E3835">
        <w:rPr>
          <w:rFonts w:ascii="Garamond" w:eastAsiaTheme="minorHAnsi" w:hAnsi="Garamond"/>
          <w:i/>
          <w:iCs/>
          <w:color w:val="000000"/>
          <w:sz w:val="24"/>
          <w:szCs w:val="24"/>
          <w14:ligatures w14:val="standardContextual"/>
        </w:rPr>
        <w:t>Shkalla kundër Shqipërisë</w:t>
      </w:r>
      <w:r w:rsidRPr="005E3835">
        <w:rPr>
          <w:rFonts w:ascii="Garamond" w:eastAsiaTheme="minorHAnsi" w:hAnsi="Garamond"/>
          <w:color w:val="000000"/>
          <w:sz w:val="24"/>
          <w:szCs w:val="24"/>
          <w14:ligatures w14:val="standardContextual"/>
        </w:rPr>
        <w:t>, nr. 26866/05, §§ 77</w:t>
      </w:r>
      <w:r w:rsidR="00137564">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79, 10 </w:t>
      </w:r>
      <w:r w:rsidR="00137564">
        <w:rPr>
          <w:rFonts w:ascii="Garamond" w:eastAsiaTheme="minorHAnsi" w:hAnsi="Garamond"/>
          <w:color w:val="000000"/>
          <w:sz w:val="24"/>
          <w:szCs w:val="24"/>
          <w14:ligatures w14:val="standardContextual"/>
        </w:rPr>
        <w:t>m</w:t>
      </w:r>
      <w:r w:rsidRPr="005E3835">
        <w:rPr>
          <w:rFonts w:ascii="Garamond" w:eastAsiaTheme="minorHAnsi" w:hAnsi="Garamond"/>
          <w:color w:val="000000"/>
          <w:sz w:val="24"/>
          <w:szCs w:val="24"/>
          <w14:ligatures w14:val="standardContextual"/>
        </w:rPr>
        <w:t xml:space="preserve">aj 2011, dhe </w:t>
      </w:r>
      <w:r w:rsidRPr="005E3835">
        <w:rPr>
          <w:rFonts w:ascii="Garamond" w:eastAsiaTheme="minorHAnsi" w:hAnsi="Garamond"/>
          <w:i/>
          <w:iCs/>
          <w:color w:val="000000"/>
          <w:sz w:val="24"/>
          <w:szCs w:val="24"/>
          <w14:ligatures w14:val="standardContextual"/>
        </w:rPr>
        <w:t>Meli kundër Shqipërisë,</w:t>
      </w:r>
      <w:r w:rsidRPr="005E3835">
        <w:rPr>
          <w:rFonts w:ascii="Garamond" w:eastAsiaTheme="minorHAnsi" w:hAnsi="Garamond"/>
          <w:color w:val="000000"/>
          <w:sz w:val="24"/>
          <w:szCs w:val="24"/>
          <w14:ligatures w14:val="standardContextual"/>
        </w:rPr>
        <w:t xml:space="preserve"> nr. 41373/21 dhe 48801/21, § 83, 16 </w:t>
      </w:r>
      <w:r w:rsidR="00137564">
        <w:rPr>
          <w:rFonts w:ascii="Garamond" w:eastAsiaTheme="minorHAnsi" w:hAnsi="Garamond"/>
          <w:color w:val="000000"/>
          <w:sz w:val="24"/>
          <w:szCs w:val="24"/>
          <w14:ligatures w14:val="standardContextual"/>
        </w:rPr>
        <w:t>k</w:t>
      </w:r>
      <w:r w:rsidRPr="005E3835">
        <w:rPr>
          <w:rFonts w:ascii="Garamond" w:eastAsiaTheme="minorHAnsi" w:hAnsi="Garamond"/>
          <w:color w:val="000000"/>
          <w:sz w:val="24"/>
          <w:szCs w:val="24"/>
          <w14:ligatures w14:val="standardContextual"/>
        </w:rPr>
        <w:t>orrik 2024).</w:t>
      </w:r>
    </w:p>
    <w:p w14:paraId="3D2F8AE3" w14:textId="3F032A26"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18. Gjykata vlerëson se kërkue</w:t>
      </w:r>
      <w:r w:rsidR="00137564">
        <w:rPr>
          <w:rFonts w:ascii="Garamond" w:eastAsiaTheme="minorHAnsi" w:hAnsi="Garamond"/>
          <w:color w:val="000000"/>
          <w:sz w:val="24"/>
          <w:szCs w:val="24"/>
          <w14:ligatures w14:val="standardContextual"/>
        </w:rPr>
        <w:t>si duhet të ketë pësuar dëme jo</w:t>
      </w:r>
      <w:r w:rsidRPr="005E3835">
        <w:rPr>
          <w:rFonts w:ascii="Garamond" w:eastAsiaTheme="minorHAnsi" w:hAnsi="Garamond"/>
          <w:color w:val="000000"/>
          <w:sz w:val="24"/>
          <w:szCs w:val="24"/>
          <w14:ligatures w14:val="standardContextual"/>
        </w:rPr>
        <w:t xml:space="preserve">materiale si rezultat i shkeljes së gjetur. Duke bërë vlerësimin e saj mbi baza të barabarta, siç kërkohet nga </w:t>
      </w:r>
      <w:r w:rsidR="00137564">
        <w:rPr>
          <w:rFonts w:ascii="Garamond" w:eastAsiaTheme="minorHAnsi" w:hAnsi="Garamond"/>
          <w:color w:val="000000"/>
          <w:sz w:val="24"/>
          <w:szCs w:val="24"/>
          <w14:ligatures w14:val="standardContextual"/>
        </w:rPr>
        <w:t>n</w:t>
      </w:r>
      <w:r w:rsidRPr="005E3835">
        <w:rPr>
          <w:rFonts w:ascii="Garamond" w:eastAsiaTheme="minorHAnsi" w:hAnsi="Garamond"/>
          <w:color w:val="000000"/>
          <w:sz w:val="24"/>
          <w:szCs w:val="24"/>
          <w14:ligatures w14:val="standardContextual"/>
        </w:rPr>
        <w:t>eni 41 i Konventës, ajo i akordon kërkuesit 3,600 euro në lidhje me dëmin jomaterial.</w:t>
      </w:r>
    </w:p>
    <w:p w14:paraId="63F00C24" w14:textId="3CC0F2B5"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19. Duke pasur parasysh dokumentet në zotërim të saj, Gjykata e vlerëson të arsyeshme të akordojë 2,500 euro që mbulojnë shpenzimet e bëra në procedurat para Gjykatës dhe në gjykatat vendase, plus çdo taksë që mund t’i tarifohet kërkuesit.</w:t>
      </w:r>
    </w:p>
    <w:p w14:paraId="4D25BAD7" w14:textId="77777777"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PËR KËTO ARSYE, GJYKATA, NË MËNYRË UNANIME,</w:t>
      </w:r>
    </w:p>
    <w:p w14:paraId="5F68DCAD" w14:textId="1E323730"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1. E shpall </w:t>
      </w:r>
      <w:r w:rsidRPr="005E3835">
        <w:rPr>
          <w:rFonts w:ascii="Garamond" w:eastAsiaTheme="minorHAnsi" w:hAnsi="Garamond"/>
          <w:color w:val="000000"/>
          <w:sz w:val="24"/>
          <w:szCs w:val="24"/>
          <w14:ligatures w14:val="standardContextual"/>
        </w:rPr>
        <w:t>të pranueshme ankesën</w:t>
      </w:r>
      <w:r w:rsidR="00137564">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në lidhje me të drejtën e kërkuesit për t’iu</w:t>
      </w:r>
      <w:r w:rsidR="00137564">
        <w:rPr>
          <w:rFonts w:ascii="Garamond" w:eastAsiaTheme="minorHAnsi" w:hAnsi="Garamond"/>
          <w:color w:val="000000"/>
          <w:sz w:val="24"/>
          <w:szCs w:val="24"/>
          <w14:ligatures w14:val="standardContextual"/>
        </w:rPr>
        <w:t xml:space="preserve"> drejtuar Gjykatës Kushtetuese;</w:t>
      </w:r>
    </w:p>
    <w:p w14:paraId="54E6D06F" w14:textId="4052E253"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2. Gjykon </w:t>
      </w:r>
      <w:r w:rsidRPr="005E3835">
        <w:rPr>
          <w:rFonts w:ascii="Garamond" w:eastAsiaTheme="minorHAnsi" w:hAnsi="Garamond"/>
          <w:color w:val="000000"/>
          <w:sz w:val="24"/>
          <w:szCs w:val="24"/>
          <w14:ligatures w14:val="standardContextual"/>
        </w:rPr>
        <w:t xml:space="preserve">se është shkelur </w:t>
      </w:r>
      <w:r w:rsidR="00137564">
        <w:rPr>
          <w:rFonts w:ascii="Garamond" w:eastAsiaTheme="minorHAnsi" w:hAnsi="Garamond"/>
          <w:color w:val="000000"/>
          <w:sz w:val="24"/>
          <w:szCs w:val="24"/>
          <w14:ligatures w14:val="standardContextual"/>
        </w:rPr>
        <w:t>n</w:t>
      </w:r>
      <w:r w:rsidR="001E2BED">
        <w:rPr>
          <w:rFonts w:ascii="Garamond" w:eastAsiaTheme="minorHAnsi" w:hAnsi="Garamond"/>
          <w:color w:val="000000"/>
          <w:sz w:val="24"/>
          <w:szCs w:val="24"/>
          <w14:ligatures w14:val="standardContextual"/>
        </w:rPr>
        <w:t>eni 6 §</w:t>
      </w:r>
      <w:r w:rsidRPr="005E3835">
        <w:rPr>
          <w:rFonts w:ascii="Garamond" w:eastAsiaTheme="minorHAnsi" w:hAnsi="Garamond"/>
          <w:color w:val="000000"/>
          <w:sz w:val="24"/>
          <w:szCs w:val="24"/>
          <w14:ligatures w14:val="standardContextual"/>
        </w:rPr>
        <w:t>1 i Konventës</w:t>
      </w:r>
      <w:r w:rsidR="00137564">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në lidhje me aksesin në Gjykatën Kushtetuese; </w:t>
      </w:r>
    </w:p>
    <w:p w14:paraId="35D70845" w14:textId="469F372B"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3. Gjykon </w:t>
      </w:r>
      <w:r w:rsidRPr="005E3835">
        <w:rPr>
          <w:rFonts w:ascii="Garamond" w:eastAsiaTheme="minorHAnsi" w:hAnsi="Garamond"/>
          <w:color w:val="000000"/>
          <w:sz w:val="24"/>
          <w:szCs w:val="24"/>
          <w14:ligatures w14:val="standardContextual"/>
        </w:rPr>
        <w:t xml:space="preserve">se nuk është e nevojshme të shqyrtohen pranueshmëria dhe meritat e ankesave të tjera; </w:t>
      </w:r>
    </w:p>
    <w:p w14:paraId="1564FFA8" w14:textId="2F64D112"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4. </w:t>
      </w:r>
      <w:r w:rsidR="00137564">
        <w:rPr>
          <w:rFonts w:ascii="Garamond" w:eastAsiaTheme="minorHAnsi" w:hAnsi="Garamond"/>
          <w:i/>
          <w:iCs/>
          <w:color w:val="000000"/>
          <w:sz w:val="24"/>
          <w:szCs w:val="24"/>
          <w14:ligatures w14:val="standardContextual"/>
        </w:rPr>
        <w:t>Gjykon</w:t>
      </w:r>
    </w:p>
    <w:p w14:paraId="5EB09989" w14:textId="657A298D"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a) se </w:t>
      </w:r>
      <w:r w:rsidR="00137564" w:rsidRPr="005E3835">
        <w:rPr>
          <w:rFonts w:ascii="Garamond" w:eastAsiaTheme="minorHAnsi" w:hAnsi="Garamond"/>
          <w:color w:val="000000"/>
          <w:sz w:val="24"/>
          <w:szCs w:val="24"/>
          <w14:ligatures w14:val="standardContextual"/>
        </w:rPr>
        <w:t xml:space="preserve">shteti </w:t>
      </w:r>
      <w:r w:rsidRPr="005E3835">
        <w:rPr>
          <w:rFonts w:ascii="Garamond" w:eastAsiaTheme="minorHAnsi" w:hAnsi="Garamond"/>
          <w:color w:val="000000"/>
          <w:sz w:val="24"/>
          <w:szCs w:val="24"/>
          <w14:ligatures w14:val="standardContextual"/>
        </w:rPr>
        <w:t xml:space="preserve">i paditur duhet t’i paguajë kërkuesit brenda tre muajve shumat e mëposhtme, që duhet të konvertohen në monedhën e </w:t>
      </w:r>
      <w:r w:rsidR="00137564">
        <w:rPr>
          <w:rFonts w:ascii="Garamond" w:eastAsiaTheme="minorHAnsi" w:hAnsi="Garamond"/>
          <w:color w:val="000000"/>
          <w:sz w:val="24"/>
          <w:szCs w:val="24"/>
          <w14:ligatures w14:val="standardContextual"/>
        </w:rPr>
        <w:t>s</w:t>
      </w:r>
      <w:r w:rsidRPr="005E3835">
        <w:rPr>
          <w:rFonts w:ascii="Garamond" w:eastAsiaTheme="minorHAnsi" w:hAnsi="Garamond"/>
          <w:color w:val="000000"/>
          <w:sz w:val="24"/>
          <w:szCs w:val="24"/>
          <w14:ligatures w14:val="standardContextual"/>
        </w:rPr>
        <w:t>htetit të paditur</w:t>
      </w:r>
      <w:r w:rsidR="00137564">
        <w:rPr>
          <w:rFonts w:ascii="Garamond" w:eastAsiaTheme="minorHAnsi" w:hAnsi="Garamond"/>
          <w:color w:val="000000"/>
          <w:sz w:val="24"/>
          <w:szCs w:val="24"/>
          <w14:ligatures w14:val="standardContextual"/>
        </w:rPr>
        <w:t>,</w:t>
      </w:r>
      <w:r w:rsidRPr="005E3835">
        <w:rPr>
          <w:rFonts w:ascii="Garamond" w:eastAsiaTheme="minorHAnsi" w:hAnsi="Garamond"/>
          <w:color w:val="000000"/>
          <w:sz w:val="24"/>
          <w:szCs w:val="24"/>
          <w14:ligatures w14:val="standardContextual"/>
        </w:rPr>
        <w:t xml:space="preserve"> në normën e zbatueshme në datën e shlyerjes: </w:t>
      </w:r>
    </w:p>
    <w:p w14:paraId="37FEFDE1" w14:textId="7A67A2FA" w:rsidR="009C0247" w:rsidRPr="005E3835" w:rsidRDefault="00137564"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i.</w:t>
      </w:r>
      <w:r w:rsidR="009C0247" w:rsidRPr="005E3835">
        <w:rPr>
          <w:rFonts w:ascii="Garamond" w:eastAsiaTheme="minorHAnsi" w:hAnsi="Garamond"/>
          <w:color w:val="000000"/>
          <w:sz w:val="24"/>
          <w:szCs w:val="24"/>
          <w14:ligatures w14:val="standardContextual"/>
        </w:rPr>
        <w:t xml:space="preserve"> 3,600 euro (tre mijë e gjashtëqind euro), plus çdo taksë që</w:t>
      </w:r>
      <w:r>
        <w:rPr>
          <w:rFonts w:ascii="Garamond" w:eastAsiaTheme="minorHAnsi" w:hAnsi="Garamond"/>
          <w:color w:val="000000"/>
          <w:sz w:val="24"/>
          <w:szCs w:val="24"/>
          <w14:ligatures w14:val="standardContextual"/>
        </w:rPr>
        <w:t xml:space="preserve"> mund të tarifohet për dëmin jo</w:t>
      </w:r>
      <w:r w:rsidR="009C0247" w:rsidRPr="005E3835">
        <w:rPr>
          <w:rFonts w:ascii="Garamond" w:eastAsiaTheme="minorHAnsi" w:hAnsi="Garamond"/>
          <w:color w:val="000000"/>
          <w:sz w:val="24"/>
          <w:szCs w:val="24"/>
          <w14:ligatures w14:val="standardContextual"/>
        </w:rPr>
        <w:t xml:space="preserve">material; </w:t>
      </w:r>
    </w:p>
    <w:p w14:paraId="4C5E63CC" w14:textId="0A445405" w:rsidR="009C0247" w:rsidRPr="005E3835" w:rsidRDefault="00137564"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ii.</w:t>
      </w:r>
      <w:r w:rsidR="009C0247" w:rsidRPr="005E3835">
        <w:rPr>
          <w:rFonts w:ascii="Garamond" w:eastAsiaTheme="minorHAnsi" w:hAnsi="Garamond"/>
          <w:color w:val="000000"/>
          <w:sz w:val="24"/>
          <w:szCs w:val="24"/>
          <w14:ligatures w14:val="standardContextual"/>
        </w:rPr>
        <w:t xml:space="preserve"> 2,500 euro (dy mijë e pesëqind euro), plus çdo taksë që mund t’i tarifohet kërkuesit për kostot dhe shpenzimet; </w:t>
      </w:r>
    </w:p>
    <w:p w14:paraId="5C2778C0" w14:textId="5CC689AB" w:rsidR="009C0247" w:rsidRPr="005E3835" w:rsidRDefault="009C0247" w:rsidP="009C0247">
      <w:pPr>
        <w:tabs>
          <w:tab w:val="left" w:pos="560"/>
          <w:tab w:val="left" w:pos="84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b) se që nga përfundimi i periudhës tremujore të sipërpërmendur deri në shlyerje, interesi i thjeshtë do të duhet të paguhet për shumat e mësipërme në normën e barasvlershme me norm</w:t>
      </w:r>
      <w:r w:rsidR="00137564">
        <w:rPr>
          <w:rFonts w:ascii="Garamond" w:eastAsiaTheme="minorHAnsi" w:hAnsi="Garamond"/>
          <w:color w:val="000000"/>
          <w:sz w:val="24"/>
          <w:szCs w:val="24"/>
          <w14:ligatures w14:val="standardContextual"/>
        </w:rPr>
        <w:t xml:space="preserve">ën margjinale të huadhënies së </w:t>
      </w:r>
      <w:r w:rsidRPr="005E3835">
        <w:rPr>
          <w:rFonts w:ascii="Garamond" w:eastAsiaTheme="minorHAnsi" w:hAnsi="Garamond"/>
          <w:color w:val="000000"/>
          <w:sz w:val="24"/>
          <w:szCs w:val="24"/>
          <w14:ligatures w14:val="standardContextual"/>
        </w:rPr>
        <w:t xml:space="preserve">Bankës Qendrore </w:t>
      </w:r>
      <w:r w:rsidR="00137564" w:rsidRPr="005E3835">
        <w:rPr>
          <w:rFonts w:ascii="Garamond" w:eastAsiaTheme="minorHAnsi" w:hAnsi="Garamond"/>
          <w:color w:val="000000"/>
          <w:sz w:val="24"/>
          <w:szCs w:val="24"/>
          <w14:ligatures w14:val="standardContextual"/>
        </w:rPr>
        <w:t>Evropiane</w:t>
      </w:r>
      <w:r w:rsidRPr="005E3835">
        <w:rPr>
          <w:rFonts w:ascii="Garamond" w:eastAsiaTheme="minorHAnsi" w:hAnsi="Garamond"/>
          <w:color w:val="000000"/>
          <w:sz w:val="24"/>
          <w:szCs w:val="24"/>
          <w14:ligatures w14:val="standardContextual"/>
        </w:rPr>
        <w:t xml:space="preserve"> gjatë periudhës së mosshlyerjes plus tre pikë përqindje. </w:t>
      </w:r>
    </w:p>
    <w:p w14:paraId="6971426C" w14:textId="77777777" w:rsidR="00137564" w:rsidRDefault="009C0247" w:rsidP="00137564">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i/>
          <w:iCs/>
          <w:color w:val="000000"/>
          <w:sz w:val="24"/>
          <w:szCs w:val="24"/>
          <w14:ligatures w14:val="standardContextual"/>
        </w:rPr>
        <w:t xml:space="preserve">5. Rrëzon </w:t>
      </w:r>
      <w:r w:rsidRPr="005E3835">
        <w:rPr>
          <w:rFonts w:ascii="Garamond" w:eastAsiaTheme="minorHAnsi" w:hAnsi="Garamond"/>
          <w:color w:val="000000"/>
          <w:sz w:val="24"/>
          <w:szCs w:val="24"/>
          <w14:ligatures w14:val="standardContextual"/>
        </w:rPr>
        <w:t>pjesën tjetër të kërkesës së kërk</w:t>
      </w:r>
      <w:r w:rsidR="00137564">
        <w:rPr>
          <w:rFonts w:ascii="Garamond" w:eastAsiaTheme="minorHAnsi" w:hAnsi="Garamond"/>
          <w:color w:val="000000"/>
          <w:sz w:val="24"/>
          <w:szCs w:val="24"/>
          <w14:ligatures w14:val="standardContextual"/>
        </w:rPr>
        <w:t>uesit për shpërblim të drejtë.</w:t>
      </w:r>
    </w:p>
    <w:p w14:paraId="34592EEC" w14:textId="390E1CA0" w:rsidR="00137564" w:rsidRDefault="009C0247" w:rsidP="00137564">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 xml:space="preserve">Hartuar në anglisht dhe njoftuar me shkrim më 5 </w:t>
      </w:r>
      <w:r w:rsidR="00137564">
        <w:rPr>
          <w:rFonts w:ascii="Garamond" w:eastAsiaTheme="minorHAnsi" w:hAnsi="Garamond"/>
          <w:color w:val="000000"/>
          <w:sz w:val="24"/>
          <w:szCs w:val="24"/>
          <w14:ligatures w14:val="standardContextual"/>
        </w:rPr>
        <w:t>m</w:t>
      </w:r>
      <w:r w:rsidRPr="005E3835">
        <w:rPr>
          <w:rFonts w:ascii="Garamond" w:eastAsiaTheme="minorHAnsi" w:hAnsi="Garamond"/>
          <w:color w:val="000000"/>
          <w:sz w:val="24"/>
          <w:szCs w:val="24"/>
          <w14:ligatures w14:val="standardContextual"/>
        </w:rPr>
        <w:t>aj 2026, në mbështetje të Rregullit 77 §§ 2 dhe 3 të Rregullores së Gjykatës.</w:t>
      </w:r>
      <w:r w:rsidR="00137564" w:rsidRPr="00137564">
        <w:rPr>
          <w:rFonts w:ascii="Garamond" w:eastAsiaTheme="minorHAnsi" w:hAnsi="Garamond"/>
          <w:color w:val="000000"/>
          <w:sz w:val="24"/>
          <w:szCs w:val="24"/>
          <w14:ligatures w14:val="standardContextual"/>
        </w:rPr>
        <w:t xml:space="preserve"> </w:t>
      </w:r>
    </w:p>
    <w:p w14:paraId="6D6CF579" w14:textId="77777777" w:rsidR="00137564" w:rsidRDefault="00137564" w:rsidP="00137564">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5D8F004" w14:textId="2269150C" w:rsidR="00137564" w:rsidRPr="00137564" w:rsidRDefault="00137564" w:rsidP="00137564">
      <w:pPr>
        <w:tabs>
          <w:tab w:val="left" w:pos="560"/>
          <w:tab w:val="left" w:pos="1120"/>
        </w:tabs>
        <w:autoSpaceDE w:val="0"/>
        <w:autoSpaceDN w:val="0"/>
        <w:adjustRightInd w:val="0"/>
        <w:spacing w:after="0" w:line="240" w:lineRule="auto"/>
        <w:jc w:val="right"/>
        <w:rPr>
          <w:rFonts w:ascii="Garamond" w:eastAsiaTheme="minorHAnsi" w:hAnsi="Garamond"/>
          <w:b/>
          <w:color w:val="000000"/>
          <w:sz w:val="24"/>
          <w:szCs w:val="24"/>
          <w14:ligatures w14:val="standardContextual"/>
        </w:rPr>
      </w:pPr>
      <w:r w:rsidRPr="00137564">
        <w:rPr>
          <w:rFonts w:ascii="Garamond" w:eastAsiaTheme="minorHAnsi" w:hAnsi="Garamond"/>
          <w:b/>
          <w:color w:val="000000"/>
          <w:sz w:val="24"/>
          <w:szCs w:val="24"/>
          <w14:ligatures w14:val="standardContextual"/>
        </w:rPr>
        <w:t>Olga Chernishova</w:t>
      </w:r>
    </w:p>
    <w:p w14:paraId="05DCD1F3" w14:textId="40CAFB87" w:rsidR="00137564" w:rsidRDefault="00137564" w:rsidP="00137564">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ZËVENDËSSEKRETARE</w:t>
      </w:r>
      <w:r w:rsidRPr="00137564">
        <w:rPr>
          <w:rFonts w:ascii="Garamond" w:eastAsiaTheme="minorHAnsi" w:hAnsi="Garamond"/>
          <w:color w:val="000000"/>
          <w:sz w:val="24"/>
          <w:szCs w:val="24"/>
          <w14:ligatures w14:val="standardContextual"/>
        </w:rPr>
        <w:t xml:space="preserve"> </w:t>
      </w:r>
    </w:p>
    <w:p w14:paraId="78AC507A" w14:textId="77777777" w:rsidR="00137564" w:rsidRDefault="00137564" w:rsidP="00137564">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p>
    <w:p w14:paraId="43B5D031" w14:textId="1BCF96E7" w:rsidR="00137564" w:rsidRPr="00137564" w:rsidRDefault="00137564" w:rsidP="00137564">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r w:rsidRPr="00137564">
        <w:rPr>
          <w:rFonts w:ascii="Garamond" w:eastAsiaTheme="minorHAnsi" w:hAnsi="Garamond"/>
          <w:b/>
          <w:color w:val="000000"/>
          <w:sz w:val="24"/>
          <w:szCs w:val="24"/>
          <w14:ligatures w14:val="standardContextual"/>
        </w:rPr>
        <w:t>Úna Ní Raifeartaigh</w:t>
      </w:r>
    </w:p>
    <w:p w14:paraId="5E00AC76" w14:textId="3044B479" w:rsidR="009C0247" w:rsidRPr="005E3835" w:rsidRDefault="00137564" w:rsidP="00137564">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5E3835">
        <w:rPr>
          <w:rFonts w:ascii="Garamond" w:eastAsiaTheme="minorHAnsi" w:hAnsi="Garamond"/>
          <w:color w:val="000000"/>
          <w:sz w:val="24"/>
          <w:szCs w:val="24"/>
          <w14:ligatures w14:val="standardContextual"/>
        </w:rPr>
        <w:t>KRYETAR</w:t>
      </w:r>
    </w:p>
    <w:p w14:paraId="72203EAB" w14:textId="77777777" w:rsidR="009C0247" w:rsidRPr="005E3835" w:rsidRDefault="009C0247" w:rsidP="00137564">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p>
    <w:p w14:paraId="7BC1023A" w14:textId="5CA22ACC" w:rsidR="009C0247" w:rsidRPr="005E3835" w:rsidRDefault="009C0247" w:rsidP="009C0247">
      <w:pPr>
        <w:tabs>
          <w:tab w:val="left" w:pos="560"/>
          <w:tab w:val="left" w:pos="1120"/>
        </w:tabs>
        <w:autoSpaceDE w:val="0"/>
        <w:autoSpaceDN w:val="0"/>
        <w:adjustRightInd w:val="0"/>
        <w:spacing w:after="0" w:line="240" w:lineRule="auto"/>
        <w:ind w:firstLine="284"/>
        <w:jc w:val="both"/>
        <w:rPr>
          <w:rFonts w:ascii="Garamond" w:hAnsi="Garamond"/>
          <w:sz w:val="24"/>
          <w:szCs w:val="24"/>
        </w:rPr>
      </w:pPr>
      <w:r w:rsidRPr="005E3835">
        <w:rPr>
          <w:rFonts w:ascii="Garamond" w:eastAsiaTheme="minorHAnsi" w:hAnsi="Garamond"/>
          <w:color w:val="000000"/>
          <w:sz w:val="24"/>
          <w:szCs w:val="24"/>
          <w14:ligatures w14:val="standardContextual"/>
        </w:rPr>
        <w:t xml:space="preserve"> </w:t>
      </w:r>
    </w:p>
    <w:sectPr w:rsidR="009C0247" w:rsidRPr="005E3835" w:rsidSect="00CE7170">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1CD8D" w14:textId="77777777" w:rsidR="004B7B06" w:rsidRDefault="004B7B06">
      <w:pPr>
        <w:spacing w:after="0" w:line="240" w:lineRule="auto"/>
      </w:pPr>
      <w:r>
        <w:separator/>
      </w:r>
    </w:p>
  </w:endnote>
  <w:endnote w:type="continuationSeparator" w:id="0">
    <w:p w14:paraId="4652E879" w14:textId="77777777" w:rsidR="004B7B06" w:rsidRDefault="004B7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0477D" w14:textId="77777777" w:rsidR="004B7B06" w:rsidRDefault="004B7B06">
      <w:pPr>
        <w:spacing w:after="0" w:line="240" w:lineRule="auto"/>
      </w:pPr>
      <w:r>
        <w:separator/>
      </w:r>
    </w:p>
  </w:footnote>
  <w:footnote w:type="continuationSeparator" w:id="0">
    <w:p w14:paraId="7C1BFE50" w14:textId="77777777" w:rsidR="004B7B06" w:rsidRDefault="004B7B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5831133"/>
    <w:multiLevelType w:val="hybridMultilevel"/>
    <w:tmpl w:val="699CFE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B0A1D19"/>
    <w:multiLevelType w:val="hybridMultilevel"/>
    <w:tmpl w:val="3252EB34"/>
    <w:lvl w:ilvl="0" w:tplc="551C68BA">
      <w:start w:val="1"/>
      <w:numFmt w:val="low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1" w15:restartNumberingAfterBreak="0">
    <w:nsid w:val="0C4D0918"/>
    <w:multiLevelType w:val="hybridMultilevel"/>
    <w:tmpl w:val="D8863ADE"/>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3" w15:restartNumberingAfterBreak="0">
    <w:nsid w:val="101C3BB4"/>
    <w:multiLevelType w:val="hybridMultilevel"/>
    <w:tmpl w:val="5D422E8C"/>
    <w:lvl w:ilvl="0" w:tplc="5DF8717E">
      <w:start w:val="1"/>
      <w:numFmt w:val="decimal"/>
      <w:lvlText w:val="%1."/>
      <w:lvlJc w:val="left"/>
      <w:pPr>
        <w:ind w:left="1080" w:hanging="360"/>
      </w:pPr>
      <w:rPr>
        <w:rFonts w:hint="default"/>
        <w:i/>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13DE5A13"/>
    <w:multiLevelType w:val="hybridMultilevel"/>
    <w:tmpl w:val="D248A2A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FDA3247"/>
    <w:multiLevelType w:val="hybridMultilevel"/>
    <w:tmpl w:val="129A1B84"/>
    <w:lvl w:ilvl="0" w:tplc="0C36BFA0">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25061F93"/>
    <w:multiLevelType w:val="hybridMultilevel"/>
    <w:tmpl w:val="7D00D30C"/>
    <w:lvl w:ilvl="0" w:tplc="1C648584">
      <w:start w:val="1"/>
      <w:numFmt w:val="upperRoman"/>
      <w:lvlText w:val="%1."/>
      <w:lvlJc w:val="left"/>
      <w:pPr>
        <w:ind w:left="1080" w:hanging="720"/>
      </w:pPr>
      <w:rPr>
        <w:rFonts w:ascii="Times New Roman" w:eastAsia="MS Mincho"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5A01F3"/>
    <w:multiLevelType w:val="hybridMultilevel"/>
    <w:tmpl w:val="0C08DBB2"/>
    <w:lvl w:ilvl="0" w:tplc="822091D4">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99A55FF"/>
    <w:multiLevelType w:val="hybridMultilevel"/>
    <w:tmpl w:val="E5163076"/>
    <w:lvl w:ilvl="0" w:tplc="A288B6DE">
      <w:start w:val="1"/>
      <w:numFmt w:val="lowerRoman"/>
      <w:lvlText w:val="(%1)"/>
      <w:lvlJc w:val="left"/>
      <w:pPr>
        <w:ind w:left="2160" w:hanging="72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2" w15:restartNumberingAfterBreak="0">
    <w:nsid w:val="4C4C3FD5"/>
    <w:multiLevelType w:val="hybridMultilevel"/>
    <w:tmpl w:val="D1FAF484"/>
    <w:lvl w:ilvl="0" w:tplc="3FDE8312">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37F0827"/>
    <w:multiLevelType w:val="hybridMultilevel"/>
    <w:tmpl w:val="DB2E299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1443FC4"/>
    <w:multiLevelType w:val="hybridMultilevel"/>
    <w:tmpl w:val="8C2CF3E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6F6B30B3"/>
    <w:multiLevelType w:val="hybridMultilevel"/>
    <w:tmpl w:val="A65CBB48"/>
    <w:lvl w:ilvl="0" w:tplc="ACDCDF00">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7" w15:restartNumberingAfterBreak="0">
    <w:nsid w:val="75087F4B"/>
    <w:multiLevelType w:val="hybridMultilevel"/>
    <w:tmpl w:val="750A9F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64C2380"/>
    <w:multiLevelType w:val="hybridMultilevel"/>
    <w:tmpl w:val="3F26DE9E"/>
    <w:lvl w:ilvl="0" w:tplc="8ADCB618">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5"/>
  </w:num>
  <w:num w:numId="4">
    <w:abstractNumId w:val="19"/>
  </w:num>
  <w:num w:numId="5">
    <w:abstractNumId w:val="16"/>
  </w:num>
  <w:num w:numId="6">
    <w:abstractNumId w:val="15"/>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9"/>
  </w:num>
  <w:num w:numId="16">
    <w:abstractNumId w:val="28"/>
  </w:num>
  <w:num w:numId="17">
    <w:abstractNumId w:val="13"/>
  </w:num>
  <w:num w:numId="18">
    <w:abstractNumId w:val="26"/>
  </w:num>
  <w:num w:numId="19">
    <w:abstractNumId w:val="21"/>
  </w:num>
  <w:num w:numId="20">
    <w:abstractNumId w:val="18"/>
  </w:num>
  <w:num w:numId="21">
    <w:abstractNumId w:val="9"/>
  </w:num>
  <w:num w:numId="22">
    <w:abstractNumId w:val="23"/>
  </w:num>
  <w:num w:numId="23">
    <w:abstractNumId w:val="22"/>
  </w:num>
  <w:num w:numId="24">
    <w:abstractNumId w:val="11"/>
  </w:num>
  <w:num w:numId="25">
    <w:abstractNumId w:val="24"/>
  </w:num>
  <w:num w:numId="26">
    <w:abstractNumId w:val="14"/>
  </w:num>
  <w:num w:numId="27">
    <w:abstractNumId w:val="17"/>
  </w:num>
  <w:num w:numId="28">
    <w:abstractNumId w:val="10"/>
  </w:num>
  <w:num w:numId="29">
    <w:abstractNumId w:val="27"/>
  </w:num>
  <w:num w:numId="30">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F5"/>
    <w:rsid w:val="00005DA6"/>
    <w:rsid w:val="000173A5"/>
    <w:rsid w:val="00024816"/>
    <w:rsid w:val="00040178"/>
    <w:rsid w:val="00044032"/>
    <w:rsid w:val="0004576D"/>
    <w:rsid w:val="00045AF7"/>
    <w:rsid w:val="0004797B"/>
    <w:rsid w:val="00062035"/>
    <w:rsid w:val="00062700"/>
    <w:rsid w:val="00067293"/>
    <w:rsid w:val="00070C72"/>
    <w:rsid w:val="000744D0"/>
    <w:rsid w:val="00082F9E"/>
    <w:rsid w:val="00086752"/>
    <w:rsid w:val="00095CB6"/>
    <w:rsid w:val="000A126B"/>
    <w:rsid w:val="000F1B16"/>
    <w:rsid w:val="001123B3"/>
    <w:rsid w:val="00123350"/>
    <w:rsid w:val="001259EA"/>
    <w:rsid w:val="0012609A"/>
    <w:rsid w:val="00137564"/>
    <w:rsid w:val="0013768A"/>
    <w:rsid w:val="00141990"/>
    <w:rsid w:val="00143852"/>
    <w:rsid w:val="00161C0C"/>
    <w:rsid w:val="001625BD"/>
    <w:rsid w:val="00173A2D"/>
    <w:rsid w:val="001769EA"/>
    <w:rsid w:val="00177BEC"/>
    <w:rsid w:val="0018692B"/>
    <w:rsid w:val="00186D27"/>
    <w:rsid w:val="00194243"/>
    <w:rsid w:val="001A3F51"/>
    <w:rsid w:val="001A5D7C"/>
    <w:rsid w:val="001A62A2"/>
    <w:rsid w:val="001C5EA7"/>
    <w:rsid w:val="001C7FF5"/>
    <w:rsid w:val="001D1022"/>
    <w:rsid w:val="001D5612"/>
    <w:rsid w:val="001D6272"/>
    <w:rsid w:val="001E2BED"/>
    <w:rsid w:val="001E3206"/>
    <w:rsid w:val="001E7135"/>
    <w:rsid w:val="001F4440"/>
    <w:rsid w:val="001F7F8A"/>
    <w:rsid w:val="0020777B"/>
    <w:rsid w:val="002170D8"/>
    <w:rsid w:val="00217B11"/>
    <w:rsid w:val="002269DE"/>
    <w:rsid w:val="002278B9"/>
    <w:rsid w:val="002375AB"/>
    <w:rsid w:val="0023780F"/>
    <w:rsid w:val="00240C75"/>
    <w:rsid w:val="002433FC"/>
    <w:rsid w:val="00255497"/>
    <w:rsid w:val="00256588"/>
    <w:rsid w:val="00290E95"/>
    <w:rsid w:val="002A76AF"/>
    <w:rsid w:val="002B6E12"/>
    <w:rsid w:val="002F47B9"/>
    <w:rsid w:val="002F6BF7"/>
    <w:rsid w:val="00301408"/>
    <w:rsid w:val="00304C7C"/>
    <w:rsid w:val="00305F0A"/>
    <w:rsid w:val="00311163"/>
    <w:rsid w:val="00311C86"/>
    <w:rsid w:val="00312BD8"/>
    <w:rsid w:val="003214D3"/>
    <w:rsid w:val="00325F1D"/>
    <w:rsid w:val="00334E35"/>
    <w:rsid w:val="00335986"/>
    <w:rsid w:val="0033734D"/>
    <w:rsid w:val="00340D2C"/>
    <w:rsid w:val="003415BC"/>
    <w:rsid w:val="00345612"/>
    <w:rsid w:val="00346A9A"/>
    <w:rsid w:val="003602C9"/>
    <w:rsid w:val="00360808"/>
    <w:rsid w:val="00365A07"/>
    <w:rsid w:val="00366349"/>
    <w:rsid w:val="00377AAC"/>
    <w:rsid w:val="003803F8"/>
    <w:rsid w:val="003862B8"/>
    <w:rsid w:val="00387933"/>
    <w:rsid w:val="00391EA1"/>
    <w:rsid w:val="00394982"/>
    <w:rsid w:val="003966F6"/>
    <w:rsid w:val="00397C1C"/>
    <w:rsid w:val="003A22B5"/>
    <w:rsid w:val="003B170A"/>
    <w:rsid w:val="003E1164"/>
    <w:rsid w:val="003E20A4"/>
    <w:rsid w:val="003E667D"/>
    <w:rsid w:val="003E699F"/>
    <w:rsid w:val="003F671B"/>
    <w:rsid w:val="00406458"/>
    <w:rsid w:val="0040652B"/>
    <w:rsid w:val="00414680"/>
    <w:rsid w:val="00416A9D"/>
    <w:rsid w:val="00417589"/>
    <w:rsid w:val="00420225"/>
    <w:rsid w:val="004310AC"/>
    <w:rsid w:val="00433CA1"/>
    <w:rsid w:val="004456C8"/>
    <w:rsid w:val="00452D22"/>
    <w:rsid w:val="004540DD"/>
    <w:rsid w:val="00454DB7"/>
    <w:rsid w:val="00457158"/>
    <w:rsid w:val="004608CF"/>
    <w:rsid w:val="004643B2"/>
    <w:rsid w:val="0047639A"/>
    <w:rsid w:val="00483A5A"/>
    <w:rsid w:val="00495B76"/>
    <w:rsid w:val="004A466A"/>
    <w:rsid w:val="004A735A"/>
    <w:rsid w:val="004B4924"/>
    <w:rsid w:val="004B59D2"/>
    <w:rsid w:val="004B7B06"/>
    <w:rsid w:val="004C10CD"/>
    <w:rsid w:val="004C5656"/>
    <w:rsid w:val="004C5A46"/>
    <w:rsid w:val="004D28E5"/>
    <w:rsid w:val="004D2DBC"/>
    <w:rsid w:val="004E1284"/>
    <w:rsid w:val="004E355F"/>
    <w:rsid w:val="004F3266"/>
    <w:rsid w:val="004F3E93"/>
    <w:rsid w:val="004F64FF"/>
    <w:rsid w:val="005134AF"/>
    <w:rsid w:val="005213BF"/>
    <w:rsid w:val="005240CB"/>
    <w:rsid w:val="0052718E"/>
    <w:rsid w:val="0053098C"/>
    <w:rsid w:val="005331EE"/>
    <w:rsid w:val="00534777"/>
    <w:rsid w:val="00535912"/>
    <w:rsid w:val="00536BAC"/>
    <w:rsid w:val="005375D1"/>
    <w:rsid w:val="00550868"/>
    <w:rsid w:val="00551FDE"/>
    <w:rsid w:val="005659DD"/>
    <w:rsid w:val="00576A36"/>
    <w:rsid w:val="00590DA0"/>
    <w:rsid w:val="005968FE"/>
    <w:rsid w:val="005A72E1"/>
    <w:rsid w:val="005B3AD7"/>
    <w:rsid w:val="005B41B0"/>
    <w:rsid w:val="005C18CF"/>
    <w:rsid w:val="005D04C3"/>
    <w:rsid w:val="005D0616"/>
    <w:rsid w:val="005E34F2"/>
    <w:rsid w:val="005E3835"/>
    <w:rsid w:val="005F049F"/>
    <w:rsid w:val="005F1327"/>
    <w:rsid w:val="005F4040"/>
    <w:rsid w:val="00610753"/>
    <w:rsid w:val="00611039"/>
    <w:rsid w:val="00611BDA"/>
    <w:rsid w:val="0061797B"/>
    <w:rsid w:val="00621E0C"/>
    <w:rsid w:val="00624B71"/>
    <w:rsid w:val="00644AD9"/>
    <w:rsid w:val="0064665C"/>
    <w:rsid w:val="00650557"/>
    <w:rsid w:val="0066763A"/>
    <w:rsid w:val="0067006B"/>
    <w:rsid w:val="006772D7"/>
    <w:rsid w:val="00681C2B"/>
    <w:rsid w:val="00684627"/>
    <w:rsid w:val="0069730D"/>
    <w:rsid w:val="00697B18"/>
    <w:rsid w:val="006A1DF3"/>
    <w:rsid w:val="006A68F6"/>
    <w:rsid w:val="006B1DCF"/>
    <w:rsid w:val="006C2981"/>
    <w:rsid w:val="006C5D7F"/>
    <w:rsid w:val="006D1206"/>
    <w:rsid w:val="006D3460"/>
    <w:rsid w:val="006D3FD9"/>
    <w:rsid w:val="006D747B"/>
    <w:rsid w:val="006E10BB"/>
    <w:rsid w:val="006F1C3B"/>
    <w:rsid w:val="006F26C3"/>
    <w:rsid w:val="006F27B5"/>
    <w:rsid w:val="006F3359"/>
    <w:rsid w:val="006F5837"/>
    <w:rsid w:val="006F72B5"/>
    <w:rsid w:val="00703A64"/>
    <w:rsid w:val="0070515F"/>
    <w:rsid w:val="0070624B"/>
    <w:rsid w:val="007115B7"/>
    <w:rsid w:val="00726861"/>
    <w:rsid w:val="00726C99"/>
    <w:rsid w:val="007315F9"/>
    <w:rsid w:val="007339F5"/>
    <w:rsid w:val="00735DF1"/>
    <w:rsid w:val="0074025B"/>
    <w:rsid w:val="00742F6B"/>
    <w:rsid w:val="00745EDA"/>
    <w:rsid w:val="00755978"/>
    <w:rsid w:val="007613B2"/>
    <w:rsid w:val="00761718"/>
    <w:rsid w:val="007702E7"/>
    <w:rsid w:val="0077490A"/>
    <w:rsid w:val="00787867"/>
    <w:rsid w:val="00792245"/>
    <w:rsid w:val="007A0565"/>
    <w:rsid w:val="007A3CD8"/>
    <w:rsid w:val="007C1F70"/>
    <w:rsid w:val="007C50BC"/>
    <w:rsid w:val="007C7F60"/>
    <w:rsid w:val="007D026D"/>
    <w:rsid w:val="007D02F8"/>
    <w:rsid w:val="007E0DF9"/>
    <w:rsid w:val="007E540F"/>
    <w:rsid w:val="007F355A"/>
    <w:rsid w:val="007F457E"/>
    <w:rsid w:val="007F46C7"/>
    <w:rsid w:val="007F6DF5"/>
    <w:rsid w:val="00800F2B"/>
    <w:rsid w:val="00801DF6"/>
    <w:rsid w:val="00804B89"/>
    <w:rsid w:val="00825BCA"/>
    <w:rsid w:val="00826ECF"/>
    <w:rsid w:val="008321EE"/>
    <w:rsid w:val="008331FC"/>
    <w:rsid w:val="008351A3"/>
    <w:rsid w:val="0085329D"/>
    <w:rsid w:val="00862440"/>
    <w:rsid w:val="00875047"/>
    <w:rsid w:val="00877F32"/>
    <w:rsid w:val="0088044A"/>
    <w:rsid w:val="008809C8"/>
    <w:rsid w:val="00881178"/>
    <w:rsid w:val="00882774"/>
    <w:rsid w:val="00885C76"/>
    <w:rsid w:val="00890CBA"/>
    <w:rsid w:val="0089740B"/>
    <w:rsid w:val="008A55B6"/>
    <w:rsid w:val="008A7A55"/>
    <w:rsid w:val="008B3777"/>
    <w:rsid w:val="008D0084"/>
    <w:rsid w:val="008E27F6"/>
    <w:rsid w:val="008E580A"/>
    <w:rsid w:val="008F1475"/>
    <w:rsid w:val="008F3DBB"/>
    <w:rsid w:val="008F4485"/>
    <w:rsid w:val="009156CB"/>
    <w:rsid w:val="0091682A"/>
    <w:rsid w:val="00921613"/>
    <w:rsid w:val="009254EF"/>
    <w:rsid w:val="009266A7"/>
    <w:rsid w:val="009324C6"/>
    <w:rsid w:val="00942ED8"/>
    <w:rsid w:val="00944D77"/>
    <w:rsid w:val="0096148C"/>
    <w:rsid w:val="0096761F"/>
    <w:rsid w:val="00981CCA"/>
    <w:rsid w:val="009922DB"/>
    <w:rsid w:val="009A5528"/>
    <w:rsid w:val="009A7B8F"/>
    <w:rsid w:val="009B7770"/>
    <w:rsid w:val="009C0247"/>
    <w:rsid w:val="009C67F8"/>
    <w:rsid w:val="009C6942"/>
    <w:rsid w:val="009D7C62"/>
    <w:rsid w:val="009F1225"/>
    <w:rsid w:val="00A17A99"/>
    <w:rsid w:val="00A17B27"/>
    <w:rsid w:val="00A17F03"/>
    <w:rsid w:val="00A242EC"/>
    <w:rsid w:val="00A55751"/>
    <w:rsid w:val="00A67F69"/>
    <w:rsid w:val="00A70FF2"/>
    <w:rsid w:val="00A74272"/>
    <w:rsid w:val="00A751FB"/>
    <w:rsid w:val="00A811CF"/>
    <w:rsid w:val="00A81610"/>
    <w:rsid w:val="00A83B70"/>
    <w:rsid w:val="00AA38DE"/>
    <w:rsid w:val="00AB2811"/>
    <w:rsid w:val="00AB3E20"/>
    <w:rsid w:val="00AB5E09"/>
    <w:rsid w:val="00AC3180"/>
    <w:rsid w:val="00AC34C6"/>
    <w:rsid w:val="00AC704D"/>
    <w:rsid w:val="00AD046B"/>
    <w:rsid w:val="00AD58DB"/>
    <w:rsid w:val="00B30567"/>
    <w:rsid w:val="00B407B4"/>
    <w:rsid w:val="00B62907"/>
    <w:rsid w:val="00B66262"/>
    <w:rsid w:val="00B725DE"/>
    <w:rsid w:val="00B8020A"/>
    <w:rsid w:val="00B80245"/>
    <w:rsid w:val="00B83F67"/>
    <w:rsid w:val="00B91911"/>
    <w:rsid w:val="00BA3EBA"/>
    <w:rsid w:val="00BA5E20"/>
    <w:rsid w:val="00BB11A0"/>
    <w:rsid w:val="00BC118F"/>
    <w:rsid w:val="00BC22A2"/>
    <w:rsid w:val="00BC58C6"/>
    <w:rsid w:val="00BE2A86"/>
    <w:rsid w:val="00BE7F53"/>
    <w:rsid w:val="00C103C7"/>
    <w:rsid w:val="00C114FC"/>
    <w:rsid w:val="00C12A0F"/>
    <w:rsid w:val="00C24D6B"/>
    <w:rsid w:val="00C26FAE"/>
    <w:rsid w:val="00C32CCF"/>
    <w:rsid w:val="00C33F0A"/>
    <w:rsid w:val="00C4105B"/>
    <w:rsid w:val="00C475F4"/>
    <w:rsid w:val="00C47B96"/>
    <w:rsid w:val="00C55359"/>
    <w:rsid w:val="00C62C8E"/>
    <w:rsid w:val="00C6300C"/>
    <w:rsid w:val="00C65AB4"/>
    <w:rsid w:val="00C667BC"/>
    <w:rsid w:val="00C70110"/>
    <w:rsid w:val="00C7090C"/>
    <w:rsid w:val="00C75DEB"/>
    <w:rsid w:val="00C84267"/>
    <w:rsid w:val="00C917E8"/>
    <w:rsid w:val="00C943A0"/>
    <w:rsid w:val="00CB0C70"/>
    <w:rsid w:val="00CB1365"/>
    <w:rsid w:val="00CB4D8C"/>
    <w:rsid w:val="00CC600C"/>
    <w:rsid w:val="00CD101A"/>
    <w:rsid w:val="00CD2E0A"/>
    <w:rsid w:val="00CE286D"/>
    <w:rsid w:val="00CE7170"/>
    <w:rsid w:val="00CE748E"/>
    <w:rsid w:val="00CF0F1D"/>
    <w:rsid w:val="00D11310"/>
    <w:rsid w:val="00D26C8E"/>
    <w:rsid w:val="00D518C7"/>
    <w:rsid w:val="00D77960"/>
    <w:rsid w:val="00D806F2"/>
    <w:rsid w:val="00D86B80"/>
    <w:rsid w:val="00DA3107"/>
    <w:rsid w:val="00DA57BC"/>
    <w:rsid w:val="00DA689A"/>
    <w:rsid w:val="00DB2489"/>
    <w:rsid w:val="00DD5598"/>
    <w:rsid w:val="00DE2793"/>
    <w:rsid w:val="00DE315A"/>
    <w:rsid w:val="00DE5CBC"/>
    <w:rsid w:val="00DF363C"/>
    <w:rsid w:val="00DF445D"/>
    <w:rsid w:val="00E02FB8"/>
    <w:rsid w:val="00E0526B"/>
    <w:rsid w:val="00E30517"/>
    <w:rsid w:val="00E36DBA"/>
    <w:rsid w:val="00E4089A"/>
    <w:rsid w:val="00E42345"/>
    <w:rsid w:val="00E46C98"/>
    <w:rsid w:val="00E55251"/>
    <w:rsid w:val="00E55FCB"/>
    <w:rsid w:val="00E65AAB"/>
    <w:rsid w:val="00E75EA9"/>
    <w:rsid w:val="00E766F3"/>
    <w:rsid w:val="00E8673D"/>
    <w:rsid w:val="00E87877"/>
    <w:rsid w:val="00E96322"/>
    <w:rsid w:val="00EA07AA"/>
    <w:rsid w:val="00EA3F24"/>
    <w:rsid w:val="00EB27EF"/>
    <w:rsid w:val="00EB37E4"/>
    <w:rsid w:val="00EB5AB5"/>
    <w:rsid w:val="00EC3000"/>
    <w:rsid w:val="00EC371A"/>
    <w:rsid w:val="00ED4F7B"/>
    <w:rsid w:val="00ED768B"/>
    <w:rsid w:val="00EE17DE"/>
    <w:rsid w:val="00EE4C29"/>
    <w:rsid w:val="00EE740E"/>
    <w:rsid w:val="00EF103B"/>
    <w:rsid w:val="00F0717C"/>
    <w:rsid w:val="00F15ED2"/>
    <w:rsid w:val="00F23843"/>
    <w:rsid w:val="00F23F1D"/>
    <w:rsid w:val="00F27EB3"/>
    <w:rsid w:val="00F3556C"/>
    <w:rsid w:val="00F40E04"/>
    <w:rsid w:val="00F42303"/>
    <w:rsid w:val="00F435F5"/>
    <w:rsid w:val="00F501C8"/>
    <w:rsid w:val="00F556C6"/>
    <w:rsid w:val="00F733C3"/>
    <w:rsid w:val="00F74E27"/>
    <w:rsid w:val="00F90304"/>
    <w:rsid w:val="00F9087D"/>
    <w:rsid w:val="00F9644B"/>
    <w:rsid w:val="00F96DD1"/>
    <w:rsid w:val="00F97A39"/>
    <w:rsid w:val="00FA177D"/>
    <w:rsid w:val="00FA1A04"/>
    <w:rsid w:val="00FA63A8"/>
    <w:rsid w:val="00FA7F62"/>
    <w:rsid w:val="00FB7F74"/>
    <w:rsid w:val="00FC20F3"/>
    <w:rsid w:val="00FC757C"/>
    <w:rsid w:val="00FD336F"/>
    <w:rsid w:val="00FE24F0"/>
    <w:rsid w:val="00FE4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99"/>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CE71A7136D94B6088FF6D4FF910E6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10024-17</Nr_x002e__x0020_akti>
    <Data_x0020_e_x0020_Krijimit xmlns="0e656187-b300-4fb0-8bf4-3a50f872073c">2026-05-22T08:40:52Z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2026-05-21T00:00:00Z</Date_x0020_protokolli>
    <Titulli xmlns="0e656187-b300-4fb0-8bf4-3a50f872073c">Çështja Bitraj kundër Shqipërisë</Titulli>
    <Modifikuesi xmlns="0e656187-b300-4fb0-8bf4-3a50f872073c">keisina.zace</Modifikuesi>
    <Nr_x002e__x0020_prot_x0020_QBZ xmlns="0e656187-b300-4fb0-8bf4-3a50f872073c">1154/1</Nr_x002e__x0020_prot_x0020_QBZ>
    <Data_x0020_e_x0020_Modifikimit xmlns="0e656187-b300-4fb0-8bf4-3a50f872073c">2026-05-22T09:43:31Z</Data_x0020_e_x0020_Modifikimit>
    <Dekretuar xmlns="0e656187-b300-4fb0-8bf4-3a50f872073c">false</Dekretuar>
    <Data xmlns="0e656187-b300-4fb0-8bf4-3a50f872073c">2026-05-05T00:00:00Z</Data>
    <Nr_x002e__x0020_protokolli_x0020_i_x0020_aktit xmlns="0e656187-b300-4fb0-8bf4-3a50f872073c">2856/1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B6A29-217A-4683-9186-E4F0EC1E5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B5F3668-4505-46B4-8CC4-675E7276F422}">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 ds:uri="0e656187-b300-4fb0-8bf4-3a50f872073c"/>
  </ds:schemaRefs>
</ds:datastoreItem>
</file>

<file path=customXml/itemProps3.xml><?xml version="1.0" encoding="utf-8"?>
<ds:datastoreItem xmlns:ds="http://schemas.openxmlformats.org/officeDocument/2006/customXml" ds:itemID="{A50C4F8A-8928-40E6-B49A-30F1FA8442C6}">
  <ds:schemaRefs>
    <ds:schemaRef ds:uri="http://schemas.microsoft.com/sharepoint/v3/contenttype/forms"/>
  </ds:schemaRefs>
</ds:datastoreItem>
</file>

<file path=customXml/itemProps4.xml><?xml version="1.0" encoding="utf-8"?>
<ds:datastoreItem xmlns:ds="http://schemas.openxmlformats.org/officeDocument/2006/customXml" ds:itemID="{16F57DF0-05A1-41AA-98C0-F6D7B59C8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1464</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Mirela Prifti</dc:creator>
  <cp:lastModifiedBy>fjora.cahani</cp:lastModifiedBy>
  <cp:revision>8</cp:revision>
  <dcterms:created xsi:type="dcterms:W3CDTF">2026-05-18T06:25:00Z</dcterms:created>
  <dcterms:modified xsi:type="dcterms:W3CDTF">2026-05-22T09:27:00Z</dcterms:modified>
</cp:coreProperties>
</file>