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AF328C" w14:textId="77777777" w:rsidR="00CB4E13" w:rsidRPr="005D3D6B" w:rsidRDefault="00CB4E13" w:rsidP="00CB4E13">
      <w:pPr>
        <w:spacing w:after="0" w:line="240" w:lineRule="auto"/>
        <w:ind w:firstLine="284"/>
        <w:jc w:val="center"/>
        <w:rPr>
          <w:rFonts w:ascii="Garamond" w:hAnsi="Garamond"/>
          <w:sz w:val="24"/>
          <w:szCs w:val="24"/>
        </w:rPr>
      </w:pPr>
    </w:p>
    <w:p w14:paraId="0D330153" w14:textId="77777777" w:rsidR="00CB4E13" w:rsidRPr="005D3D6B" w:rsidRDefault="00CB4E13" w:rsidP="00CB4E13">
      <w:pPr>
        <w:tabs>
          <w:tab w:val="left" w:pos="5520"/>
        </w:tabs>
        <w:autoSpaceDE w:val="0"/>
        <w:autoSpaceDN w:val="0"/>
        <w:adjustRightInd w:val="0"/>
        <w:spacing w:after="0" w:line="240" w:lineRule="auto"/>
        <w:ind w:firstLine="284"/>
        <w:jc w:val="center"/>
        <w:rPr>
          <w:rFonts w:ascii="Garamond" w:eastAsiaTheme="minorHAnsi" w:hAnsi="Garamond" w:cs="Calibri"/>
          <w:color w:val="000000"/>
          <w:sz w:val="24"/>
          <w:szCs w:val="24"/>
          <w14:ligatures w14:val="standardContextual"/>
        </w:rPr>
      </w:pPr>
      <w:r w:rsidRPr="005D3D6B">
        <w:rPr>
          <w:rFonts w:ascii="Garamond" w:eastAsiaTheme="minorHAnsi" w:hAnsi="Garamond" w:cs="Calibri"/>
          <w:color w:val="000000"/>
          <w:sz w:val="24"/>
          <w:szCs w:val="24"/>
          <w14:ligatures w14:val="standardContextual"/>
        </w:rPr>
        <w:t xml:space="preserve">GJYKATA EVROPIANE E TË DREJTAVE TË NJERIUT </w:t>
      </w:r>
    </w:p>
    <w:p w14:paraId="7700A014" w14:textId="77777777" w:rsidR="00391EA1" w:rsidRPr="005D3D6B" w:rsidRDefault="00391EA1" w:rsidP="00CB4E13">
      <w:pPr>
        <w:tabs>
          <w:tab w:val="left" w:pos="5529"/>
        </w:tabs>
        <w:spacing w:after="0" w:line="240" w:lineRule="auto"/>
        <w:ind w:firstLine="284"/>
        <w:jc w:val="center"/>
        <w:rPr>
          <w:rFonts w:ascii="Garamond" w:hAnsi="Garamond"/>
          <w:sz w:val="24"/>
          <w:szCs w:val="24"/>
        </w:rPr>
      </w:pPr>
      <w:r w:rsidRPr="005D3D6B">
        <w:rPr>
          <w:rFonts w:ascii="Garamond" w:hAnsi="Garamond"/>
          <w:sz w:val="24"/>
          <w:szCs w:val="24"/>
        </w:rPr>
        <w:t>SEKSIONI I TRETË</w:t>
      </w:r>
    </w:p>
    <w:p w14:paraId="1FD5C817" w14:textId="44D373AB" w:rsidR="00391EA1" w:rsidRPr="005D3D6B" w:rsidRDefault="00391EA1" w:rsidP="00CB4E13">
      <w:pPr>
        <w:spacing w:after="0" w:line="240" w:lineRule="auto"/>
        <w:ind w:firstLine="284"/>
        <w:jc w:val="center"/>
        <w:outlineLvl w:val="0"/>
        <w:rPr>
          <w:rFonts w:ascii="Garamond" w:hAnsi="Garamond"/>
          <w:sz w:val="24"/>
          <w:szCs w:val="24"/>
        </w:rPr>
      </w:pPr>
    </w:p>
    <w:p w14:paraId="6B0CACF2" w14:textId="173EF8ED" w:rsidR="00A17F03" w:rsidRPr="005D3D6B" w:rsidRDefault="00A17F03" w:rsidP="00CB4E13">
      <w:pPr>
        <w:spacing w:after="0" w:line="240" w:lineRule="auto"/>
        <w:ind w:firstLine="284"/>
        <w:jc w:val="center"/>
        <w:outlineLvl w:val="0"/>
        <w:rPr>
          <w:rFonts w:ascii="Garamond" w:hAnsi="Garamond"/>
          <w:b/>
          <w:bCs/>
          <w:sz w:val="24"/>
          <w:szCs w:val="24"/>
        </w:rPr>
      </w:pPr>
      <w:r w:rsidRPr="005D3D6B">
        <w:rPr>
          <w:rFonts w:ascii="Garamond" w:hAnsi="Garamond"/>
          <w:b/>
          <w:bCs/>
          <w:sz w:val="24"/>
          <w:szCs w:val="24"/>
        </w:rPr>
        <w:t xml:space="preserve">ÇËSHTJA </w:t>
      </w:r>
      <w:r w:rsidR="0097437F" w:rsidRPr="005D3D6B">
        <w:rPr>
          <w:rFonts w:ascii="Garamond" w:hAnsi="Garamond"/>
          <w:b/>
          <w:bCs/>
          <w:sz w:val="24"/>
          <w:szCs w:val="24"/>
        </w:rPr>
        <w:t>OSMANI</w:t>
      </w:r>
      <w:r w:rsidRPr="005D3D6B">
        <w:rPr>
          <w:rFonts w:ascii="Garamond" w:hAnsi="Garamond"/>
          <w:b/>
          <w:bCs/>
          <w:sz w:val="24"/>
          <w:szCs w:val="24"/>
        </w:rPr>
        <w:t xml:space="preserve"> KUND</w:t>
      </w:r>
      <w:r w:rsidR="00726861" w:rsidRPr="005D3D6B">
        <w:rPr>
          <w:rFonts w:ascii="Garamond" w:hAnsi="Garamond"/>
          <w:b/>
          <w:bCs/>
          <w:sz w:val="24"/>
          <w:szCs w:val="24"/>
        </w:rPr>
        <w:t>Ë</w:t>
      </w:r>
      <w:r w:rsidRPr="005D3D6B">
        <w:rPr>
          <w:rFonts w:ascii="Garamond" w:hAnsi="Garamond"/>
          <w:b/>
          <w:bCs/>
          <w:sz w:val="24"/>
          <w:szCs w:val="24"/>
        </w:rPr>
        <w:t>R SHQIP</w:t>
      </w:r>
      <w:r w:rsidR="00726861" w:rsidRPr="005D3D6B">
        <w:rPr>
          <w:rFonts w:ascii="Garamond" w:hAnsi="Garamond"/>
          <w:b/>
          <w:bCs/>
          <w:sz w:val="24"/>
          <w:szCs w:val="24"/>
        </w:rPr>
        <w:t>Ë</w:t>
      </w:r>
      <w:r w:rsidRPr="005D3D6B">
        <w:rPr>
          <w:rFonts w:ascii="Garamond" w:hAnsi="Garamond"/>
          <w:b/>
          <w:bCs/>
          <w:sz w:val="24"/>
          <w:szCs w:val="24"/>
        </w:rPr>
        <w:t>RIS</w:t>
      </w:r>
      <w:r w:rsidR="00726861" w:rsidRPr="005D3D6B">
        <w:rPr>
          <w:rFonts w:ascii="Garamond" w:hAnsi="Garamond"/>
          <w:b/>
          <w:bCs/>
          <w:sz w:val="24"/>
          <w:szCs w:val="24"/>
        </w:rPr>
        <w:t>Ë</w:t>
      </w:r>
    </w:p>
    <w:p w14:paraId="1E5722F4" w14:textId="4BA58BF0" w:rsidR="00A17F03" w:rsidRPr="005D3D6B" w:rsidRDefault="00A17F03" w:rsidP="00CB4E13">
      <w:pPr>
        <w:spacing w:after="0" w:line="240" w:lineRule="auto"/>
        <w:ind w:firstLine="284"/>
        <w:jc w:val="center"/>
        <w:outlineLvl w:val="0"/>
        <w:rPr>
          <w:rFonts w:ascii="Garamond" w:hAnsi="Garamond"/>
          <w:i/>
          <w:iCs/>
          <w:sz w:val="24"/>
          <w:szCs w:val="24"/>
        </w:rPr>
      </w:pPr>
      <w:r w:rsidRPr="005D3D6B">
        <w:rPr>
          <w:rFonts w:ascii="Garamond" w:hAnsi="Garamond"/>
          <w:i/>
          <w:iCs/>
          <w:sz w:val="24"/>
          <w:szCs w:val="24"/>
        </w:rPr>
        <w:t>(K</w:t>
      </w:r>
      <w:r w:rsidR="00726861" w:rsidRPr="005D3D6B">
        <w:rPr>
          <w:rFonts w:ascii="Garamond" w:hAnsi="Garamond"/>
          <w:i/>
          <w:iCs/>
          <w:sz w:val="24"/>
          <w:szCs w:val="24"/>
        </w:rPr>
        <w:t>ë</w:t>
      </w:r>
      <w:r w:rsidRPr="005D3D6B">
        <w:rPr>
          <w:rFonts w:ascii="Garamond" w:hAnsi="Garamond"/>
          <w:i/>
          <w:iCs/>
          <w:sz w:val="24"/>
          <w:szCs w:val="24"/>
        </w:rPr>
        <w:t>rkesa</w:t>
      </w:r>
      <w:r w:rsidR="0053098C" w:rsidRPr="005D3D6B">
        <w:rPr>
          <w:rFonts w:ascii="Garamond" w:hAnsi="Garamond"/>
          <w:i/>
          <w:iCs/>
          <w:sz w:val="24"/>
          <w:szCs w:val="24"/>
        </w:rPr>
        <w:t xml:space="preserve"> </w:t>
      </w:r>
      <w:r w:rsidR="005D3F12" w:rsidRPr="005D3D6B">
        <w:rPr>
          <w:rFonts w:ascii="Garamond" w:hAnsi="Garamond"/>
          <w:i/>
          <w:iCs/>
          <w:sz w:val="24"/>
          <w:szCs w:val="24"/>
        </w:rPr>
        <w:t xml:space="preserve">nr. </w:t>
      </w:r>
      <w:r w:rsidR="00B47CA1" w:rsidRPr="005D3D6B">
        <w:rPr>
          <w:rFonts w:ascii="Garamond" w:hAnsi="Garamond"/>
          <w:i/>
          <w:iCs/>
          <w:sz w:val="24"/>
          <w:szCs w:val="24"/>
        </w:rPr>
        <w:t>7780/20</w:t>
      </w:r>
      <w:r w:rsidRPr="005D3D6B">
        <w:rPr>
          <w:rFonts w:ascii="Garamond" w:hAnsi="Garamond"/>
          <w:i/>
          <w:iCs/>
          <w:sz w:val="24"/>
          <w:szCs w:val="24"/>
        </w:rPr>
        <w:t>)</w:t>
      </w:r>
    </w:p>
    <w:p w14:paraId="73D9795E" w14:textId="77777777" w:rsidR="009432F6" w:rsidRPr="005D3D6B" w:rsidRDefault="009432F6" w:rsidP="00CB4E13">
      <w:pPr>
        <w:spacing w:after="0" w:line="240" w:lineRule="auto"/>
        <w:ind w:firstLine="284"/>
        <w:outlineLvl w:val="0"/>
        <w:rPr>
          <w:rFonts w:ascii="Garamond" w:hAnsi="Garamond"/>
          <w:i/>
          <w:iCs/>
          <w:sz w:val="24"/>
          <w:szCs w:val="24"/>
        </w:rPr>
      </w:pPr>
    </w:p>
    <w:p w14:paraId="4F92FB00" w14:textId="0A23C876" w:rsidR="00A17F03" w:rsidRPr="005D3D6B" w:rsidRDefault="00A17F03" w:rsidP="00CB4E13">
      <w:pPr>
        <w:spacing w:after="0" w:line="240" w:lineRule="auto"/>
        <w:ind w:firstLine="284"/>
        <w:jc w:val="center"/>
        <w:outlineLvl w:val="0"/>
        <w:rPr>
          <w:rFonts w:ascii="Garamond" w:hAnsi="Garamond"/>
          <w:sz w:val="24"/>
          <w:szCs w:val="24"/>
        </w:rPr>
      </w:pPr>
      <w:r w:rsidRPr="005D3D6B">
        <w:rPr>
          <w:rFonts w:ascii="Garamond" w:hAnsi="Garamond"/>
          <w:sz w:val="24"/>
          <w:szCs w:val="24"/>
        </w:rPr>
        <w:t>VENDIM</w:t>
      </w:r>
    </w:p>
    <w:p w14:paraId="3E8A4C72" w14:textId="191F3D2F" w:rsidR="00A17F03" w:rsidRPr="005D3D6B" w:rsidRDefault="00A17F03" w:rsidP="00CB4E13">
      <w:pPr>
        <w:spacing w:after="0" w:line="240" w:lineRule="auto"/>
        <w:ind w:firstLine="284"/>
        <w:jc w:val="center"/>
        <w:outlineLvl w:val="0"/>
        <w:rPr>
          <w:rFonts w:ascii="Garamond" w:hAnsi="Garamond"/>
          <w:sz w:val="24"/>
          <w:szCs w:val="24"/>
        </w:rPr>
      </w:pPr>
      <w:r w:rsidRPr="005D3D6B">
        <w:rPr>
          <w:rFonts w:ascii="Garamond" w:hAnsi="Garamond"/>
          <w:sz w:val="24"/>
          <w:szCs w:val="24"/>
        </w:rPr>
        <w:t>STRASBURG</w:t>
      </w:r>
    </w:p>
    <w:p w14:paraId="2CE69453" w14:textId="39024EEF" w:rsidR="00A17F03" w:rsidRPr="005D3D6B" w:rsidRDefault="00C23A39" w:rsidP="00CB4E13">
      <w:pPr>
        <w:spacing w:after="0" w:line="240" w:lineRule="auto"/>
        <w:ind w:firstLine="284"/>
        <w:jc w:val="center"/>
        <w:outlineLvl w:val="0"/>
        <w:rPr>
          <w:rFonts w:ascii="Garamond" w:hAnsi="Garamond"/>
          <w:sz w:val="24"/>
          <w:szCs w:val="24"/>
        </w:rPr>
      </w:pPr>
      <w:r w:rsidRPr="005D3D6B">
        <w:rPr>
          <w:rFonts w:ascii="Garamond" w:hAnsi="Garamond"/>
          <w:sz w:val="24"/>
          <w:szCs w:val="24"/>
        </w:rPr>
        <w:t xml:space="preserve">23 </w:t>
      </w:r>
      <w:r w:rsidR="005D3D6B" w:rsidRPr="005D3D6B">
        <w:rPr>
          <w:rFonts w:ascii="Garamond" w:hAnsi="Garamond"/>
          <w:sz w:val="24"/>
          <w:szCs w:val="24"/>
        </w:rPr>
        <w:t>q</w:t>
      </w:r>
      <w:r w:rsidRPr="005D3D6B">
        <w:rPr>
          <w:rFonts w:ascii="Garamond" w:hAnsi="Garamond"/>
          <w:sz w:val="24"/>
          <w:szCs w:val="24"/>
        </w:rPr>
        <w:t>ershor</w:t>
      </w:r>
      <w:r w:rsidR="005D3F12" w:rsidRPr="005D3D6B">
        <w:rPr>
          <w:rFonts w:ascii="Garamond" w:hAnsi="Garamond"/>
          <w:sz w:val="24"/>
          <w:szCs w:val="24"/>
        </w:rPr>
        <w:t xml:space="preserve"> 2026</w:t>
      </w:r>
    </w:p>
    <w:p w14:paraId="77DD0B1E" w14:textId="77777777" w:rsidR="00A17F03" w:rsidRPr="005D3D6B" w:rsidRDefault="00A17F03" w:rsidP="00CB4E13">
      <w:pPr>
        <w:spacing w:after="0" w:line="240" w:lineRule="auto"/>
        <w:ind w:firstLine="284"/>
        <w:jc w:val="center"/>
        <w:outlineLvl w:val="0"/>
        <w:rPr>
          <w:rFonts w:ascii="Garamond" w:hAnsi="Garamond"/>
          <w:sz w:val="24"/>
          <w:szCs w:val="24"/>
        </w:rPr>
      </w:pPr>
    </w:p>
    <w:p w14:paraId="219843CC" w14:textId="0A9795C4" w:rsidR="00A17F03" w:rsidRPr="005D3D6B" w:rsidRDefault="00A17F03" w:rsidP="00CB4E13">
      <w:pPr>
        <w:spacing w:after="0" w:line="240" w:lineRule="auto"/>
        <w:ind w:firstLine="284"/>
        <w:jc w:val="center"/>
        <w:outlineLvl w:val="0"/>
        <w:rPr>
          <w:rFonts w:ascii="Garamond" w:hAnsi="Garamond"/>
          <w:i/>
          <w:iCs/>
          <w:sz w:val="24"/>
          <w:szCs w:val="24"/>
        </w:rPr>
      </w:pPr>
      <w:r w:rsidRPr="005D3D6B">
        <w:rPr>
          <w:rFonts w:ascii="Garamond" w:hAnsi="Garamond"/>
          <w:i/>
          <w:iCs/>
          <w:sz w:val="24"/>
          <w:szCs w:val="24"/>
        </w:rPr>
        <w:t>Ky ve</w:t>
      </w:r>
      <w:r w:rsidR="00F15ED2" w:rsidRPr="005D3D6B">
        <w:rPr>
          <w:rFonts w:ascii="Garamond" w:hAnsi="Garamond"/>
          <w:i/>
          <w:iCs/>
          <w:sz w:val="24"/>
          <w:szCs w:val="24"/>
        </w:rPr>
        <w:t>n</w:t>
      </w:r>
      <w:r w:rsidRPr="005D3D6B">
        <w:rPr>
          <w:rFonts w:ascii="Garamond" w:hAnsi="Garamond"/>
          <w:i/>
          <w:iCs/>
          <w:sz w:val="24"/>
          <w:szCs w:val="24"/>
        </w:rPr>
        <w:t xml:space="preserve">dim </w:t>
      </w:r>
      <w:r w:rsidR="00726861" w:rsidRPr="005D3D6B">
        <w:rPr>
          <w:rFonts w:ascii="Garamond" w:hAnsi="Garamond"/>
          <w:i/>
          <w:iCs/>
          <w:sz w:val="24"/>
          <w:szCs w:val="24"/>
        </w:rPr>
        <w:t>ë</w:t>
      </w:r>
      <w:r w:rsidRPr="005D3D6B">
        <w:rPr>
          <w:rFonts w:ascii="Garamond" w:hAnsi="Garamond"/>
          <w:i/>
          <w:iCs/>
          <w:sz w:val="24"/>
          <w:szCs w:val="24"/>
        </w:rPr>
        <w:t>sht</w:t>
      </w:r>
      <w:r w:rsidR="00726861" w:rsidRPr="005D3D6B">
        <w:rPr>
          <w:rFonts w:ascii="Garamond" w:hAnsi="Garamond"/>
          <w:i/>
          <w:iCs/>
          <w:sz w:val="24"/>
          <w:szCs w:val="24"/>
        </w:rPr>
        <w:t>ë</w:t>
      </w:r>
      <w:r w:rsidRPr="005D3D6B">
        <w:rPr>
          <w:rFonts w:ascii="Garamond" w:hAnsi="Garamond"/>
          <w:i/>
          <w:iCs/>
          <w:sz w:val="24"/>
          <w:szCs w:val="24"/>
        </w:rPr>
        <w:t xml:space="preserve"> </w:t>
      </w:r>
      <w:r w:rsidR="00271292" w:rsidRPr="005D3D6B">
        <w:rPr>
          <w:rFonts w:ascii="Garamond" w:hAnsi="Garamond"/>
          <w:i/>
          <w:iCs/>
          <w:sz w:val="24"/>
          <w:szCs w:val="24"/>
        </w:rPr>
        <w:t>i formës së prerë</w:t>
      </w:r>
      <w:r w:rsidRPr="005D3D6B">
        <w:rPr>
          <w:rFonts w:ascii="Garamond" w:hAnsi="Garamond"/>
          <w:i/>
          <w:iCs/>
          <w:sz w:val="24"/>
          <w:szCs w:val="24"/>
        </w:rPr>
        <w:t>, por mund t</w:t>
      </w:r>
      <w:r w:rsidR="00726861" w:rsidRPr="005D3D6B">
        <w:rPr>
          <w:rFonts w:ascii="Garamond" w:hAnsi="Garamond"/>
          <w:i/>
          <w:iCs/>
          <w:sz w:val="24"/>
          <w:szCs w:val="24"/>
        </w:rPr>
        <w:t>ë</w:t>
      </w:r>
      <w:r w:rsidRPr="005D3D6B">
        <w:rPr>
          <w:rFonts w:ascii="Garamond" w:hAnsi="Garamond"/>
          <w:i/>
          <w:iCs/>
          <w:sz w:val="24"/>
          <w:szCs w:val="24"/>
        </w:rPr>
        <w:t xml:space="preserve"> jet</w:t>
      </w:r>
      <w:r w:rsidR="00726861" w:rsidRPr="005D3D6B">
        <w:rPr>
          <w:rFonts w:ascii="Garamond" w:hAnsi="Garamond"/>
          <w:i/>
          <w:iCs/>
          <w:sz w:val="24"/>
          <w:szCs w:val="24"/>
        </w:rPr>
        <w:t>ë</w:t>
      </w:r>
      <w:r w:rsidRPr="005D3D6B">
        <w:rPr>
          <w:rFonts w:ascii="Garamond" w:hAnsi="Garamond"/>
          <w:i/>
          <w:iCs/>
          <w:sz w:val="24"/>
          <w:szCs w:val="24"/>
        </w:rPr>
        <w:t xml:space="preserve"> subjekt i rishikimit redaktues. </w:t>
      </w:r>
    </w:p>
    <w:p w14:paraId="24D91378" w14:textId="77777777" w:rsidR="009215E0" w:rsidRPr="005D3D6B" w:rsidRDefault="009215E0" w:rsidP="00CB4E13">
      <w:pPr>
        <w:pStyle w:val="ECHRPara"/>
        <w:rPr>
          <w:rFonts w:ascii="Garamond" w:hAnsi="Garamond"/>
          <w:b/>
          <w:bCs/>
          <w:szCs w:val="24"/>
          <w:lang w:val="sq-AL"/>
        </w:rPr>
      </w:pPr>
    </w:p>
    <w:p w14:paraId="30E72CC8" w14:textId="60377173" w:rsidR="00CB4E13" w:rsidRPr="005D3D6B" w:rsidRDefault="00CB4E13" w:rsidP="00CB4E13">
      <w:pPr>
        <w:autoSpaceDE w:val="0"/>
        <w:autoSpaceDN w:val="0"/>
        <w:adjustRightInd w:val="0"/>
        <w:spacing w:after="0" w:line="240" w:lineRule="auto"/>
        <w:ind w:firstLine="284"/>
        <w:jc w:val="both"/>
        <w:rPr>
          <w:rFonts w:ascii="Garamond" w:eastAsiaTheme="minorHAnsi" w:hAnsi="Garamond"/>
          <w:b/>
          <w:bCs/>
          <w:color w:val="000000"/>
          <w:sz w:val="24"/>
          <w:szCs w:val="24"/>
          <w14:ligatures w14:val="standardContextual"/>
        </w:rPr>
      </w:pPr>
      <w:r w:rsidRPr="005D3D6B">
        <w:rPr>
          <w:rFonts w:ascii="Garamond" w:eastAsiaTheme="minorHAnsi" w:hAnsi="Garamond"/>
          <w:b/>
          <w:bCs/>
          <w:color w:val="000000"/>
          <w:sz w:val="24"/>
          <w:szCs w:val="24"/>
          <w14:ligatures w14:val="standardContextual"/>
        </w:rPr>
        <w:t>Në çështjen Osmani kundër Shqipërisë</w:t>
      </w:r>
    </w:p>
    <w:p w14:paraId="6E314E5F" w14:textId="7DD702CC" w:rsidR="00CB4E13" w:rsidRPr="005D3D6B" w:rsidRDefault="00CB4E13" w:rsidP="00CB4E13">
      <w:pPr>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 xml:space="preserve">Gjykata Evropiane e të Drejtave të Njeriut (Seksioni i Tretë), e mbledhur si një Komitet i përbërë nga: </w:t>
      </w:r>
    </w:p>
    <w:p w14:paraId="526ADF2C" w14:textId="66A8E60E"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5D3D6B">
        <w:rPr>
          <w:rFonts w:ascii="Garamond" w:eastAsiaTheme="minorHAnsi" w:hAnsi="Garamond"/>
          <w:color w:val="000000"/>
          <w:sz w:val="24"/>
          <w:szCs w:val="24"/>
          <w14:ligatures w14:val="standardContextual"/>
        </w:rPr>
        <w:t xml:space="preserve"> </w:t>
      </w:r>
      <w:proofErr w:type="spellStart"/>
      <w:r w:rsidRPr="005D3D6B">
        <w:rPr>
          <w:rFonts w:ascii="Garamond" w:eastAsiaTheme="minorHAnsi" w:hAnsi="Garamond"/>
          <w:color w:val="000000"/>
          <w:sz w:val="24"/>
          <w:szCs w:val="24"/>
          <w14:ligatures w14:val="standardContextual"/>
        </w:rPr>
        <w:t>Úna</w:t>
      </w:r>
      <w:proofErr w:type="spellEnd"/>
      <w:r w:rsidRPr="005D3D6B">
        <w:rPr>
          <w:rFonts w:ascii="Garamond" w:eastAsiaTheme="minorHAnsi" w:hAnsi="Garamond"/>
          <w:color w:val="000000"/>
          <w:sz w:val="24"/>
          <w:szCs w:val="24"/>
          <w14:ligatures w14:val="standardContextual"/>
        </w:rPr>
        <w:t xml:space="preserve"> </w:t>
      </w:r>
      <w:proofErr w:type="spellStart"/>
      <w:r w:rsidRPr="005D3D6B">
        <w:rPr>
          <w:rFonts w:ascii="Garamond" w:eastAsiaTheme="minorHAnsi" w:hAnsi="Garamond"/>
          <w:color w:val="000000"/>
          <w:sz w:val="24"/>
          <w:szCs w:val="24"/>
          <w14:ligatures w14:val="standardContextual"/>
        </w:rPr>
        <w:t>Ní</w:t>
      </w:r>
      <w:proofErr w:type="spellEnd"/>
      <w:r w:rsidRPr="005D3D6B">
        <w:rPr>
          <w:rFonts w:ascii="Garamond" w:eastAsiaTheme="minorHAnsi" w:hAnsi="Garamond"/>
          <w:color w:val="000000"/>
          <w:sz w:val="24"/>
          <w:szCs w:val="24"/>
          <w14:ligatures w14:val="standardContextual"/>
        </w:rPr>
        <w:t xml:space="preserve"> </w:t>
      </w:r>
      <w:proofErr w:type="spellStart"/>
      <w:r w:rsidRPr="005D3D6B">
        <w:rPr>
          <w:rFonts w:ascii="Garamond" w:eastAsiaTheme="minorHAnsi" w:hAnsi="Garamond"/>
          <w:color w:val="000000"/>
          <w:sz w:val="24"/>
          <w:szCs w:val="24"/>
          <w14:ligatures w14:val="standardContextual"/>
        </w:rPr>
        <w:t>Raifeartaigh</w:t>
      </w:r>
      <w:proofErr w:type="spellEnd"/>
      <w:r w:rsidRPr="005D3D6B">
        <w:rPr>
          <w:rFonts w:ascii="Garamond" w:eastAsiaTheme="minorHAnsi" w:hAnsi="Garamond"/>
          <w:color w:val="000000"/>
          <w:sz w:val="24"/>
          <w:szCs w:val="24"/>
          <w14:ligatures w14:val="standardContextual"/>
        </w:rPr>
        <w:t>,</w:t>
      </w:r>
      <w:r w:rsidRPr="005D3D6B">
        <w:rPr>
          <w:rFonts w:ascii="Garamond" w:eastAsiaTheme="minorHAnsi" w:hAnsi="Garamond"/>
          <w:i/>
          <w:iCs/>
          <w:color w:val="000000"/>
          <w:sz w:val="24"/>
          <w:szCs w:val="24"/>
          <w14:ligatures w14:val="standardContextual"/>
        </w:rPr>
        <w:t xml:space="preserve"> Kryetare,</w:t>
      </w:r>
    </w:p>
    <w:p w14:paraId="69006C21" w14:textId="1B833A68"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5D3D6B">
        <w:rPr>
          <w:rFonts w:ascii="Garamond" w:eastAsiaTheme="minorHAnsi" w:hAnsi="Garamond"/>
          <w:i/>
          <w:iCs/>
          <w:color w:val="000000"/>
          <w:sz w:val="24"/>
          <w:szCs w:val="24"/>
          <w14:ligatures w14:val="standardContextual"/>
        </w:rPr>
        <w:t xml:space="preserve"> </w:t>
      </w:r>
      <w:proofErr w:type="spellStart"/>
      <w:r w:rsidRPr="005D3D6B">
        <w:rPr>
          <w:rFonts w:ascii="Garamond" w:eastAsiaTheme="minorHAnsi" w:hAnsi="Garamond"/>
          <w:color w:val="000000"/>
          <w:sz w:val="24"/>
          <w:szCs w:val="24"/>
          <w14:ligatures w14:val="standardContextual"/>
        </w:rPr>
        <w:t>Darian</w:t>
      </w:r>
      <w:proofErr w:type="spellEnd"/>
      <w:r w:rsidRPr="005D3D6B">
        <w:rPr>
          <w:rFonts w:ascii="Garamond" w:eastAsiaTheme="minorHAnsi" w:hAnsi="Garamond"/>
          <w:color w:val="000000"/>
          <w:sz w:val="24"/>
          <w:szCs w:val="24"/>
          <w14:ligatures w14:val="standardContextual"/>
        </w:rPr>
        <w:t xml:space="preserve"> </w:t>
      </w:r>
      <w:proofErr w:type="spellStart"/>
      <w:r w:rsidRPr="005D3D6B">
        <w:rPr>
          <w:rFonts w:ascii="Garamond" w:eastAsiaTheme="minorHAnsi" w:hAnsi="Garamond"/>
          <w:color w:val="000000"/>
          <w:sz w:val="24"/>
          <w:szCs w:val="24"/>
          <w14:ligatures w14:val="standardContextual"/>
        </w:rPr>
        <w:t>Pavli</w:t>
      </w:r>
      <w:proofErr w:type="spellEnd"/>
      <w:r w:rsidRPr="005D3D6B">
        <w:rPr>
          <w:rFonts w:ascii="Garamond" w:eastAsiaTheme="minorHAnsi" w:hAnsi="Garamond"/>
          <w:color w:val="000000"/>
          <w:sz w:val="24"/>
          <w:szCs w:val="24"/>
          <w14:ligatures w14:val="standardContextual"/>
        </w:rPr>
        <w:t>,</w:t>
      </w:r>
      <w:r w:rsidRPr="005D3D6B">
        <w:rPr>
          <w:rFonts w:ascii="Garamond" w:eastAsiaTheme="minorHAnsi" w:hAnsi="Garamond"/>
          <w:i/>
          <w:iCs/>
          <w:color w:val="000000"/>
          <w:sz w:val="24"/>
          <w:szCs w:val="24"/>
          <w14:ligatures w14:val="standardContextual"/>
        </w:rPr>
        <w:t xml:space="preserve"> </w:t>
      </w:r>
    </w:p>
    <w:p w14:paraId="63BBDBC8" w14:textId="6BF92305"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i/>
          <w:iCs/>
          <w:color w:val="000000"/>
          <w:sz w:val="24"/>
          <w:szCs w:val="24"/>
          <w14:ligatures w14:val="standardContextual"/>
        </w:rPr>
      </w:pPr>
      <w:r w:rsidRPr="005D3D6B">
        <w:rPr>
          <w:rFonts w:ascii="Garamond" w:eastAsiaTheme="minorHAnsi" w:hAnsi="Garamond"/>
          <w:color w:val="000000"/>
          <w:sz w:val="24"/>
          <w:szCs w:val="24"/>
          <w14:ligatures w14:val="standardContextual"/>
        </w:rPr>
        <w:t xml:space="preserve"> </w:t>
      </w:r>
      <w:proofErr w:type="spellStart"/>
      <w:r w:rsidRPr="005D3D6B">
        <w:rPr>
          <w:rFonts w:ascii="Garamond" w:eastAsiaTheme="minorHAnsi" w:hAnsi="Garamond"/>
          <w:color w:val="000000"/>
          <w:sz w:val="24"/>
          <w:szCs w:val="24"/>
          <w14:ligatures w14:val="standardContextual"/>
        </w:rPr>
        <w:t>Mateja</w:t>
      </w:r>
      <w:proofErr w:type="spellEnd"/>
      <w:r w:rsidRPr="005D3D6B">
        <w:rPr>
          <w:rFonts w:ascii="Garamond" w:eastAsiaTheme="minorHAnsi" w:hAnsi="Garamond"/>
          <w:color w:val="000000"/>
          <w:sz w:val="24"/>
          <w:szCs w:val="24"/>
          <w14:ligatures w14:val="standardContextual"/>
        </w:rPr>
        <w:t xml:space="preserve"> </w:t>
      </w:r>
      <w:proofErr w:type="spellStart"/>
      <w:r w:rsidRPr="005D3D6B">
        <w:rPr>
          <w:rFonts w:ascii="Garamond" w:eastAsiaTheme="minorHAnsi" w:hAnsi="Garamond"/>
          <w:color w:val="000000"/>
          <w:sz w:val="24"/>
          <w:szCs w:val="24"/>
          <w14:ligatures w14:val="standardContextual"/>
        </w:rPr>
        <w:t>Đurović</w:t>
      </w:r>
      <w:proofErr w:type="spellEnd"/>
      <w:r w:rsidRPr="005D3D6B">
        <w:rPr>
          <w:rFonts w:ascii="Garamond" w:eastAsiaTheme="minorHAnsi" w:hAnsi="Garamond"/>
          <w:color w:val="000000"/>
          <w:sz w:val="24"/>
          <w:szCs w:val="24"/>
          <w14:ligatures w14:val="standardContextual"/>
        </w:rPr>
        <w:t xml:space="preserve">, </w:t>
      </w:r>
      <w:r w:rsidRPr="005D3D6B">
        <w:rPr>
          <w:rFonts w:ascii="Garamond" w:eastAsiaTheme="minorHAnsi" w:hAnsi="Garamond"/>
          <w:i/>
          <w:iCs/>
          <w:color w:val="000000"/>
          <w:sz w:val="24"/>
          <w:szCs w:val="24"/>
          <w14:ligatures w14:val="standardContextual"/>
        </w:rPr>
        <w:t>gjyqtarë</w:t>
      </w:r>
    </w:p>
    <w:p w14:paraId="1FE2CEED" w14:textId="5B39452A"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 xml:space="preserve">dhe </w:t>
      </w:r>
      <w:proofErr w:type="spellStart"/>
      <w:r w:rsidRPr="005D3D6B">
        <w:rPr>
          <w:rFonts w:ascii="Garamond" w:eastAsiaTheme="minorHAnsi" w:hAnsi="Garamond"/>
          <w:color w:val="000000"/>
          <w:sz w:val="24"/>
          <w:szCs w:val="24"/>
          <w14:ligatures w14:val="standardContextual"/>
        </w:rPr>
        <w:t>Olga</w:t>
      </w:r>
      <w:proofErr w:type="spellEnd"/>
      <w:r w:rsidRPr="005D3D6B">
        <w:rPr>
          <w:rFonts w:ascii="Garamond" w:eastAsiaTheme="minorHAnsi" w:hAnsi="Garamond"/>
          <w:color w:val="000000"/>
          <w:sz w:val="24"/>
          <w:szCs w:val="24"/>
          <w14:ligatures w14:val="standardContextual"/>
        </w:rPr>
        <w:t xml:space="preserve"> </w:t>
      </w:r>
      <w:proofErr w:type="spellStart"/>
      <w:r w:rsidRPr="005D3D6B">
        <w:rPr>
          <w:rFonts w:ascii="Garamond" w:eastAsiaTheme="minorHAnsi" w:hAnsi="Garamond"/>
          <w:color w:val="000000"/>
          <w:sz w:val="24"/>
          <w:szCs w:val="24"/>
          <w14:ligatures w14:val="standardContextual"/>
        </w:rPr>
        <w:t>Chernishova</w:t>
      </w:r>
      <w:proofErr w:type="spellEnd"/>
      <w:r w:rsidRPr="005D3D6B">
        <w:rPr>
          <w:rFonts w:ascii="Garamond" w:eastAsiaTheme="minorHAnsi" w:hAnsi="Garamond"/>
          <w:color w:val="000000"/>
          <w:sz w:val="24"/>
          <w:szCs w:val="24"/>
          <w14:ligatures w14:val="standardContextual"/>
        </w:rPr>
        <w:t xml:space="preserve">, </w:t>
      </w:r>
      <w:r w:rsidR="005D3D6B">
        <w:rPr>
          <w:rFonts w:ascii="Garamond" w:eastAsiaTheme="minorHAnsi" w:hAnsi="Garamond"/>
          <w:i/>
          <w:iCs/>
          <w:color w:val="000000"/>
          <w:sz w:val="24"/>
          <w:szCs w:val="24"/>
          <w14:ligatures w14:val="standardContextual"/>
        </w:rPr>
        <w:t>z</w:t>
      </w:r>
      <w:r w:rsidRPr="005D3D6B">
        <w:rPr>
          <w:rFonts w:ascii="Garamond" w:eastAsiaTheme="minorHAnsi" w:hAnsi="Garamond"/>
          <w:i/>
          <w:iCs/>
          <w:color w:val="000000"/>
          <w:sz w:val="24"/>
          <w:szCs w:val="24"/>
          <w14:ligatures w14:val="standardContextual"/>
        </w:rPr>
        <w:t>ëvendëssekretare e Seksionit,</w:t>
      </w:r>
    </w:p>
    <w:p w14:paraId="6DC90433" w14:textId="4C5608AF"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i/>
          <w:iCs/>
          <w:color w:val="000000"/>
          <w:sz w:val="24"/>
          <w:szCs w:val="24"/>
          <w14:ligatures w14:val="standardContextual"/>
        </w:rPr>
        <w:t xml:space="preserve"> </w:t>
      </w:r>
      <w:r w:rsidRPr="005D3D6B">
        <w:rPr>
          <w:rFonts w:ascii="Garamond" w:eastAsiaTheme="minorHAnsi" w:hAnsi="Garamond"/>
          <w:color w:val="000000"/>
          <w:sz w:val="24"/>
          <w:szCs w:val="24"/>
          <w14:ligatures w14:val="standardContextual"/>
        </w:rPr>
        <w:t xml:space="preserve">Duke mbajtur në konsideratë: </w:t>
      </w:r>
    </w:p>
    <w:p w14:paraId="53B2FD28" w14:textId="351B4322"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 xml:space="preserve"> kërkesën (nr. 7780/20) kundër Republikës së Shqipërisë depozituar në Gjykatë, më 31 </w:t>
      </w:r>
      <w:r w:rsidR="005D3D6B">
        <w:rPr>
          <w:rFonts w:ascii="Garamond" w:eastAsiaTheme="minorHAnsi" w:hAnsi="Garamond"/>
          <w:color w:val="000000"/>
          <w:sz w:val="24"/>
          <w:szCs w:val="24"/>
          <w14:ligatures w14:val="standardContextual"/>
        </w:rPr>
        <w:t>j</w:t>
      </w:r>
      <w:r w:rsidRPr="005D3D6B">
        <w:rPr>
          <w:rFonts w:ascii="Garamond" w:eastAsiaTheme="minorHAnsi" w:hAnsi="Garamond"/>
          <w:color w:val="000000"/>
          <w:sz w:val="24"/>
          <w:szCs w:val="24"/>
          <w14:ligatures w14:val="standardContextual"/>
        </w:rPr>
        <w:t xml:space="preserve">anar 2020, në mbështetje të </w:t>
      </w:r>
      <w:r w:rsidR="005D3D6B">
        <w:rPr>
          <w:rFonts w:ascii="Garamond" w:eastAsiaTheme="minorHAnsi" w:hAnsi="Garamond"/>
          <w:color w:val="000000"/>
          <w:sz w:val="24"/>
          <w:szCs w:val="24"/>
          <w14:ligatures w14:val="standardContextual"/>
        </w:rPr>
        <w:t>n</w:t>
      </w:r>
      <w:r w:rsidRPr="005D3D6B">
        <w:rPr>
          <w:rFonts w:ascii="Garamond" w:eastAsiaTheme="minorHAnsi" w:hAnsi="Garamond"/>
          <w:color w:val="000000"/>
          <w:sz w:val="24"/>
          <w:szCs w:val="24"/>
          <w14:ligatures w14:val="standardContextual"/>
        </w:rPr>
        <w:t>enit 34 të Konventës për Mbrojtjen e të Drejtave të</w:t>
      </w:r>
      <w:r w:rsidR="005D3D6B">
        <w:rPr>
          <w:rFonts w:ascii="Garamond" w:eastAsiaTheme="minorHAnsi" w:hAnsi="Garamond"/>
          <w:color w:val="000000"/>
          <w:sz w:val="24"/>
          <w:szCs w:val="24"/>
          <w14:ligatures w14:val="standardContextual"/>
        </w:rPr>
        <w:t xml:space="preserve"> Njeriut dhe Lirive Themelore (Konventa</w:t>
      </w:r>
      <w:r w:rsidRPr="005D3D6B">
        <w:rPr>
          <w:rFonts w:ascii="Garamond" w:eastAsiaTheme="minorHAnsi" w:hAnsi="Garamond"/>
          <w:color w:val="000000"/>
          <w:sz w:val="24"/>
          <w:szCs w:val="24"/>
          <w14:ligatures w14:val="standardContextual"/>
        </w:rPr>
        <w:t xml:space="preserve">) nga një shtetas shqiptar, </w:t>
      </w:r>
      <w:r w:rsidR="005D3D6B">
        <w:rPr>
          <w:rFonts w:ascii="Garamond" w:eastAsiaTheme="minorHAnsi" w:hAnsi="Garamond"/>
          <w:color w:val="000000"/>
          <w:sz w:val="24"/>
          <w:szCs w:val="24"/>
          <w14:ligatures w14:val="standardContextual"/>
        </w:rPr>
        <w:t xml:space="preserve">z. </w:t>
      </w:r>
      <w:proofErr w:type="spellStart"/>
      <w:r w:rsidR="005D3D6B">
        <w:rPr>
          <w:rFonts w:ascii="Garamond" w:eastAsiaTheme="minorHAnsi" w:hAnsi="Garamond"/>
          <w:color w:val="000000"/>
          <w:sz w:val="24"/>
          <w:szCs w:val="24"/>
          <w14:ligatures w14:val="standardContextual"/>
        </w:rPr>
        <w:t>Gentjan</w:t>
      </w:r>
      <w:proofErr w:type="spellEnd"/>
      <w:r w:rsidR="005D3D6B">
        <w:rPr>
          <w:rFonts w:ascii="Garamond" w:eastAsiaTheme="minorHAnsi" w:hAnsi="Garamond"/>
          <w:color w:val="000000"/>
          <w:sz w:val="24"/>
          <w:szCs w:val="24"/>
          <w14:ligatures w14:val="standardContextual"/>
        </w:rPr>
        <w:t xml:space="preserve"> Osmani (kërkuesi</w:t>
      </w:r>
      <w:r w:rsidRPr="005D3D6B">
        <w:rPr>
          <w:rFonts w:ascii="Garamond" w:eastAsiaTheme="minorHAnsi" w:hAnsi="Garamond"/>
          <w:color w:val="000000"/>
          <w:sz w:val="24"/>
          <w:szCs w:val="24"/>
          <w14:ligatures w14:val="standardContextual"/>
        </w:rPr>
        <w:t xml:space="preserve">), lindur në vitin 1979, me banim në Tiranë dhe i përfaqësuar nga </w:t>
      </w:r>
      <w:r w:rsidR="005D3D6B">
        <w:rPr>
          <w:rFonts w:ascii="Garamond" w:eastAsiaTheme="minorHAnsi" w:hAnsi="Garamond"/>
          <w:color w:val="000000"/>
          <w:sz w:val="24"/>
          <w:szCs w:val="24"/>
          <w14:ligatures w14:val="standardContextual"/>
        </w:rPr>
        <w:t>z</w:t>
      </w:r>
      <w:r w:rsidRPr="005D3D6B">
        <w:rPr>
          <w:rFonts w:ascii="Garamond" w:eastAsiaTheme="minorHAnsi" w:hAnsi="Garamond"/>
          <w:color w:val="000000"/>
          <w:sz w:val="24"/>
          <w:szCs w:val="24"/>
          <w14:ligatures w14:val="standardContextual"/>
        </w:rPr>
        <w:t xml:space="preserve">. A. </w:t>
      </w:r>
      <w:proofErr w:type="spellStart"/>
      <w:r w:rsidRPr="005D3D6B">
        <w:rPr>
          <w:rFonts w:ascii="Garamond" w:eastAsiaTheme="minorHAnsi" w:hAnsi="Garamond"/>
          <w:color w:val="000000"/>
          <w:sz w:val="24"/>
          <w:szCs w:val="24"/>
          <w14:ligatures w14:val="standardContextual"/>
        </w:rPr>
        <w:t>Saccucci</w:t>
      </w:r>
      <w:proofErr w:type="spellEnd"/>
      <w:r w:rsidRPr="005D3D6B">
        <w:rPr>
          <w:rFonts w:ascii="Garamond" w:eastAsiaTheme="minorHAnsi" w:hAnsi="Garamond"/>
          <w:color w:val="000000"/>
          <w:sz w:val="24"/>
          <w:szCs w:val="24"/>
          <w14:ligatures w14:val="standardContextual"/>
        </w:rPr>
        <w:t xml:space="preserve"> dhe </w:t>
      </w:r>
      <w:proofErr w:type="spellStart"/>
      <w:r w:rsidR="005D3D6B">
        <w:rPr>
          <w:rFonts w:ascii="Garamond" w:eastAsiaTheme="minorHAnsi" w:hAnsi="Garamond"/>
          <w:color w:val="000000"/>
          <w:sz w:val="24"/>
          <w:szCs w:val="24"/>
          <w14:ligatures w14:val="standardContextual"/>
        </w:rPr>
        <w:t>zn</w:t>
      </w:r>
      <w:r w:rsidRPr="005D3D6B">
        <w:rPr>
          <w:rFonts w:ascii="Garamond" w:eastAsiaTheme="minorHAnsi" w:hAnsi="Garamond"/>
          <w:color w:val="000000"/>
          <w:sz w:val="24"/>
          <w:szCs w:val="24"/>
          <w14:ligatures w14:val="standardContextual"/>
        </w:rPr>
        <w:t>j</w:t>
      </w:r>
      <w:proofErr w:type="spellEnd"/>
      <w:r w:rsidRPr="005D3D6B">
        <w:rPr>
          <w:rFonts w:ascii="Garamond" w:eastAsiaTheme="minorHAnsi" w:hAnsi="Garamond"/>
          <w:color w:val="000000"/>
          <w:sz w:val="24"/>
          <w:szCs w:val="24"/>
          <w14:ligatures w14:val="standardContextual"/>
        </w:rPr>
        <w:t xml:space="preserve">. G. </w:t>
      </w:r>
      <w:proofErr w:type="spellStart"/>
      <w:r w:rsidRPr="005D3D6B">
        <w:rPr>
          <w:rFonts w:ascii="Garamond" w:eastAsiaTheme="minorHAnsi" w:hAnsi="Garamond"/>
          <w:color w:val="000000"/>
          <w:sz w:val="24"/>
          <w:szCs w:val="24"/>
          <w14:ligatures w14:val="standardContextual"/>
        </w:rPr>
        <w:t>Borgna</w:t>
      </w:r>
      <w:proofErr w:type="spellEnd"/>
      <w:r w:rsidRPr="005D3D6B">
        <w:rPr>
          <w:rFonts w:ascii="Garamond" w:eastAsiaTheme="minorHAnsi" w:hAnsi="Garamond"/>
          <w:color w:val="000000"/>
          <w:sz w:val="24"/>
          <w:szCs w:val="24"/>
          <w14:ligatures w14:val="standardContextual"/>
        </w:rPr>
        <w:t xml:space="preserve">, avokatë të cilët e ushtrojnë profesionin në Romë; </w:t>
      </w:r>
    </w:p>
    <w:p w14:paraId="14A6BF46" w14:textId="5B678C18"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 xml:space="preserve"> vendimin për të njoftuar mbi ankesën në lidhje me shkarkimin e kërkuesit </w:t>
      </w:r>
      <w:r w:rsidR="005D3D6B" w:rsidRPr="005D3D6B">
        <w:rPr>
          <w:rFonts w:ascii="Garamond" w:eastAsiaTheme="minorHAnsi" w:hAnsi="Garamond"/>
          <w:color w:val="000000"/>
          <w:sz w:val="24"/>
          <w:szCs w:val="24"/>
          <w14:ligatures w14:val="standardContextual"/>
        </w:rPr>
        <w:t xml:space="preserve">qeverinë shqiptare </w:t>
      </w:r>
      <w:r w:rsidR="005D3D6B">
        <w:rPr>
          <w:rFonts w:ascii="Garamond" w:eastAsiaTheme="minorHAnsi" w:hAnsi="Garamond"/>
          <w:color w:val="000000"/>
          <w:sz w:val="24"/>
          <w:szCs w:val="24"/>
          <w14:ligatures w14:val="standardContextual"/>
        </w:rPr>
        <w:t>(Qeveria</w:t>
      </w:r>
      <w:r w:rsidRPr="005D3D6B">
        <w:rPr>
          <w:rFonts w:ascii="Garamond" w:eastAsiaTheme="minorHAnsi" w:hAnsi="Garamond"/>
          <w:color w:val="000000"/>
          <w:sz w:val="24"/>
          <w:szCs w:val="24"/>
          <w14:ligatures w14:val="standardContextual"/>
        </w:rPr>
        <w:t xml:space="preserve">) e përfaqësuar </w:t>
      </w:r>
      <w:r w:rsidR="005D3D6B">
        <w:rPr>
          <w:rFonts w:ascii="Garamond" w:eastAsiaTheme="minorHAnsi" w:hAnsi="Garamond"/>
          <w:color w:val="000000"/>
          <w:sz w:val="24"/>
          <w:szCs w:val="24"/>
          <w14:ligatures w14:val="standardContextual"/>
        </w:rPr>
        <w:t>z</w:t>
      </w:r>
      <w:r w:rsidRPr="005D3D6B">
        <w:rPr>
          <w:rFonts w:ascii="Garamond" w:eastAsiaTheme="minorHAnsi" w:hAnsi="Garamond"/>
          <w:color w:val="000000"/>
          <w:sz w:val="24"/>
          <w:szCs w:val="24"/>
          <w14:ligatures w14:val="standardContextual"/>
        </w:rPr>
        <w:t xml:space="preserve">. O </w:t>
      </w:r>
      <w:proofErr w:type="spellStart"/>
      <w:r w:rsidRPr="005D3D6B">
        <w:rPr>
          <w:rFonts w:ascii="Garamond" w:eastAsiaTheme="minorHAnsi" w:hAnsi="Garamond"/>
          <w:color w:val="000000"/>
          <w:sz w:val="24"/>
          <w:szCs w:val="24"/>
          <w14:ligatures w14:val="standardContextual"/>
        </w:rPr>
        <w:t>Moçka</w:t>
      </w:r>
      <w:proofErr w:type="spellEnd"/>
      <w:r w:rsidRPr="005D3D6B">
        <w:rPr>
          <w:rFonts w:ascii="Garamond" w:eastAsiaTheme="minorHAnsi" w:hAnsi="Garamond"/>
          <w:color w:val="000000"/>
          <w:sz w:val="24"/>
          <w:szCs w:val="24"/>
          <w14:ligatures w14:val="standardContextual"/>
        </w:rPr>
        <w:t>, Avokati i Përgjithshëm i Shtetit, dhe për ta shpallur pjesën e mbetur të kërkesës të papranueshme;</w:t>
      </w:r>
    </w:p>
    <w:p w14:paraId="5C04AECE" w14:textId="22C548B9" w:rsidR="00CB4E13" w:rsidRPr="005D3D6B" w:rsidRDefault="00FE091C" w:rsidP="00CB4E1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Pr>
          <w:rFonts w:ascii="Garamond" w:eastAsiaTheme="minorHAnsi" w:hAnsi="Garamond"/>
          <w:color w:val="000000"/>
          <w:sz w:val="24"/>
          <w:szCs w:val="24"/>
          <w14:ligatures w14:val="standardContextual"/>
        </w:rPr>
        <w:t xml:space="preserve"> vërejtjet e palëve;</w:t>
      </w:r>
    </w:p>
    <w:p w14:paraId="3AB2EE87" w14:textId="797012DE"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 xml:space="preserve"> Pasi diskutoi me dyer të mbyllura</w:t>
      </w:r>
      <w:r w:rsidR="005D3D6B">
        <w:rPr>
          <w:rFonts w:ascii="Garamond" w:eastAsiaTheme="minorHAnsi" w:hAnsi="Garamond"/>
          <w:color w:val="000000"/>
          <w:sz w:val="24"/>
          <w:szCs w:val="24"/>
          <w14:ligatures w14:val="standardContextual"/>
        </w:rPr>
        <w:t>,</w:t>
      </w:r>
      <w:r w:rsidRPr="005D3D6B">
        <w:rPr>
          <w:rFonts w:ascii="Garamond" w:eastAsiaTheme="minorHAnsi" w:hAnsi="Garamond"/>
          <w:color w:val="000000"/>
          <w:sz w:val="24"/>
          <w:szCs w:val="24"/>
          <w14:ligatures w14:val="standardContextual"/>
        </w:rPr>
        <w:t xml:space="preserve"> më 19 </w:t>
      </w:r>
      <w:r w:rsidR="005D3D6B">
        <w:rPr>
          <w:rFonts w:ascii="Garamond" w:eastAsiaTheme="minorHAnsi" w:hAnsi="Garamond"/>
          <w:color w:val="000000"/>
          <w:sz w:val="24"/>
          <w:szCs w:val="24"/>
          <w14:ligatures w14:val="standardContextual"/>
        </w:rPr>
        <w:t>maj 2026,</w:t>
      </w:r>
    </w:p>
    <w:p w14:paraId="7D7574C6" w14:textId="4064E5A8"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 xml:space="preserve"> Shpall vendimin e mëposhtëm, që</w:t>
      </w:r>
      <w:r w:rsidR="00FE091C">
        <w:rPr>
          <w:rFonts w:ascii="Garamond" w:eastAsiaTheme="minorHAnsi" w:hAnsi="Garamond"/>
          <w:color w:val="000000"/>
          <w:sz w:val="24"/>
          <w:szCs w:val="24"/>
          <w14:ligatures w14:val="standardContextual"/>
        </w:rPr>
        <w:t xml:space="preserve"> u miratua në të njëjtën datë:</w:t>
      </w:r>
    </w:p>
    <w:p w14:paraId="38C1F104" w14:textId="7884BDDC"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LËNDA E ÇËSHTJES</w:t>
      </w:r>
    </w:p>
    <w:p w14:paraId="2059DB3F" w14:textId="6FCF5DE0"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1. Çështja ka të bëjë me procedurat e rivlerësimit kalimtar (</w:t>
      </w:r>
      <w:proofErr w:type="spellStart"/>
      <w:r w:rsidRPr="005D3D6B">
        <w:rPr>
          <w:rFonts w:ascii="Garamond" w:eastAsiaTheme="minorHAnsi" w:hAnsi="Garamond"/>
          <w:i/>
          <w:color w:val="000000"/>
          <w:sz w:val="24"/>
          <w:szCs w:val="24"/>
          <w14:ligatures w14:val="standardContextual"/>
        </w:rPr>
        <w:t>vetting</w:t>
      </w:r>
      <w:proofErr w:type="spellEnd"/>
      <w:r w:rsidRPr="005D3D6B">
        <w:rPr>
          <w:rFonts w:ascii="Garamond" w:eastAsiaTheme="minorHAnsi" w:hAnsi="Garamond"/>
          <w:color w:val="000000"/>
          <w:sz w:val="24"/>
          <w:szCs w:val="24"/>
          <w14:ligatures w14:val="standardContextual"/>
        </w:rPr>
        <w:t>-ut) të kërkuesit, të kryera nga Komis</w:t>
      </w:r>
      <w:r w:rsidR="005D3D6B">
        <w:rPr>
          <w:rFonts w:ascii="Garamond" w:eastAsiaTheme="minorHAnsi" w:hAnsi="Garamond"/>
          <w:color w:val="000000"/>
          <w:sz w:val="24"/>
          <w:szCs w:val="24"/>
          <w14:ligatures w14:val="standardContextual"/>
        </w:rPr>
        <w:t>ioni i Pavarur i Kualifikimit (KPK</w:t>
      </w:r>
      <w:r w:rsidRPr="005D3D6B">
        <w:rPr>
          <w:rFonts w:ascii="Garamond" w:eastAsiaTheme="minorHAnsi" w:hAnsi="Garamond"/>
          <w:color w:val="000000"/>
          <w:sz w:val="24"/>
          <w:szCs w:val="24"/>
          <w14:ligatures w14:val="standardContextual"/>
        </w:rPr>
        <w:t>) dhe</w:t>
      </w:r>
      <w:r w:rsidR="005D3D6B">
        <w:rPr>
          <w:rFonts w:ascii="Garamond" w:eastAsiaTheme="minorHAnsi" w:hAnsi="Garamond"/>
          <w:color w:val="000000"/>
          <w:sz w:val="24"/>
          <w:szCs w:val="24"/>
          <w14:ligatures w14:val="standardContextual"/>
        </w:rPr>
        <w:t xml:space="preserve"> Kolegji i Posaçëm i Apelimit (KPA</w:t>
      </w:r>
      <w:r w:rsidRPr="005D3D6B">
        <w:rPr>
          <w:rFonts w:ascii="Garamond" w:eastAsiaTheme="minorHAnsi" w:hAnsi="Garamond"/>
          <w:color w:val="000000"/>
          <w:sz w:val="24"/>
          <w:szCs w:val="24"/>
          <w14:ligatures w14:val="standardContextual"/>
        </w:rPr>
        <w:t xml:space="preserve">; shih, për një përshkrim të procesit të rivlerësimit, </w:t>
      </w:r>
      <w:proofErr w:type="spellStart"/>
      <w:r w:rsidRPr="005D3D6B">
        <w:rPr>
          <w:rFonts w:ascii="Garamond" w:eastAsiaTheme="minorHAnsi" w:hAnsi="Garamond"/>
          <w:i/>
          <w:iCs/>
          <w:color w:val="000000"/>
          <w:sz w:val="24"/>
          <w:szCs w:val="24"/>
          <w14:ligatures w14:val="standardContextual"/>
        </w:rPr>
        <w:t>Xhoxhaj</w:t>
      </w:r>
      <w:proofErr w:type="spellEnd"/>
      <w:r w:rsidRPr="005D3D6B">
        <w:rPr>
          <w:rFonts w:ascii="Garamond" w:eastAsiaTheme="minorHAnsi" w:hAnsi="Garamond"/>
          <w:i/>
          <w:iCs/>
          <w:color w:val="000000"/>
          <w:sz w:val="24"/>
          <w:szCs w:val="24"/>
          <w14:ligatures w14:val="standardContextual"/>
        </w:rPr>
        <w:t xml:space="preserve"> kundër Shqipërisë</w:t>
      </w:r>
      <w:r w:rsidRPr="005D3D6B">
        <w:rPr>
          <w:rFonts w:ascii="Garamond" w:eastAsiaTheme="minorHAnsi" w:hAnsi="Garamond"/>
          <w:color w:val="000000"/>
          <w:sz w:val="24"/>
          <w:szCs w:val="24"/>
          <w14:ligatures w14:val="standardContextual"/>
        </w:rPr>
        <w:t xml:space="preserve">, nr. 15227/19, 9 </w:t>
      </w:r>
      <w:r w:rsidR="005D3D6B">
        <w:rPr>
          <w:rFonts w:ascii="Garamond" w:eastAsiaTheme="minorHAnsi" w:hAnsi="Garamond"/>
          <w:color w:val="000000"/>
          <w:sz w:val="24"/>
          <w:szCs w:val="24"/>
          <w14:ligatures w14:val="standardContextual"/>
        </w:rPr>
        <w:t>s</w:t>
      </w:r>
      <w:r w:rsidRPr="005D3D6B">
        <w:rPr>
          <w:rFonts w:ascii="Garamond" w:eastAsiaTheme="minorHAnsi" w:hAnsi="Garamond"/>
          <w:color w:val="000000"/>
          <w:sz w:val="24"/>
          <w:szCs w:val="24"/>
          <w14:ligatures w14:val="standardContextual"/>
        </w:rPr>
        <w:t>hkurt 2021).</w:t>
      </w:r>
    </w:p>
    <w:p w14:paraId="323CB709" w14:textId="3C79C62B"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 xml:space="preserve">2. Kërkuesi ka punuar si prokuror që nga viti 2003, së fundmi pranë Gjykatës së Shkallës së Parë për Krimet e Rënda në Tiranë. Si zyrtar publik, kërkuesit i ishte kërkuar të dorëzonte një deklaratë pasurie çdo vit, duke filluar nga viti 2004. Në vitin 2009, ai u martua </w:t>
      </w:r>
      <w:r w:rsidRPr="0089052B">
        <w:rPr>
          <w:rFonts w:ascii="Garamond" w:eastAsiaTheme="minorHAnsi" w:hAnsi="Garamond"/>
          <w:color w:val="000000"/>
          <w:sz w:val="24"/>
          <w:szCs w:val="24"/>
          <w14:ligatures w14:val="standardContextual"/>
        </w:rPr>
        <w:t xml:space="preserve">me </w:t>
      </w:r>
      <w:proofErr w:type="spellStart"/>
      <w:r w:rsidRPr="0089052B">
        <w:rPr>
          <w:rFonts w:ascii="Garamond" w:eastAsiaTheme="minorHAnsi" w:hAnsi="Garamond"/>
          <w:color w:val="000000"/>
          <w:sz w:val="24"/>
          <w:szCs w:val="24"/>
          <w14:ligatures w14:val="standardContextual"/>
        </w:rPr>
        <w:t>znj</w:t>
      </w:r>
      <w:proofErr w:type="spellEnd"/>
      <w:r w:rsidRPr="0089052B">
        <w:rPr>
          <w:rFonts w:ascii="Garamond" w:eastAsiaTheme="minorHAnsi" w:hAnsi="Garamond"/>
          <w:color w:val="000000"/>
          <w:sz w:val="24"/>
          <w:szCs w:val="24"/>
          <w14:ligatures w14:val="standardContextual"/>
        </w:rPr>
        <w:t>. N.,</w:t>
      </w:r>
      <w:r w:rsidRPr="005D3D6B">
        <w:rPr>
          <w:rFonts w:ascii="Garamond" w:eastAsiaTheme="minorHAnsi" w:hAnsi="Garamond"/>
          <w:color w:val="000000"/>
          <w:sz w:val="24"/>
          <w:szCs w:val="24"/>
          <w14:ligatures w14:val="standardContextual"/>
        </w:rPr>
        <w:t xml:space="preserve"> e cila ishte gjyqtare. Në vitin 2017, kërkuesi u përfshi në një listë personash që do t’i nënshtroheshin rivlerësimit kalimtar me prioritet, në cilësinë e kandidatit për në Këshillin e Lartë të Prokurorisë.</w:t>
      </w:r>
    </w:p>
    <w:p w14:paraId="5E46A21E" w14:textId="6E0F3526"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 xml:space="preserve">3. Deklarata e pasurisë së kërkuesit për qëllime rivlerësimi përfshinte një apartament me sipërfaqe 96 m² në Tiranë, një automjet VW Golf të vitit 2003, një automjet </w:t>
      </w:r>
      <w:proofErr w:type="spellStart"/>
      <w:r w:rsidRPr="005D3D6B">
        <w:rPr>
          <w:rFonts w:ascii="Garamond" w:eastAsiaTheme="minorHAnsi" w:hAnsi="Garamond"/>
          <w:color w:val="000000"/>
          <w:sz w:val="24"/>
          <w:szCs w:val="24"/>
          <w14:ligatures w14:val="standardContextual"/>
        </w:rPr>
        <w:t>Mercedes</w:t>
      </w:r>
      <w:proofErr w:type="spellEnd"/>
      <w:r w:rsidRPr="005D3D6B">
        <w:rPr>
          <w:rFonts w:ascii="Garamond" w:eastAsiaTheme="minorHAnsi" w:hAnsi="Garamond"/>
          <w:color w:val="000000"/>
          <w:sz w:val="24"/>
          <w:szCs w:val="24"/>
          <w14:ligatures w14:val="standardContextual"/>
        </w:rPr>
        <w:t xml:space="preserve"> të vitit 2007 (i cili i përkiste një individi tjetër dhe përdorej përkohësisht) dhe kursime në shumën prej përafërsisht 20,000 eurosh (EUR) dhe 400,000 lekësh shqiptare (ALL). Apartamenti, i cili shërbente si vendbanim i familjes, ishte blerë në </w:t>
      </w:r>
      <w:r w:rsidR="005D3D6B" w:rsidRPr="005D3D6B">
        <w:rPr>
          <w:rFonts w:ascii="Garamond" w:eastAsiaTheme="minorHAnsi" w:hAnsi="Garamond"/>
          <w:color w:val="000000"/>
          <w:sz w:val="24"/>
          <w:szCs w:val="24"/>
          <w14:ligatures w14:val="standardContextual"/>
        </w:rPr>
        <w:t>ja</w:t>
      </w:r>
      <w:r w:rsidRPr="005D3D6B">
        <w:rPr>
          <w:rFonts w:ascii="Garamond" w:eastAsiaTheme="minorHAnsi" w:hAnsi="Garamond"/>
          <w:color w:val="000000"/>
          <w:sz w:val="24"/>
          <w:szCs w:val="24"/>
          <w14:ligatures w14:val="standardContextual"/>
        </w:rPr>
        <w:t xml:space="preserve">nar të vitit 2017 për shumën 82,000 EUR; një pjesë e madhe e kësaj shume vinte nga shitja, në </w:t>
      </w:r>
      <w:r w:rsidR="005D3D6B" w:rsidRPr="005D3D6B">
        <w:rPr>
          <w:rFonts w:ascii="Garamond" w:eastAsiaTheme="minorHAnsi" w:hAnsi="Garamond"/>
          <w:color w:val="000000"/>
          <w:sz w:val="24"/>
          <w:szCs w:val="24"/>
          <w14:ligatures w14:val="standardContextual"/>
        </w:rPr>
        <w:t>d</w:t>
      </w:r>
      <w:r w:rsidRPr="005D3D6B">
        <w:rPr>
          <w:rFonts w:ascii="Garamond" w:eastAsiaTheme="minorHAnsi" w:hAnsi="Garamond"/>
          <w:color w:val="000000"/>
          <w:sz w:val="24"/>
          <w:szCs w:val="24"/>
          <w14:ligatures w14:val="standardContextual"/>
        </w:rPr>
        <w:t>hjetor të vitit 2016, e një apartamenti më të vogël, të blerë nga çifti në vitin 2009. Kërkuesi ishte</w:t>
      </w:r>
      <w:r w:rsidR="005D3D6B">
        <w:rPr>
          <w:rFonts w:ascii="Garamond" w:eastAsiaTheme="minorHAnsi" w:hAnsi="Garamond"/>
          <w:color w:val="000000"/>
          <w:sz w:val="24"/>
          <w:szCs w:val="24"/>
          <w14:ligatures w14:val="standardContextual"/>
        </w:rPr>
        <w:t>,</w:t>
      </w:r>
      <w:r w:rsidRPr="005D3D6B">
        <w:rPr>
          <w:rFonts w:ascii="Garamond" w:eastAsiaTheme="minorHAnsi" w:hAnsi="Garamond"/>
          <w:color w:val="000000"/>
          <w:sz w:val="24"/>
          <w:szCs w:val="24"/>
          <w14:ligatures w14:val="standardContextual"/>
        </w:rPr>
        <w:t xml:space="preserve"> gjithashtu</w:t>
      </w:r>
      <w:r w:rsidR="005D3D6B">
        <w:rPr>
          <w:rFonts w:ascii="Garamond" w:eastAsiaTheme="minorHAnsi" w:hAnsi="Garamond"/>
          <w:color w:val="000000"/>
          <w:sz w:val="24"/>
          <w:szCs w:val="24"/>
          <w14:ligatures w14:val="standardContextual"/>
        </w:rPr>
        <w:t>,</w:t>
      </w:r>
      <w:r w:rsidRPr="005D3D6B">
        <w:rPr>
          <w:rFonts w:ascii="Garamond" w:eastAsiaTheme="minorHAnsi" w:hAnsi="Garamond"/>
          <w:color w:val="000000"/>
          <w:sz w:val="24"/>
          <w:szCs w:val="24"/>
          <w14:ligatures w14:val="standardContextual"/>
        </w:rPr>
        <w:t xml:space="preserve"> bashkëpronar, së bashku me prindërit dhe vëllain e tij, i një apartamenti me sipërfaqe 106 m² në Tiranë, të blerë në vitin 1998 dhe të paguar gjatë periudhës 1998–2003.</w:t>
      </w:r>
    </w:p>
    <w:p w14:paraId="56C64E89" w14:textId="661EC7DB"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 xml:space="preserve">4. Më 2 </w:t>
      </w:r>
      <w:r w:rsidR="005D3D6B">
        <w:rPr>
          <w:rFonts w:ascii="Garamond" w:eastAsiaTheme="minorHAnsi" w:hAnsi="Garamond"/>
          <w:color w:val="000000"/>
          <w:sz w:val="24"/>
          <w:szCs w:val="24"/>
          <w14:ligatures w14:val="standardContextual"/>
        </w:rPr>
        <w:t>g</w:t>
      </w:r>
      <w:r w:rsidRPr="005D3D6B">
        <w:rPr>
          <w:rFonts w:ascii="Garamond" w:eastAsiaTheme="minorHAnsi" w:hAnsi="Garamond"/>
          <w:color w:val="000000"/>
          <w:sz w:val="24"/>
          <w:szCs w:val="24"/>
          <w14:ligatures w14:val="standardContextual"/>
        </w:rPr>
        <w:t>usht 2018, KPK-ja konfirmoi kërkuesin në detyrë, bazuar në vlerësimin e pasurisë së tij, kompetencës profesionale dhe verifikimin e pastërtisë së figurës.</w:t>
      </w:r>
    </w:p>
    <w:p w14:paraId="10BFBE5B" w14:textId="2A622082"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lastRenderedPageBreak/>
        <w:t xml:space="preserve">5. Pas një apelimi nga </w:t>
      </w:r>
      <w:proofErr w:type="spellStart"/>
      <w:r w:rsidRPr="005D3D6B">
        <w:rPr>
          <w:rFonts w:ascii="Garamond" w:eastAsiaTheme="minorHAnsi" w:hAnsi="Garamond"/>
          <w:color w:val="000000"/>
          <w:sz w:val="24"/>
          <w:szCs w:val="24"/>
          <w14:ligatures w14:val="standardContextual"/>
        </w:rPr>
        <w:t>Komisioneri</w:t>
      </w:r>
      <w:proofErr w:type="spellEnd"/>
      <w:r w:rsidRPr="005D3D6B">
        <w:rPr>
          <w:rFonts w:ascii="Garamond" w:eastAsiaTheme="minorHAnsi" w:hAnsi="Garamond"/>
          <w:color w:val="000000"/>
          <w:sz w:val="24"/>
          <w:szCs w:val="24"/>
          <w14:ligatures w14:val="standardContextual"/>
        </w:rPr>
        <w:t xml:space="preserve"> Publik, më 31 </w:t>
      </w:r>
      <w:r w:rsidR="005D3D6B">
        <w:rPr>
          <w:rFonts w:ascii="Garamond" w:eastAsiaTheme="minorHAnsi" w:hAnsi="Garamond"/>
          <w:color w:val="000000"/>
          <w:sz w:val="24"/>
          <w:szCs w:val="24"/>
          <w14:ligatures w14:val="standardContextual"/>
        </w:rPr>
        <w:t>k</w:t>
      </w:r>
      <w:r w:rsidRPr="005D3D6B">
        <w:rPr>
          <w:rFonts w:ascii="Garamond" w:eastAsiaTheme="minorHAnsi" w:hAnsi="Garamond"/>
          <w:color w:val="000000"/>
          <w:sz w:val="24"/>
          <w:szCs w:val="24"/>
          <w14:ligatures w14:val="standardContextual"/>
        </w:rPr>
        <w:t>orrik 2019, KPA</w:t>
      </w:r>
      <w:r w:rsidR="005D3D6B">
        <w:rPr>
          <w:rFonts w:ascii="Garamond" w:eastAsiaTheme="minorHAnsi" w:hAnsi="Garamond"/>
          <w:color w:val="000000"/>
          <w:sz w:val="24"/>
          <w:szCs w:val="24"/>
          <w14:ligatures w14:val="standardContextual"/>
        </w:rPr>
        <w:t>-ja</w:t>
      </w:r>
      <w:r w:rsidRPr="005D3D6B">
        <w:rPr>
          <w:rFonts w:ascii="Garamond" w:eastAsiaTheme="minorHAnsi" w:hAnsi="Garamond"/>
          <w:color w:val="000000"/>
          <w:sz w:val="24"/>
          <w:szCs w:val="24"/>
          <w14:ligatures w14:val="standardContextual"/>
        </w:rPr>
        <w:t>, pasi mbajti një seancë dëgjimore publike, e rrëzoi vendimin e KPK-së dhe e shkarkoi kërkuesin nga detyra në bazë të vlerësimit të pasurive të tij, në përputhje me nenin 61(3) të Ligjit për Vlerësimin Kalimtar.</w:t>
      </w:r>
    </w:p>
    <w:p w14:paraId="26F661B5" w14:textId="6436E993"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6. KPA</w:t>
      </w:r>
      <w:r w:rsidR="005D3D6B">
        <w:rPr>
          <w:rFonts w:ascii="Garamond" w:eastAsiaTheme="minorHAnsi" w:hAnsi="Garamond"/>
          <w:color w:val="000000"/>
          <w:sz w:val="24"/>
          <w:szCs w:val="24"/>
          <w14:ligatures w14:val="standardContextual"/>
        </w:rPr>
        <w:t>-ja</w:t>
      </w:r>
      <w:r w:rsidRPr="005D3D6B">
        <w:rPr>
          <w:rFonts w:ascii="Garamond" w:eastAsiaTheme="minorHAnsi" w:hAnsi="Garamond"/>
          <w:color w:val="000000"/>
          <w:sz w:val="24"/>
          <w:szCs w:val="24"/>
          <w14:ligatures w14:val="standardContextual"/>
        </w:rPr>
        <w:t xml:space="preserve"> rrëzoi disa argumente të apelimit të </w:t>
      </w:r>
      <w:proofErr w:type="spellStart"/>
      <w:r w:rsidRPr="005D3D6B">
        <w:rPr>
          <w:rFonts w:ascii="Garamond" w:eastAsiaTheme="minorHAnsi" w:hAnsi="Garamond"/>
          <w:color w:val="000000"/>
          <w:sz w:val="24"/>
          <w:szCs w:val="24"/>
          <w14:ligatures w14:val="standardContextual"/>
        </w:rPr>
        <w:t>Komisionerit</w:t>
      </w:r>
      <w:proofErr w:type="spellEnd"/>
      <w:r w:rsidRPr="005D3D6B">
        <w:rPr>
          <w:rFonts w:ascii="Garamond" w:eastAsiaTheme="minorHAnsi" w:hAnsi="Garamond"/>
          <w:color w:val="000000"/>
          <w:sz w:val="24"/>
          <w:szCs w:val="24"/>
          <w14:ligatures w14:val="standardContextual"/>
        </w:rPr>
        <w:t xml:space="preserve"> Publik. Ajo u bind se në vitin 2009 çifti kishte marrë një kredi prej 20,000 eurosh nga një i afërm, të cilën e kishin përdorur, së bashku me burime të tjera të ligjshme, për të blerë apartamentin e tyre të mëparshëm në vitin 2009. Në deklaratën e tij të pasurisë për vitin 2009, kërkuesi kishte treguar kursime në para në shumën prej 1,400,000 lekësh dhe përdorimin e këtyre fondeve për blerjen e apartamentit. KPA</w:t>
      </w:r>
      <w:r w:rsidR="005D3D6B">
        <w:rPr>
          <w:rFonts w:ascii="Garamond" w:eastAsiaTheme="minorHAnsi" w:hAnsi="Garamond"/>
          <w:color w:val="000000"/>
          <w:sz w:val="24"/>
          <w:szCs w:val="24"/>
          <w14:ligatures w14:val="standardContextual"/>
        </w:rPr>
        <w:t>-ja</w:t>
      </w:r>
      <w:r w:rsidRPr="005D3D6B">
        <w:rPr>
          <w:rFonts w:ascii="Garamond" w:eastAsiaTheme="minorHAnsi" w:hAnsi="Garamond"/>
          <w:color w:val="000000"/>
          <w:sz w:val="24"/>
          <w:szCs w:val="24"/>
          <w14:ligatures w14:val="standardContextual"/>
        </w:rPr>
        <w:t xml:space="preserve"> deklaroi se shuma e kursimeve në para </w:t>
      </w:r>
      <w:proofErr w:type="spellStart"/>
      <w:r w:rsidRPr="005D3D6B">
        <w:rPr>
          <w:rFonts w:ascii="Garamond" w:eastAsiaTheme="minorHAnsi" w:hAnsi="Garamond"/>
          <w:i/>
          <w:iCs/>
          <w:color w:val="000000"/>
          <w:sz w:val="24"/>
          <w:szCs w:val="24"/>
          <w14:ligatures w14:val="standardContextual"/>
        </w:rPr>
        <w:t>cash</w:t>
      </w:r>
      <w:proofErr w:type="spellEnd"/>
      <w:r w:rsidRPr="005D3D6B">
        <w:rPr>
          <w:rFonts w:ascii="Garamond" w:eastAsiaTheme="minorHAnsi" w:hAnsi="Garamond"/>
          <w:i/>
          <w:iCs/>
          <w:color w:val="000000"/>
          <w:sz w:val="24"/>
          <w:szCs w:val="24"/>
          <w14:ligatures w14:val="standardContextual"/>
        </w:rPr>
        <w:t xml:space="preserve"> </w:t>
      </w:r>
      <w:r w:rsidRPr="005D3D6B">
        <w:rPr>
          <w:rFonts w:ascii="Garamond" w:eastAsiaTheme="minorHAnsi" w:hAnsi="Garamond"/>
          <w:color w:val="000000"/>
          <w:sz w:val="24"/>
          <w:szCs w:val="24"/>
          <w14:ligatures w14:val="standardContextual"/>
        </w:rPr>
        <w:t xml:space="preserve">ishte deklaruar në mënyrë të pasaktë, sikur kjo shumë kishte qenë e </w:t>
      </w:r>
      <w:proofErr w:type="spellStart"/>
      <w:r w:rsidRPr="005D3D6B">
        <w:rPr>
          <w:rFonts w:ascii="Garamond" w:eastAsiaTheme="minorHAnsi" w:hAnsi="Garamond"/>
          <w:color w:val="000000"/>
          <w:sz w:val="24"/>
          <w:szCs w:val="24"/>
          <w14:ligatures w14:val="standardContextual"/>
        </w:rPr>
        <w:t>disponueshme</w:t>
      </w:r>
      <w:proofErr w:type="spellEnd"/>
      <w:r w:rsidRPr="005D3D6B">
        <w:rPr>
          <w:rFonts w:ascii="Garamond" w:eastAsiaTheme="minorHAnsi" w:hAnsi="Garamond"/>
          <w:color w:val="000000"/>
          <w:sz w:val="24"/>
          <w:szCs w:val="24"/>
          <w14:ligatures w14:val="standardContextual"/>
        </w:rPr>
        <w:t xml:space="preserve"> në fund të vitit përkatës; në fakt, nuk kishte pasur nevojë të deklarohej në ato kushte një shumë që ishte përdorur tashmë. Megjithatë, ajo pranoi që kursimet në para </w:t>
      </w:r>
      <w:proofErr w:type="spellStart"/>
      <w:r w:rsidRPr="005D3D6B">
        <w:rPr>
          <w:rFonts w:ascii="Garamond" w:eastAsiaTheme="minorHAnsi" w:hAnsi="Garamond"/>
          <w:i/>
          <w:iCs/>
          <w:color w:val="000000"/>
          <w:sz w:val="24"/>
          <w:szCs w:val="24"/>
          <w14:ligatures w14:val="standardContextual"/>
        </w:rPr>
        <w:t>cash</w:t>
      </w:r>
      <w:proofErr w:type="spellEnd"/>
      <w:r w:rsidRPr="005D3D6B">
        <w:rPr>
          <w:rFonts w:ascii="Garamond" w:eastAsiaTheme="minorHAnsi" w:hAnsi="Garamond"/>
          <w:i/>
          <w:iCs/>
          <w:color w:val="000000"/>
          <w:sz w:val="24"/>
          <w:szCs w:val="24"/>
          <w14:ligatures w14:val="standardContextual"/>
        </w:rPr>
        <w:t xml:space="preserve"> </w:t>
      </w:r>
      <w:r w:rsidRPr="005D3D6B">
        <w:rPr>
          <w:rFonts w:ascii="Garamond" w:eastAsiaTheme="minorHAnsi" w:hAnsi="Garamond"/>
          <w:color w:val="000000"/>
          <w:sz w:val="24"/>
          <w:szCs w:val="24"/>
          <w14:ligatures w14:val="standardContextual"/>
        </w:rPr>
        <w:t>kishin qenë një burim i ligjshëm fondesh për blerjen e apartamentit.</w:t>
      </w:r>
    </w:p>
    <w:p w14:paraId="550F1C84" w14:textId="288513BC"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 xml:space="preserve">7. Për sa i përket situatës financiare të subjektit në vitet 2011 dhe 2013, KPA-ja u pajtua me </w:t>
      </w:r>
      <w:proofErr w:type="spellStart"/>
      <w:r w:rsidRPr="005D3D6B">
        <w:rPr>
          <w:rFonts w:ascii="Garamond" w:eastAsiaTheme="minorHAnsi" w:hAnsi="Garamond"/>
          <w:color w:val="000000"/>
          <w:sz w:val="24"/>
          <w:szCs w:val="24"/>
          <w14:ligatures w14:val="standardContextual"/>
        </w:rPr>
        <w:t>Komisionerin</w:t>
      </w:r>
      <w:proofErr w:type="spellEnd"/>
      <w:r w:rsidRPr="005D3D6B">
        <w:rPr>
          <w:rFonts w:ascii="Garamond" w:eastAsiaTheme="minorHAnsi" w:hAnsi="Garamond"/>
          <w:color w:val="000000"/>
          <w:sz w:val="24"/>
          <w:szCs w:val="24"/>
          <w14:ligatures w14:val="standardContextual"/>
        </w:rPr>
        <w:t xml:space="preserve"> Publik, duke konstatuar se subjekti nuk kishte burime të ligjshme për shumën totale prej 1.760.497 lekësh (e përbërë nga 586.542 lekë në vitin 2011 dhe 1.173.955 lekë në vitin 2013) për mbulimin e shpenzimeve familjare. Këto përfshinin shlyerjen e kredisë së lartpërmendur (me këste prej 7.000 eurosh në vitin 2011 dhe 8.000 eurosh në vitin 2013), si dhe kursimet në para në dorë (</w:t>
      </w:r>
      <w:proofErr w:type="spellStart"/>
      <w:r w:rsidRPr="005D3D6B">
        <w:rPr>
          <w:rFonts w:ascii="Garamond" w:eastAsiaTheme="minorHAnsi" w:hAnsi="Garamond"/>
          <w:i/>
          <w:iCs/>
          <w:color w:val="000000"/>
          <w:sz w:val="24"/>
          <w:szCs w:val="24"/>
          <w14:ligatures w14:val="standardContextual"/>
        </w:rPr>
        <w:t>cash</w:t>
      </w:r>
      <w:proofErr w:type="spellEnd"/>
      <w:r w:rsidRPr="005D3D6B">
        <w:rPr>
          <w:rFonts w:ascii="Garamond" w:eastAsiaTheme="minorHAnsi" w:hAnsi="Garamond"/>
          <w:i/>
          <w:iCs/>
          <w:color w:val="000000"/>
          <w:sz w:val="24"/>
          <w:szCs w:val="24"/>
          <w14:ligatures w14:val="standardContextual"/>
        </w:rPr>
        <w:t>)</w:t>
      </w:r>
      <w:r w:rsidRPr="005D3D6B">
        <w:rPr>
          <w:rFonts w:ascii="Garamond" w:eastAsiaTheme="minorHAnsi" w:hAnsi="Garamond"/>
          <w:color w:val="000000"/>
          <w:sz w:val="24"/>
          <w:szCs w:val="24"/>
          <w14:ligatures w14:val="standardContextual"/>
        </w:rPr>
        <w:t xml:space="preserve"> të deklaruara në shumën 500.000 lekë për vitin 2011 dhe 1.450.000 lekë për vitin 2013. Subjekti pretendoi se shumat e deklaruara si kursime familjare në para në dorë (</w:t>
      </w:r>
      <w:proofErr w:type="spellStart"/>
      <w:r w:rsidRPr="005D3D6B">
        <w:rPr>
          <w:rFonts w:ascii="Garamond" w:eastAsiaTheme="minorHAnsi" w:hAnsi="Garamond"/>
          <w:i/>
          <w:iCs/>
          <w:color w:val="000000"/>
          <w:sz w:val="24"/>
          <w:szCs w:val="24"/>
          <w14:ligatures w14:val="standardContextual"/>
        </w:rPr>
        <w:t>cash</w:t>
      </w:r>
      <w:proofErr w:type="spellEnd"/>
      <w:r w:rsidRPr="005D3D6B">
        <w:rPr>
          <w:rFonts w:ascii="Garamond" w:eastAsiaTheme="minorHAnsi" w:hAnsi="Garamond"/>
          <w:i/>
          <w:iCs/>
          <w:color w:val="000000"/>
          <w:sz w:val="24"/>
          <w:szCs w:val="24"/>
          <w14:ligatures w14:val="standardContextual"/>
        </w:rPr>
        <w:t>)</w:t>
      </w:r>
      <w:r w:rsidRPr="005D3D6B">
        <w:rPr>
          <w:rFonts w:ascii="Garamond" w:eastAsiaTheme="minorHAnsi" w:hAnsi="Garamond"/>
          <w:color w:val="000000"/>
          <w:sz w:val="24"/>
          <w:szCs w:val="24"/>
          <w14:ligatures w14:val="standardContextual"/>
        </w:rPr>
        <w:t xml:space="preserve"> për vitet përkatëse ishin përdorur në fakt për shlyerjen e kredisë dhe se ai kishte harruar gabimisht ta pasqyronte këtë fakt në deklaratat vjetore. Ai shpjegoi se i kishte konsideruar deklaratat vjetore si të ngjashme me një bilanc, ku deklaronte, nga njëra anë, pasuritë e tij, përfshirë kursimet në para në dorë (</w:t>
      </w:r>
      <w:proofErr w:type="spellStart"/>
      <w:r w:rsidRPr="005D3D6B">
        <w:rPr>
          <w:rFonts w:ascii="Garamond" w:eastAsiaTheme="minorHAnsi" w:hAnsi="Garamond"/>
          <w:i/>
          <w:iCs/>
          <w:color w:val="000000"/>
          <w:sz w:val="24"/>
          <w:szCs w:val="24"/>
          <w14:ligatures w14:val="standardContextual"/>
        </w:rPr>
        <w:t>cash</w:t>
      </w:r>
      <w:proofErr w:type="spellEnd"/>
      <w:r w:rsidRPr="005D3D6B">
        <w:rPr>
          <w:rFonts w:ascii="Garamond" w:eastAsiaTheme="minorHAnsi" w:hAnsi="Garamond"/>
          <w:i/>
          <w:iCs/>
          <w:color w:val="000000"/>
          <w:sz w:val="24"/>
          <w:szCs w:val="24"/>
          <w14:ligatures w14:val="standardContextual"/>
        </w:rPr>
        <w:t>)</w:t>
      </w:r>
      <w:r w:rsidRPr="005D3D6B">
        <w:rPr>
          <w:rFonts w:ascii="Garamond" w:eastAsiaTheme="minorHAnsi" w:hAnsi="Garamond"/>
          <w:color w:val="000000"/>
          <w:sz w:val="24"/>
          <w:szCs w:val="24"/>
          <w14:ligatures w14:val="standardContextual"/>
        </w:rPr>
        <w:t>, dhe nga ana tjetër, shpenzimet, përfshirë këstet për shlyerjen e kredisë, në mënyrë që të dyja aspektet të përputheshin në fund të vitit. Për këtë arsye, sipas subjektit, ishte e qartë se kursimet në para në dorë (</w:t>
      </w:r>
      <w:proofErr w:type="spellStart"/>
      <w:r w:rsidRPr="005D3D6B">
        <w:rPr>
          <w:rFonts w:ascii="Garamond" w:eastAsiaTheme="minorHAnsi" w:hAnsi="Garamond"/>
          <w:i/>
          <w:iCs/>
          <w:color w:val="000000"/>
          <w:sz w:val="24"/>
          <w:szCs w:val="24"/>
          <w14:ligatures w14:val="standardContextual"/>
        </w:rPr>
        <w:t>cash</w:t>
      </w:r>
      <w:proofErr w:type="spellEnd"/>
      <w:r w:rsidRPr="005D3D6B">
        <w:rPr>
          <w:rFonts w:ascii="Garamond" w:eastAsiaTheme="minorHAnsi" w:hAnsi="Garamond"/>
          <w:i/>
          <w:iCs/>
          <w:color w:val="000000"/>
          <w:sz w:val="24"/>
          <w:szCs w:val="24"/>
          <w14:ligatures w14:val="standardContextual"/>
        </w:rPr>
        <w:t>)</w:t>
      </w:r>
      <w:r w:rsidRPr="005D3D6B">
        <w:rPr>
          <w:rFonts w:ascii="Garamond" w:eastAsiaTheme="minorHAnsi" w:hAnsi="Garamond"/>
          <w:color w:val="000000"/>
          <w:sz w:val="24"/>
          <w:szCs w:val="24"/>
          <w14:ligatures w14:val="standardContextual"/>
        </w:rPr>
        <w:t xml:space="preserve"> ishin përdorur për të mbuluar shpenzimet familjare dhe se ato nuk ekzistonin më në fund të vitit përkatës. KPA-ja i rrëzoi shpjegimet e subjektit për arsyet e mëposhtme. Legjislacioni përkatës kërkonte deklarimin e çdo pasurie të paluajtshme dhe të luajtshme, të </w:t>
      </w:r>
      <w:proofErr w:type="spellStart"/>
      <w:r w:rsidRPr="005D3D6B">
        <w:rPr>
          <w:rFonts w:ascii="Garamond" w:eastAsiaTheme="minorHAnsi" w:hAnsi="Garamond"/>
          <w:color w:val="000000"/>
          <w:sz w:val="24"/>
          <w:szCs w:val="24"/>
          <w14:ligatures w14:val="standardContextual"/>
        </w:rPr>
        <w:t>të</w:t>
      </w:r>
      <w:proofErr w:type="spellEnd"/>
      <w:r w:rsidRPr="005D3D6B">
        <w:rPr>
          <w:rFonts w:ascii="Garamond" w:eastAsiaTheme="minorHAnsi" w:hAnsi="Garamond"/>
          <w:color w:val="000000"/>
          <w:sz w:val="24"/>
          <w:szCs w:val="24"/>
          <w14:ligatures w14:val="standardContextual"/>
        </w:rPr>
        <w:t xml:space="preserve"> ardhurave dhe detyrimeve, si dhe pasqyrimin e çdo ndryshimi në deklaratat e pasurisë sipas një formulari t</w:t>
      </w:r>
      <w:r w:rsidR="005D3D6B">
        <w:rPr>
          <w:rFonts w:ascii="Garamond" w:eastAsiaTheme="minorHAnsi" w:hAnsi="Garamond"/>
          <w:color w:val="000000"/>
          <w:sz w:val="24"/>
          <w:szCs w:val="24"/>
          <w14:ligatures w14:val="standardContextual"/>
        </w:rPr>
        <w:t>ë përcaktuar, pa lënë hapësirë</w:t>
      </w:r>
      <w:r w:rsidRPr="005D3D6B">
        <w:rPr>
          <w:rFonts w:ascii="Garamond" w:eastAsiaTheme="minorHAnsi" w:hAnsi="Garamond"/>
          <w:color w:val="000000"/>
          <w:sz w:val="24"/>
          <w:szCs w:val="24"/>
          <w14:ligatures w14:val="standardContextual"/>
        </w:rPr>
        <w:t xml:space="preserve"> për </w:t>
      </w:r>
      <w:proofErr w:type="spellStart"/>
      <w:r w:rsidRPr="005D3D6B">
        <w:rPr>
          <w:rFonts w:ascii="Garamond" w:eastAsiaTheme="minorHAnsi" w:hAnsi="Garamond"/>
          <w:color w:val="000000"/>
          <w:sz w:val="24"/>
          <w:szCs w:val="24"/>
          <w14:ligatures w14:val="standardContextual"/>
        </w:rPr>
        <w:t>diskrecion</w:t>
      </w:r>
      <w:proofErr w:type="spellEnd"/>
      <w:r w:rsidRPr="005D3D6B">
        <w:rPr>
          <w:rFonts w:ascii="Garamond" w:eastAsiaTheme="minorHAnsi" w:hAnsi="Garamond"/>
          <w:color w:val="000000"/>
          <w:sz w:val="24"/>
          <w:szCs w:val="24"/>
          <w14:ligatures w14:val="standardContextual"/>
        </w:rPr>
        <w:t xml:space="preserve"> nga ana e deklaruesit. Meqenëse ai nuk e kishte pasqyruar përdorimin e kursimeve në para në dorë (</w:t>
      </w:r>
      <w:proofErr w:type="spellStart"/>
      <w:r w:rsidRPr="005D3D6B">
        <w:rPr>
          <w:rFonts w:ascii="Garamond" w:eastAsiaTheme="minorHAnsi" w:hAnsi="Garamond"/>
          <w:i/>
          <w:iCs/>
          <w:color w:val="000000"/>
          <w:sz w:val="24"/>
          <w:szCs w:val="24"/>
          <w14:ligatures w14:val="standardContextual"/>
        </w:rPr>
        <w:t>cash</w:t>
      </w:r>
      <w:proofErr w:type="spellEnd"/>
      <w:r w:rsidRPr="005D3D6B">
        <w:rPr>
          <w:rFonts w:ascii="Garamond" w:eastAsiaTheme="minorHAnsi" w:hAnsi="Garamond"/>
          <w:i/>
          <w:iCs/>
          <w:color w:val="000000"/>
          <w:sz w:val="24"/>
          <w:szCs w:val="24"/>
          <w14:ligatures w14:val="standardContextual"/>
        </w:rPr>
        <w:t>)</w:t>
      </w:r>
      <w:r w:rsidRPr="005D3D6B">
        <w:rPr>
          <w:rFonts w:ascii="Garamond" w:eastAsiaTheme="minorHAnsi" w:hAnsi="Garamond"/>
          <w:color w:val="000000"/>
          <w:sz w:val="24"/>
          <w:szCs w:val="24"/>
          <w14:ligatures w14:val="standardContextual"/>
        </w:rPr>
        <w:t xml:space="preserve"> në deklaratat e pasurisë, shpjegimet e tij nuk mbështeteshin në dokumente; ato</w:t>
      </w:r>
      <w:r w:rsidR="005D3D6B">
        <w:rPr>
          <w:rFonts w:ascii="Garamond" w:eastAsiaTheme="minorHAnsi" w:hAnsi="Garamond"/>
          <w:color w:val="000000"/>
          <w:sz w:val="24"/>
          <w:szCs w:val="24"/>
          <w14:ligatures w14:val="standardContextual"/>
        </w:rPr>
        <w:t>,</w:t>
      </w:r>
      <w:r w:rsidRPr="005D3D6B">
        <w:rPr>
          <w:rFonts w:ascii="Garamond" w:eastAsiaTheme="minorHAnsi" w:hAnsi="Garamond"/>
          <w:color w:val="000000"/>
          <w:sz w:val="24"/>
          <w:szCs w:val="24"/>
          <w14:ligatures w14:val="standardContextual"/>
        </w:rPr>
        <w:t xml:space="preserve"> gjithashtu</w:t>
      </w:r>
      <w:r w:rsidR="005D3D6B">
        <w:rPr>
          <w:rFonts w:ascii="Garamond" w:eastAsiaTheme="minorHAnsi" w:hAnsi="Garamond"/>
          <w:color w:val="000000"/>
          <w:sz w:val="24"/>
          <w:szCs w:val="24"/>
          <w14:ligatures w14:val="standardContextual"/>
        </w:rPr>
        <w:t>,</w:t>
      </w:r>
      <w:r w:rsidRPr="005D3D6B">
        <w:rPr>
          <w:rFonts w:ascii="Garamond" w:eastAsiaTheme="minorHAnsi" w:hAnsi="Garamond"/>
          <w:color w:val="000000"/>
          <w:sz w:val="24"/>
          <w:szCs w:val="24"/>
          <w14:ligatures w14:val="standardContextual"/>
        </w:rPr>
        <w:t xml:space="preserve"> binin në kundërshtim me mënyrën se si e kishte plotësuar deklaratën e vitit 2009, në të cilën kishte treguar përdorimin e kursimeve në para në dorë (</w:t>
      </w:r>
      <w:proofErr w:type="spellStart"/>
      <w:r w:rsidRPr="005D3D6B">
        <w:rPr>
          <w:rFonts w:ascii="Garamond" w:eastAsiaTheme="minorHAnsi" w:hAnsi="Garamond"/>
          <w:i/>
          <w:iCs/>
          <w:color w:val="000000"/>
          <w:sz w:val="24"/>
          <w:szCs w:val="24"/>
          <w14:ligatures w14:val="standardContextual"/>
        </w:rPr>
        <w:t>cash</w:t>
      </w:r>
      <w:proofErr w:type="spellEnd"/>
      <w:r w:rsidRPr="005D3D6B">
        <w:rPr>
          <w:rFonts w:ascii="Garamond" w:eastAsiaTheme="minorHAnsi" w:hAnsi="Garamond"/>
          <w:i/>
          <w:iCs/>
          <w:color w:val="000000"/>
          <w:sz w:val="24"/>
          <w:szCs w:val="24"/>
          <w14:ligatures w14:val="standardContextual"/>
        </w:rPr>
        <w:t>)</w:t>
      </w:r>
      <w:r w:rsidR="005D3D6B">
        <w:rPr>
          <w:rFonts w:ascii="Garamond" w:eastAsiaTheme="minorHAnsi" w:hAnsi="Garamond"/>
          <w:color w:val="000000"/>
          <w:sz w:val="24"/>
          <w:szCs w:val="24"/>
          <w14:ligatures w14:val="standardContextual"/>
        </w:rPr>
        <w:t>.</w:t>
      </w:r>
    </w:p>
    <w:p w14:paraId="3FC5E3E5" w14:textId="194BE579"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8. Në procedurat që kishin të bënin me vlerësimin kalimtar të bashkëshortes së kërkuesit (gjyqtare në Gjykatën e Rrethit Gjyqësor të Tiranës dhe e deleguar në atë kohë si Këshilltare Ligjore e Këshillit të Lartë Gjyqësor), KPK</w:t>
      </w:r>
      <w:r w:rsidR="005D3D6B">
        <w:rPr>
          <w:rFonts w:ascii="Garamond" w:eastAsiaTheme="minorHAnsi" w:hAnsi="Garamond"/>
          <w:color w:val="000000"/>
          <w:sz w:val="24"/>
          <w:szCs w:val="24"/>
          <w14:ligatures w14:val="standardContextual"/>
        </w:rPr>
        <w:t>-ja</w:t>
      </w:r>
      <w:r w:rsidRPr="005D3D6B">
        <w:rPr>
          <w:rFonts w:ascii="Garamond" w:eastAsiaTheme="minorHAnsi" w:hAnsi="Garamond"/>
          <w:color w:val="000000"/>
          <w:sz w:val="24"/>
          <w:szCs w:val="24"/>
          <w14:ligatures w14:val="standardContextual"/>
        </w:rPr>
        <w:t xml:space="preserve">, në vendimin e saj të datës 11 </w:t>
      </w:r>
      <w:r w:rsidR="005D3D6B">
        <w:rPr>
          <w:rFonts w:ascii="Garamond" w:eastAsiaTheme="minorHAnsi" w:hAnsi="Garamond"/>
          <w:color w:val="000000"/>
          <w:sz w:val="24"/>
          <w:szCs w:val="24"/>
          <w14:ligatures w14:val="standardContextual"/>
        </w:rPr>
        <w:t>s</w:t>
      </w:r>
      <w:r w:rsidRPr="005D3D6B">
        <w:rPr>
          <w:rFonts w:ascii="Garamond" w:eastAsiaTheme="minorHAnsi" w:hAnsi="Garamond"/>
          <w:color w:val="000000"/>
          <w:sz w:val="24"/>
          <w:szCs w:val="24"/>
          <w14:ligatures w14:val="standardContextual"/>
        </w:rPr>
        <w:t>hkurt 2021</w:t>
      </w:r>
      <w:r w:rsidR="005D3D6B">
        <w:rPr>
          <w:rFonts w:ascii="Garamond" w:eastAsiaTheme="minorHAnsi" w:hAnsi="Garamond"/>
          <w:color w:val="000000"/>
          <w:sz w:val="24"/>
          <w:szCs w:val="24"/>
          <w14:ligatures w14:val="standardContextual"/>
        </w:rPr>
        <w:t>,</w:t>
      </w:r>
      <w:r w:rsidRPr="005D3D6B">
        <w:rPr>
          <w:rFonts w:ascii="Garamond" w:eastAsiaTheme="minorHAnsi" w:hAnsi="Garamond"/>
          <w:color w:val="000000"/>
          <w:sz w:val="24"/>
          <w:szCs w:val="24"/>
          <w14:ligatures w14:val="standardContextual"/>
        </w:rPr>
        <w:t xml:space="preserve"> konstatoi se, ashtu si kërkuesja, asaj i mungonin burime të ligjshme financiare për të justifikuar shpenzimet dhe kursimet e familjes në vitet 2011 dhe 2013. Megjithatë, KPK</w:t>
      </w:r>
      <w:r w:rsidR="005D3D6B">
        <w:rPr>
          <w:rFonts w:ascii="Garamond" w:eastAsiaTheme="minorHAnsi" w:hAnsi="Garamond"/>
          <w:color w:val="000000"/>
          <w:sz w:val="24"/>
          <w:szCs w:val="24"/>
          <w14:ligatures w14:val="standardContextual"/>
        </w:rPr>
        <w:t>-ja</w:t>
      </w:r>
      <w:r w:rsidRPr="005D3D6B">
        <w:rPr>
          <w:rFonts w:ascii="Garamond" w:eastAsiaTheme="minorHAnsi" w:hAnsi="Garamond"/>
          <w:color w:val="000000"/>
          <w:sz w:val="24"/>
          <w:szCs w:val="24"/>
          <w14:ligatures w14:val="standardContextual"/>
        </w:rPr>
        <w:t xml:space="preserve"> e konfirmoi atë në detyrë. KPK</w:t>
      </w:r>
      <w:r w:rsidR="005D3D6B">
        <w:rPr>
          <w:rFonts w:ascii="Garamond" w:eastAsiaTheme="minorHAnsi" w:hAnsi="Garamond"/>
          <w:color w:val="000000"/>
          <w:sz w:val="24"/>
          <w:szCs w:val="24"/>
          <w14:ligatures w14:val="standardContextual"/>
        </w:rPr>
        <w:t>-ja</w:t>
      </w:r>
      <w:r w:rsidRPr="005D3D6B">
        <w:rPr>
          <w:rFonts w:ascii="Garamond" w:eastAsiaTheme="minorHAnsi" w:hAnsi="Garamond"/>
          <w:color w:val="000000"/>
          <w:sz w:val="24"/>
          <w:szCs w:val="24"/>
          <w14:ligatures w14:val="standardContextual"/>
        </w:rPr>
        <w:t xml:space="preserve"> arsyetoi se pasuritë e saj ishin deklaruar saktë dhe ishin krijuar me burime të ligjshme; nuk kishte prova për pasuri të fshehura ose deklarime të rreme; në përgjithësi, ajo kishte arritur një nivel të besueshëm pasurie në vlerësim dhe nuk mund të konsiderohej se kishte dëmtuar besimin e publikut; dhe nuk kishte probleme në lidhje me dy kriteret e tjera të verifikimit, përkatësisht pastërtinë e figurës dhe kompetencën profesionale. Prandaj, KPK</w:t>
      </w:r>
      <w:r w:rsidR="005D3D6B">
        <w:rPr>
          <w:rFonts w:ascii="Garamond" w:eastAsiaTheme="minorHAnsi" w:hAnsi="Garamond"/>
          <w:color w:val="000000"/>
          <w:sz w:val="24"/>
          <w:szCs w:val="24"/>
          <w14:ligatures w14:val="standardContextual"/>
        </w:rPr>
        <w:t>-ja</w:t>
      </w:r>
      <w:r w:rsidRPr="005D3D6B">
        <w:rPr>
          <w:rFonts w:ascii="Garamond" w:eastAsiaTheme="minorHAnsi" w:hAnsi="Garamond"/>
          <w:color w:val="000000"/>
          <w:sz w:val="24"/>
          <w:szCs w:val="24"/>
          <w14:ligatures w14:val="standardContextual"/>
        </w:rPr>
        <w:t xml:space="preserve"> vlerësoi se zbatimi i të njëjtës masë disiplinore të shkarkimit, siç ishte bërë në lidhje me bashkëshortin e saj, nuk do të ishte as proporcional dhe as objektiv. Pas </w:t>
      </w:r>
      <w:proofErr w:type="spellStart"/>
      <w:r w:rsidRPr="005D3D6B">
        <w:rPr>
          <w:rFonts w:ascii="Garamond" w:eastAsiaTheme="minorHAnsi" w:hAnsi="Garamond"/>
          <w:color w:val="000000"/>
          <w:sz w:val="24"/>
          <w:szCs w:val="24"/>
          <w14:ligatures w14:val="standardContextual"/>
        </w:rPr>
        <w:t>ankimimit</w:t>
      </w:r>
      <w:proofErr w:type="spellEnd"/>
      <w:r w:rsidRPr="005D3D6B">
        <w:rPr>
          <w:rFonts w:ascii="Garamond" w:eastAsiaTheme="minorHAnsi" w:hAnsi="Garamond"/>
          <w:color w:val="000000"/>
          <w:sz w:val="24"/>
          <w:szCs w:val="24"/>
          <w14:ligatures w14:val="standardContextual"/>
        </w:rPr>
        <w:t xml:space="preserve"> të </w:t>
      </w:r>
      <w:proofErr w:type="spellStart"/>
      <w:r w:rsidRPr="005D3D6B">
        <w:rPr>
          <w:rFonts w:ascii="Garamond" w:eastAsiaTheme="minorHAnsi" w:hAnsi="Garamond"/>
          <w:color w:val="000000"/>
          <w:sz w:val="24"/>
          <w:szCs w:val="24"/>
          <w14:ligatures w14:val="standardContextual"/>
        </w:rPr>
        <w:t>Komisionerit</w:t>
      </w:r>
      <w:proofErr w:type="spellEnd"/>
      <w:r w:rsidRPr="005D3D6B">
        <w:rPr>
          <w:rFonts w:ascii="Garamond" w:eastAsiaTheme="minorHAnsi" w:hAnsi="Garamond"/>
          <w:color w:val="000000"/>
          <w:sz w:val="24"/>
          <w:szCs w:val="24"/>
          <w14:ligatures w14:val="standardContextual"/>
        </w:rPr>
        <w:t xml:space="preserve"> Publik, KPA</w:t>
      </w:r>
      <w:r w:rsidR="005D3D6B">
        <w:rPr>
          <w:rFonts w:ascii="Garamond" w:eastAsiaTheme="minorHAnsi" w:hAnsi="Garamond"/>
          <w:color w:val="000000"/>
          <w:sz w:val="24"/>
          <w:szCs w:val="24"/>
          <w14:ligatures w14:val="standardContextual"/>
        </w:rPr>
        <w:t>-ja</w:t>
      </w:r>
      <w:r w:rsidRPr="005D3D6B">
        <w:rPr>
          <w:rFonts w:ascii="Garamond" w:eastAsiaTheme="minorHAnsi" w:hAnsi="Garamond"/>
          <w:color w:val="000000"/>
          <w:sz w:val="24"/>
          <w:szCs w:val="24"/>
          <w14:ligatures w14:val="standardContextual"/>
        </w:rPr>
        <w:t xml:space="preserve"> mbajti një seancë dëgjimore. Megjithatë, në përfundim të seancës dëgjimore, </w:t>
      </w:r>
      <w:proofErr w:type="spellStart"/>
      <w:r w:rsidRPr="005D3D6B">
        <w:rPr>
          <w:rFonts w:ascii="Garamond" w:eastAsiaTheme="minorHAnsi" w:hAnsi="Garamond"/>
          <w:color w:val="000000"/>
          <w:sz w:val="24"/>
          <w:szCs w:val="24"/>
          <w14:ligatures w14:val="standardContextual"/>
        </w:rPr>
        <w:t>Komisioneri</w:t>
      </w:r>
      <w:proofErr w:type="spellEnd"/>
      <w:r w:rsidRPr="005D3D6B">
        <w:rPr>
          <w:rFonts w:ascii="Garamond" w:eastAsiaTheme="minorHAnsi" w:hAnsi="Garamond"/>
          <w:color w:val="000000"/>
          <w:sz w:val="24"/>
          <w:szCs w:val="24"/>
          <w14:ligatures w14:val="standardContextual"/>
        </w:rPr>
        <w:t xml:space="preserve"> Publik e ftoi KPA-në të linte në fuqi vendimin e KPK-së. Në vendimin e saj të datës 27 </w:t>
      </w:r>
      <w:r w:rsidR="005D3D6B">
        <w:rPr>
          <w:rFonts w:ascii="Garamond" w:eastAsiaTheme="minorHAnsi" w:hAnsi="Garamond"/>
          <w:color w:val="000000"/>
          <w:sz w:val="24"/>
          <w:szCs w:val="24"/>
          <w14:ligatures w14:val="standardContextual"/>
        </w:rPr>
        <w:t>m</w:t>
      </w:r>
      <w:r w:rsidRPr="005D3D6B">
        <w:rPr>
          <w:rFonts w:ascii="Garamond" w:eastAsiaTheme="minorHAnsi" w:hAnsi="Garamond"/>
          <w:color w:val="000000"/>
          <w:sz w:val="24"/>
          <w:szCs w:val="24"/>
          <w14:ligatures w14:val="standardContextual"/>
        </w:rPr>
        <w:t>aj 2022, KPA</w:t>
      </w:r>
      <w:r w:rsidR="005D3D6B">
        <w:rPr>
          <w:rFonts w:ascii="Garamond" w:eastAsiaTheme="minorHAnsi" w:hAnsi="Garamond"/>
          <w:color w:val="000000"/>
          <w:sz w:val="24"/>
          <w:szCs w:val="24"/>
          <w14:ligatures w14:val="standardContextual"/>
        </w:rPr>
        <w:t>-ja</w:t>
      </w:r>
      <w:r w:rsidRPr="005D3D6B">
        <w:rPr>
          <w:rFonts w:ascii="Garamond" w:eastAsiaTheme="minorHAnsi" w:hAnsi="Garamond"/>
          <w:color w:val="000000"/>
          <w:sz w:val="24"/>
          <w:szCs w:val="24"/>
          <w14:ligatures w14:val="standardContextual"/>
        </w:rPr>
        <w:t xml:space="preserve"> konstatoi se në vitet 2011 dhe 2013 </w:t>
      </w:r>
      <w:proofErr w:type="spellStart"/>
      <w:r w:rsidRPr="005D3D6B">
        <w:rPr>
          <w:rFonts w:ascii="Garamond" w:eastAsiaTheme="minorHAnsi" w:hAnsi="Garamond"/>
          <w:color w:val="000000"/>
          <w:sz w:val="24"/>
          <w:szCs w:val="24"/>
          <w14:ligatures w14:val="standardContextual"/>
        </w:rPr>
        <w:t>znj</w:t>
      </w:r>
      <w:proofErr w:type="spellEnd"/>
      <w:r w:rsidRPr="005D3D6B">
        <w:rPr>
          <w:rFonts w:ascii="Garamond" w:eastAsiaTheme="minorHAnsi" w:hAnsi="Garamond"/>
          <w:color w:val="000000"/>
          <w:sz w:val="24"/>
          <w:szCs w:val="24"/>
          <w14:ligatures w14:val="standardContextual"/>
        </w:rPr>
        <w:t>. Osmani nuk kishte burime të ligjshme financiare (në një shumë totale prej 1,693,286 lekësh, duke përfshirë 566,902 lekë në vitin 2011 dhe 1,126,384 lekë në vitin 2013) për të justifikuar shpenzimet e familjes, duke përfshirë shlyerjen e kredisë së vitit 2009 dhe kursimet në para në dorë (</w:t>
      </w:r>
      <w:proofErr w:type="spellStart"/>
      <w:r w:rsidRPr="005D3D6B">
        <w:rPr>
          <w:rFonts w:ascii="Garamond" w:eastAsiaTheme="minorHAnsi" w:hAnsi="Garamond"/>
          <w:i/>
          <w:iCs/>
          <w:color w:val="000000"/>
          <w:sz w:val="24"/>
          <w:szCs w:val="24"/>
          <w14:ligatures w14:val="standardContextual"/>
        </w:rPr>
        <w:t>cash</w:t>
      </w:r>
      <w:proofErr w:type="spellEnd"/>
      <w:r w:rsidRPr="005D3D6B">
        <w:rPr>
          <w:rFonts w:ascii="Garamond" w:eastAsiaTheme="minorHAnsi" w:hAnsi="Garamond"/>
          <w:color w:val="000000"/>
          <w:sz w:val="24"/>
          <w:szCs w:val="24"/>
          <w14:ligatures w14:val="standardContextual"/>
        </w:rPr>
        <w:t>) të familjes, përdorimi i të cilave nuk ishte pasqyruar në deklaratat vjetore. KPA</w:t>
      </w:r>
      <w:r w:rsidR="005D3D6B">
        <w:rPr>
          <w:rFonts w:ascii="Garamond" w:eastAsiaTheme="minorHAnsi" w:hAnsi="Garamond"/>
          <w:color w:val="000000"/>
          <w:sz w:val="24"/>
          <w:szCs w:val="24"/>
          <w14:ligatures w14:val="standardContextual"/>
        </w:rPr>
        <w:t>-ja</w:t>
      </w:r>
      <w:r w:rsidRPr="005D3D6B">
        <w:rPr>
          <w:rFonts w:ascii="Garamond" w:eastAsiaTheme="minorHAnsi" w:hAnsi="Garamond"/>
          <w:color w:val="000000"/>
          <w:sz w:val="24"/>
          <w:szCs w:val="24"/>
          <w14:ligatures w14:val="standardContextual"/>
        </w:rPr>
        <w:t xml:space="preserve"> vendosi që deklaratat vjetore dhe ato të rivlerësimit kalimtar të çiftit ishin reciprokisht të qëndrueshme dhe se çështja e mospërputhjes financiare, e cila kishte rezultuar nga situata financiare e familjes dhe kishte zgjatur disa vite, ishte e njëjtë për të dy dhe kishte shërbyer si arsye për </w:t>
      </w:r>
      <w:r w:rsidRPr="005D3D6B">
        <w:rPr>
          <w:rFonts w:ascii="Garamond" w:eastAsiaTheme="minorHAnsi" w:hAnsi="Garamond"/>
          <w:color w:val="000000"/>
          <w:sz w:val="24"/>
          <w:szCs w:val="24"/>
          <w14:ligatures w14:val="standardContextual"/>
        </w:rPr>
        <w:lastRenderedPageBreak/>
        <w:t xml:space="preserve">shkarkimin e kërkuesit. Çifti kishte fituar një pronë të paluajtshme. Për pjesën e </w:t>
      </w:r>
      <w:proofErr w:type="spellStart"/>
      <w:r w:rsidR="005D3D6B">
        <w:rPr>
          <w:rFonts w:ascii="Garamond" w:eastAsiaTheme="minorHAnsi" w:hAnsi="Garamond"/>
          <w:color w:val="000000"/>
          <w:sz w:val="24"/>
          <w:szCs w:val="24"/>
          <w14:ligatures w14:val="standardContextual"/>
        </w:rPr>
        <w:t>zn</w:t>
      </w:r>
      <w:r w:rsidRPr="005D3D6B">
        <w:rPr>
          <w:rFonts w:ascii="Garamond" w:eastAsiaTheme="minorHAnsi" w:hAnsi="Garamond"/>
          <w:color w:val="000000"/>
          <w:sz w:val="24"/>
          <w:szCs w:val="24"/>
          <w14:ligatures w14:val="standardContextual"/>
        </w:rPr>
        <w:t>j</w:t>
      </w:r>
      <w:proofErr w:type="spellEnd"/>
      <w:r w:rsidRPr="005D3D6B">
        <w:rPr>
          <w:rFonts w:ascii="Garamond" w:eastAsiaTheme="minorHAnsi" w:hAnsi="Garamond"/>
          <w:color w:val="000000"/>
          <w:sz w:val="24"/>
          <w:szCs w:val="24"/>
          <w14:ligatures w14:val="standardContextual"/>
        </w:rPr>
        <w:t xml:space="preserve">. Osmani nuk ishte konstatuar asnjë deklaratë e rreme, fshehje pasurie apo konflikt interesi. Çdo person që i nënshtrohej rivlerësimit kalimtar duhej të vlerësohej në mënyrë të pavarur, dhe vendimi i KPA-së në rastin e kërkuesit nuk përbënte </w:t>
      </w:r>
      <w:proofErr w:type="spellStart"/>
      <w:r w:rsidRPr="005D3D6B">
        <w:rPr>
          <w:rFonts w:ascii="Garamond" w:eastAsiaTheme="minorHAnsi" w:hAnsi="Garamond"/>
          <w:i/>
          <w:iCs/>
          <w:color w:val="000000"/>
          <w:sz w:val="24"/>
          <w:szCs w:val="24"/>
          <w14:ligatures w14:val="standardContextual"/>
        </w:rPr>
        <w:t>res</w:t>
      </w:r>
      <w:proofErr w:type="spellEnd"/>
      <w:r w:rsidRPr="005D3D6B">
        <w:rPr>
          <w:rFonts w:ascii="Garamond" w:eastAsiaTheme="minorHAnsi" w:hAnsi="Garamond"/>
          <w:i/>
          <w:iCs/>
          <w:color w:val="000000"/>
          <w:sz w:val="24"/>
          <w:szCs w:val="24"/>
          <w14:ligatures w14:val="standardContextual"/>
        </w:rPr>
        <w:t xml:space="preserve"> </w:t>
      </w:r>
      <w:proofErr w:type="spellStart"/>
      <w:r w:rsidRPr="005D3D6B">
        <w:rPr>
          <w:rFonts w:ascii="Garamond" w:eastAsiaTheme="minorHAnsi" w:hAnsi="Garamond"/>
          <w:i/>
          <w:iCs/>
          <w:color w:val="000000"/>
          <w:sz w:val="24"/>
          <w:szCs w:val="24"/>
          <w14:ligatures w14:val="standardContextual"/>
        </w:rPr>
        <w:t>judicata</w:t>
      </w:r>
      <w:proofErr w:type="spellEnd"/>
      <w:r w:rsidRPr="005D3D6B">
        <w:rPr>
          <w:rFonts w:ascii="Garamond" w:eastAsiaTheme="minorHAnsi" w:hAnsi="Garamond"/>
          <w:color w:val="000000"/>
          <w:sz w:val="24"/>
          <w:szCs w:val="24"/>
          <w14:ligatures w14:val="standardContextual"/>
        </w:rPr>
        <w:t xml:space="preserve"> për </w:t>
      </w:r>
      <w:proofErr w:type="spellStart"/>
      <w:r w:rsidR="005D3D6B">
        <w:rPr>
          <w:rFonts w:ascii="Garamond" w:eastAsiaTheme="minorHAnsi" w:hAnsi="Garamond"/>
          <w:color w:val="000000"/>
          <w:sz w:val="24"/>
          <w:szCs w:val="24"/>
          <w14:ligatures w14:val="standardContextual"/>
        </w:rPr>
        <w:t>zn</w:t>
      </w:r>
      <w:r w:rsidRPr="005D3D6B">
        <w:rPr>
          <w:rFonts w:ascii="Garamond" w:eastAsiaTheme="minorHAnsi" w:hAnsi="Garamond"/>
          <w:color w:val="000000"/>
          <w:sz w:val="24"/>
          <w:szCs w:val="24"/>
          <w14:ligatures w14:val="standardContextual"/>
        </w:rPr>
        <w:t>j</w:t>
      </w:r>
      <w:proofErr w:type="spellEnd"/>
      <w:r w:rsidRPr="005D3D6B">
        <w:rPr>
          <w:rFonts w:ascii="Garamond" w:eastAsiaTheme="minorHAnsi" w:hAnsi="Garamond"/>
          <w:color w:val="000000"/>
          <w:sz w:val="24"/>
          <w:szCs w:val="24"/>
          <w14:ligatures w14:val="standardContextual"/>
        </w:rPr>
        <w:t xml:space="preserve">. Osmani. Qëllimi i vlerësimit të pasurive në procedurën e rivlerësimit kalimtar shërbeu, ndër të tjera, për të identifikuar ata individë që kishin përfituar nga pasuritë e fituara përmes burimeve të paligjshme dhe në këtë mënyrë kishin dëmtuar besimin e publikut në sistemin e drejtësisë. Duke iu referuar “parimeve të </w:t>
      </w:r>
      <w:proofErr w:type="spellStart"/>
      <w:r w:rsidRPr="005D3D6B">
        <w:rPr>
          <w:rFonts w:ascii="Garamond" w:eastAsiaTheme="minorHAnsi" w:hAnsi="Garamond"/>
          <w:color w:val="000000"/>
          <w:sz w:val="24"/>
          <w:szCs w:val="24"/>
          <w14:ligatures w14:val="standardContextual"/>
        </w:rPr>
        <w:t>proporcionalitetit</w:t>
      </w:r>
      <w:proofErr w:type="spellEnd"/>
      <w:r w:rsidRPr="005D3D6B">
        <w:rPr>
          <w:rFonts w:ascii="Garamond" w:eastAsiaTheme="minorHAnsi" w:hAnsi="Garamond"/>
          <w:color w:val="000000"/>
          <w:sz w:val="24"/>
          <w:szCs w:val="24"/>
          <w14:ligatures w14:val="standardContextual"/>
        </w:rPr>
        <w:t xml:space="preserve"> dhe objektivitetit”, KPA</w:t>
      </w:r>
      <w:r w:rsidR="005D3D6B">
        <w:rPr>
          <w:rFonts w:ascii="Garamond" w:eastAsiaTheme="minorHAnsi" w:hAnsi="Garamond"/>
          <w:color w:val="000000"/>
          <w:sz w:val="24"/>
          <w:szCs w:val="24"/>
          <w14:ligatures w14:val="standardContextual"/>
        </w:rPr>
        <w:t>-ja</w:t>
      </w:r>
      <w:r w:rsidRPr="005D3D6B">
        <w:rPr>
          <w:rFonts w:ascii="Garamond" w:eastAsiaTheme="minorHAnsi" w:hAnsi="Garamond"/>
          <w:color w:val="000000"/>
          <w:sz w:val="24"/>
          <w:szCs w:val="24"/>
          <w14:ligatures w14:val="standardContextual"/>
        </w:rPr>
        <w:t xml:space="preserve"> la n</w:t>
      </w:r>
      <w:r w:rsidR="005D3D6B">
        <w:rPr>
          <w:rFonts w:ascii="Garamond" w:eastAsiaTheme="minorHAnsi" w:hAnsi="Garamond"/>
          <w:color w:val="000000"/>
          <w:sz w:val="24"/>
          <w:szCs w:val="24"/>
          <w14:ligatures w14:val="standardContextual"/>
        </w:rPr>
        <w:t>ë</w:t>
      </w:r>
      <w:r w:rsidRPr="005D3D6B">
        <w:rPr>
          <w:rFonts w:ascii="Garamond" w:eastAsiaTheme="minorHAnsi" w:hAnsi="Garamond"/>
          <w:color w:val="000000"/>
          <w:sz w:val="24"/>
          <w:szCs w:val="24"/>
          <w14:ligatures w14:val="standardContextual"/>
        </w:rPr>
        <w:t xml:space="preserve"> fuqi vendimin e KPK-së. Në një opinion pajtues, dy gjyqtarë deklaruan se vendimi i tyre për të lënë në fuqi vendimin e KPK-së ishte bazuar ekskluzivisht në arsye procedurale, veçanërisht tërheqja e kundërshtimit të </w:t>
      </w:r>
      <w:proofErr w:type="spellStart"/>
      <w:r w:rsidRPr="005D3D6B">
        <w:rPr>
          <w:rFonts w:ascii="Garamond" w:eastAsiaTheme="minorHAnsi" w:hAnsi="Garamond"/>
          <w:color w:val="000000"/>
          <w:sz w:val="24"/>
          <w:szCs w:val="24"/>
          <w14:ligatures w14:val="standardContextual"/>
        </w:rPr>
        <w:t>Komisionerit</w:t>
      </w:r>
      <w:proofErr w:type="spellEnd"/>
      <w:r w:rsidRPr="005D3D6B">
        <w:rPr>
          <w:rFonts w:ascii="Garamond" w:eastAsiaTheme="minorHAnsi" w:hAnsi="Garamond"/>
          <w:color w:val="000000"/>
          <w:sz w:val="24"/>
          <w:szCs w:val="24"/>
          <w14:ligatures w14:val="standardContextual"/>
        </w:rPr>
        <w:t xml:space="preserve"> Publik ndaj vendimit të KPK-së duke kërkuar që ai të lihej në fuqi, dhe jo në shqyrtimin e çështjes si të tillë.</w:t>
      </w:r>
    </w:p>
    <w:p w14:paraId="6F536B69" w14:textId="15A34F9D" w:rsidR="00CB4E13" w:rsidRPr="005D3D6B" w:rsidRDefault="00CB4E13" w:rsidP="00CB4E13">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VLERËSIMI I GJYKATËS</w:t>
      </w:r>
    </w:p>
    <w:p w14:paraId="6E4C7B20" w14:textId="3531FCCC" w:rsidR="00CB4E13" w:rsidRPr="005D3D6B" w:rsidRDefault="00CB4E13" w:rsidP="00CB4E13">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SHKELJE E PRETENDUAR E NENIT 8 TË KONVENTËS</w:t>
      </w:r>
    </w:p>
    <w:p w14:paraId="24AE9F0D" w14:textId="7BC9D543" w:rsidR="009A121B" w:rsidRPr="005D3D6B" w:rsidRDefault="00CB4E13" w:rsidP="005D3D6B">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 xml:space="preserve">9. Kërkuesi u shkarkua nga pozicioni i tij si prokuror karriere, duke humbur kështu funksionin e tij brenda sistemit të drejtësisë dhe shpërblimin e tij me efekt të menjëhershëm. Kjo padyshim pati pasoja të rënda për “rrethin e tij të ngushtë”, domethënë mirëqenien e tij dhe atë të anëtarëve të familjes së tij, dhe ndikoi në jetën e tij private në një shkallë shumë të konsiderueshme. Prandaj, </w:t>
      </w:r>
      <w:r w:rsidR="005D3D6B">
        <w:rPr>
          <w:rFonts w:ascii="Garamond" w:eastAsiaTheme="minorHAnsi" w:hAnsi="Garamond"/>
          <w:color w:val="000000"/>
          <w:sz w:val="24"/>
          <w:szCs w:val="24"/>
          <w14:ligatures w14:val="standardContextual"/>
        </w:rPr>
        <w:t>n</w:t>
      </w:r>
      <w:r w:rsidRPr="005D3D6B">
        <w:rPr>
          <w:rFonts w:ascii="Garamond" w:eastAsiaTheme="minorHAnsi" w:hAnsi="Garamond"/>
          <w:color w:val="000000"/>
          <w:sz w:val="24"/>
          <w:szCs w:val="24"/>
          <w14:ligatures w14:val="standardContextual"/>
        </w:rPr>
        <w:t xml:space="preserve">eni 8 është i zbatueshëm (shih </w:t>
      </w:r>
      <w:proofErr w:type="spellStart"/>
      <w:r w:rsidRPr="005D3D6B">
        <w:rPr>
          <w:rFonts w:ascii="Garamond" w:eastAsiaTheme="minorHAnsi" w:hAnsi="Garamond"/>
          <w:i/>
          <w:iCs/>
          <w:color w:val="000000"/>
          <w:sz w:val="24"/>
          <w:szCs w:val="24"/>
          <w14:ligatures w14:val="standardContextual"/>
        </w:rPr>
        <w:t>Nikëhasani</w:t>
      </w:r>
      <w:proofErr w:type="spellEnd"/>
      <w:r w:rsidRPr="005D3D6B">
        <w:rPr>
          <w:rFonts w:ascii="Garamond" w:eastAsiaTheme="minorHAnsi" w:hAnsi="Garamond"/>
          <w:i/>
          <w:iCs/>
          <w:color w:val="000000"/>
          <w:sz w:val="24"/>
          <w:szCs w:val="24"/>
          <w14:ligatures w14:val="standardContextual"/>
        </w:rPr>
        <w:t xml:space="preserve"> kundër Shqipërisë</w:t>
      </w:r>
      <w:r w:rsidRPr="005D3D6B">
        <w:rPr>
          <w:rFonts w:ascii="Garamond" w:eastAsiaTheme="minorHAnsi" w:hAnsi="Garamond"/>
          <w:color w:val="000000"/>
          <w:sz w:val="24"/>
          <w:szCs w:val="24"/>
          <w14:ligatures w14:val="standardContextual"/>
        </w:rPr>
        <w:t xml:space="preserve">, nr. 58997/18, § 86, 13 </w:t>
      </w:r>
      <w:r w:rsidR="005D3D6B">
        <w:rPr>
          <w:rFonts w:ascii="Garamond" w:eastAsiaTheme="minorHAnsi" w:hAnsi="Garamond"/>
          <w:color w:val="000000"/>
          <w:sz w:val="24"/>
          <w:szCs w:val="24"/>
          <w14:ligatures w14:val="standardContextual"/>
        </w:rPr>
        <w:t>d</w:t>
      </w:r>
      <w:r w:rsidRPr="005D3D6B">
        <w:rPr>
          <w:rFonts w:ascii="Garamond" w:eastAsiaTheme="minorHAnsi" w:hAnsi="Garamond"/>
          <w:color w:val="000000"/>
          <w:sz w:val="24"/>
          <w:szCs w:val="24"/>
          <w14:ligatures w14:val="standardContextual"/>
        </w:rPr>
        <w:t>hjetor 2022, me referenca të mëtejshme).</w:t>
      </w:r>
    </w:p>
    <w:p w14:paraId="073BF861" w14:textId="7BC9CFD8"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 xml:space="preserve">10. Gjykata vëren se ky pretendim nuk është qartazi i pabazuar sipas interpretimit të </w:t>
      </w:r>
      <w:r w:rsidR="005D3D6B">
        <w:rPr>
          <w:rFonts w:ascii="Garamond" w:eastAsiaTheme="minorHAnsi" w:hAnsi="Garamond"/>
          <w:color w:val="000000"/>
          <w:sz w:val="24"/>
          <w:szCs w:val="24"/>
          <w14:ligatures w14:val="standardContextual"/>
        </w:rPr>
        <w:t>n</w:t>
      </w:r>
      <w:r w:rsidRPr="005D3D6B">
        <w:rPr>
          <w:rFonts w:ascii="Garamond" w:eastAsiaTheme="minorHAnsi" w:hAnsi="Garamond"/>
          <w:color w:val="000000"/>
          <w:sz w:val="24"/>
          <w:szCs w:val="24"/>
          <w14:ligatures w14:val="standardContextual"/>
        </w:rPr>
        <w:t>enit 35 § 3 (a) të Konventës dhe as i papranueshëm për ndonjë shkak tjetër. Prandaj, ai duhet të shpallet i pranueshëm.</w:t>
      </w:r>
    </w:p>
    <w:p w14:paraId="22B44774" w14:textId="5A4B4144"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 xml:space="preserve">11. Gjykata konstaton se ka pasur një ndërhyrje në të drejtën e ankuesit për respektimin e jetës së tij private, e cila ishte në përputhje me ligjin dhe në interes të sigurisë kombëtare, sigurisë publike dhe mbrojtjes së të drejtave dhe lirive të </w:t>
      </w:r>
      <w:proofErr w:type="spellStart"/>
      <w:r w:rsidRPr="005D3D6B">
        <w:rPr>
          <w:rFonts w:ascii="Garamond" w:eastAsiaTheme="minorHAnsi" w:hAnsi="Garamond"/>
          <w:color w:val="000000"/>
          <w:sz w:val="24"/>
          <w:szCs w:val="24"/>
          <w14:ligatures w14:val="standardContextual"/>
        </w:rPr>
        <w:t>të</w:t>
      </w:r>
      <w:proofErr w:type="spellEnd"/>
      <w:r w:rsidRPr="005D3D6B">
        <w:rPr>
          <w:rFonts w:ascii="Garamond" w:eastAsiaTheme="minorHAnsi" w:hAnsi="Garamond"/>
          <w:color w:val="000000"/>
          <w:sz w:val="24"/>
          <w:szCs w:val="24"/>
          <w14:ligatures w14:val="standardContextual"/>
        </w:rPr>
        <w:t xml:space="preserve"> tjerëve (shih </w:t>
      </w:r>
      <w:proofErr w:type="spellStart"/>
      <w:r w:rsidRPr="005D3D6B">
        <w:rPr>
          <w:rFonts w:ascii="Garamond" w:eastAsiaTheme="minorHAnsi" w:hAnsi="Garamond"/>
          <w:i/>
          <w:iCs/>
          <w:color w:val="000000"/>
          <w:sz w:val="24"/>
          <w:szCs w:val="24"/>
          <w14:ligatures w14:val="standardContextual"/>
        </w:rPr>
        <w:t>Xhoxhaj</w:t>
      </w:r>
      <w:proofErr w:type="spellEnd"/>
      <w:r w:rsidRPr="005D3D6B">
        <w:rPr>
          <w:rFonts w:ascii="Garamond" w:eastAsiaTheme="minorHAnsi" w:hAnsi="Garamond"/>
          <w:i/>
          <w:iCs/>
          <w:color w:val="000000"/>
          <w:sz w:val="24"/>
          <w:szCs w:val="24"/>
          <w14:ligatures w14:val="standardContextual"/>
        </w:rPr>
        <w:t xml:space="preserve"> kundër Shqipërisë</w:t>
      </w:r>
      <w:r w:rsidRPr="005D3D6B">
        <w:rPr>
          <w:rFonts w:ascii="Garamond" w:eastAsiaTheme="minorHAnsi" w:hAnsi="Garamond"/>
          <w:color w:val="000000"/>
          <w:sz w:val="24"/>
          <w:szCs w:val="24"/>
          <w14:ligatures w14:val="standardContextual"/>
        </w:rPr>
        <w:t xml:space="preserve"> nr. 15227/19, §§ 377 78, 384</w:t>
      </w:r>
      <w:r w:rsidR="005D3D6B">
        <w:rPr>
          <w:rFonts w:ascii="Garamond" w:eastAsiaTheme="minorHAnsi" w:hAnsi="Garamond"/>
          <w:color w:val="000000"/>
          <w:sz w:val="24"/>
          <w:szCs w:val="24"/>
          <w14:ligatures w14:val="standardContextual"/>
        </w:rPr>
        <w:t>–</w:t>
      </w:r>
      <w:r w:rsidRPr="005D3D6B">
        <w:rPr>
          <w:rFonts w:ascii="Garamond" w:eastAsiaTheme="minorHAnsi" w:hAnsi="Garamond"/>
          <w:color w:val="000000"/>
          <w:sz w:val="24"/>
          <w:szCs w:val="24"/>
          <w14:ligatures w14:val="standardContextual"/>
        </w:rPr>
        <w:t xml:space="preserve">88 dhe 391 93, </w:t>
      </w:r>
      <w:r w:rsidR="005D3D6B">
        <w:rPr>
          <w:rFonts w:ascii="Garamond" w:eastAsiaTheme="minorHAnsi" w:hAnsi="Garamond"/>
          <w:color w:val="000000"/>
          <w:sz w:val="24"/>
          <w:szCs w:val="24"/>
          <w14:ligatures w14:val="standardContextual"/>
        </w:rPr>
        <w:t>s</w:t>
      </w:r>
      <w:r w:rsidRPr="005D3D6B">
        <w:rPr>
          <w:rFonts w:ascii="Garamond" w:eastAsiaTheme="minorHAnsi" w:hAnsi="Garamond"/>
          <w:color w:val="000000"/>
          <w:sz w:val="24"/>
          <w:szCs w:val="24"/>
          <w14:ligatures w14:val="standardContextual"/>
        </w:rPr>
        <w:t>hkurt 2021).</w:t>
      </w:r>
    </w:p>
    <w:p w14:paraId="7925F90A" w14:textId="2A4AA6DF"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 xml:space="preserve">12. Mbetet për t’u shqyrtuar nëse ndërhyrja ishte “e nevojshme në një shoqëri demokratike”, veçanërisht nëse ajo i përgjigjej një “nevoje urgjente shoqërore” dhe, në veçanti, nëse ishte proporcionale me qëllimet legjitime të ndjekura dhe nëse arsyet e paraqitura nga autoritetet kombëtare për ta justifikuar atë ishin “përkatëse dhe të mjaftueshme”. Parimet e përgjithshme përkatëse janë përmbledhur në çështjet </w:t>
      </w:r>
      <w:proofErr w:type="spellStart"/>
      <w:r w:rsidRPr="005D3D6B">
        <w:rPr>
          <w:rFonts w:ascii="Garamond" w:eastAsiaTheme="minorHAnsi" w:hAnsi="Garamond"/>
          <w:i/>
          <w:iCs/>
          <w:color w:val="000000"/>
          <w:sz w:val="24"/>
          <w:szCs w:val="24"/>
          <w14:ligatures w14:val="standardContextual"/>
        </w:rPr>
        <w:t>Xhoxhaj</w:t>
      </w:r>
      <w:proofErr w:type="spellEnd"/>
      <w:r w:rsidRPr="005D3D6B">
        <w:rPr>
          <w:rFonts w:ascii="Garamond" w:eastAsiaTheme="minorHAnsi" w:hAnsi="Garamond"/>
          <w:color w:val="000000"/>
          <w:sz w:val="24"/>
          <w:szCs w:val="24"/>
          <w14:ligatures w14:val="standardContextual"/>
        </w:rPr>
        <w:t xml:space="preserve"> (të cituar më lart, §§ 402</w:t>
      </w:r>
      <w:r w:rsidR="005D3D6B">
        <w:rPr>
          <w:rFonts w:ascii="Garamond" w:eastAsiaTheme="minorHAnsi" w:hAnsi="Garamond"/>
          <w:color w:val="000000"/>
          <w:sz w:val="24"/>
          <w:szCs w:val="24"/>
          <w14:ligatures w14:val="standardContextual"/>
        </w:rPr>
        <w:t>–</w:t>
      </w:r>
      <w:r w:rsidRPr="005D3D6B">
        <w:rPr>
          <w:rFonts w:ascii="Garamond" w:eastAsiaTheme="minorHAnsi" w:hAnsi="Garamond"/>
          <w:color w:val="000000"/>
          <w:sz w:val="24"/>
          <w:szCs w:val="24"/>
          <w14:ligatures w14:val="standardContextual"/>
        </w:rPr>
        <w:t xml:space="preserve">03) dhe </w:t>
      </w:r>
      <w:proofErr w:type="spellStart"/>
      <w:r w:rsidRPr="005D3D6B">
        <w:rPr>
          <w:rFonts w:ascii="Garamond" w:eastAsiaTheme="minorHAnsi" w:hAnsi="Garamond"/>
          <w:i/>
          <w:iCs/>
          <w:color w:val="000000"/>
          <w:sz w:val="24"/>
          <w:szCs w:val="24"/>
          <w14:ligatures w14:val="standardContextual"/>
        </w:rPr>
        <w:t>Sevdari</w:t>
      </w:r>
      <w:proofErr w:type="spellEnd"/>
      <w:r w:rsidRPr="005D3D6B">
        <w:rPr>
          <w:rFonts w:ascii="Garamond" w:eastAsiaTheme="minorHAnsi" w:hAnsi="Garamond"/>
          <w:i/>
          <w:iCs/>
          <w:color w:val="000000"/>
          <w:sz w:val="24"/>
          <w:szCs w:val="24"/>
          <w14:ligatures w14:val="standardContextual"/>
        </w:rPr>
        <w:t xml:space="preserve"> kundër Shqipërisë</w:t>
      </w:r>
      <w:r w:rsidRPr="005D3D6B">
        <w:rPr>
          <w:rFonts w:ascii="Garamond" w:eastAsiaTheme="minorHAnsi" w:hAnsi="Garamond"/>
          <w:color w:val="000000"/>
          <w:sz w:val="24"/>
          <w:szCs w:val="24"/>
          <w14:ligatures w14:val="standardContextual"/>
        </w:rPr>
        <w:t xml:space="preserve"> (nr. 40662/19, §§ 83</w:t>
      </w:r>
      <w:r w:rsidR="005D3D6B">
        <w:rPr>
          <w:rFonts w:ascii="Garamond" w:eastAsiaTheme="minorHAnsi" w:hAnsi="Garamond"/>
          <w:color w:val="000000"/>
          <w:sz w:val="24"/>
          <w:szCs w:val="24"/>
          <w14:ligatures w14:val="standardContextual"/>
        </w:rPr>
        <w:t>–</w:t>
      </w:r>
      <w:r w:rsidRPr="005D3D6B">
        <w:rPr>
          <w:rFonts w:ascii="Garamond" w:eastAsiaTheme="minorHAnsi" w:hAnsi="Garamond"/>
          <w:color w:val="000000"/>
          <w:sz w:val="24"/>
          <w:szCs w:val="24"/>
          <w14:ligatures w14:val="standardContextual"/>
        </w:rPr>
        <w:t xml:space="preserve">86, 13 </w:t>
      </w:r>
      <w:r w:rsidR="005D3D6B">
        <w:rPr>
          <w:rFonts w:ascii="Garamond" w:eastAsiaTheme="minorHAnsi" w:hAnsi="Garamond"/>
          <w:color w:val="000000"/>
          <w:sz w:val="24"/>
          <w:szCs w:val="24"/>
          <w14:ligatures w14:val="standardContextual"/>
        </w:rPr>
        <w:t>d</w:t>
      </w:r>
      <w:r w:rsidRPr="005D3D6B">
        <w:rPr>
          <w:rFonts w:ascii="Garamond" w:eastAsiaTheme="minorHAnsi" w:hAnsi="Garamond"/>
          <w:color w:val="000000"/>
          <w:sz w:val="24"/>
          <w:szCs w:val="24"/>
          <w14:ligatures w14:val="standardContextual"/>
        </w:rPr>
        <w:t>hjetor 2022).</w:t>
      </w:r>
    </w:p>
    <w:p w14:paraId="40CFF4E9" w14:textId="3EBEEB85"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13. Gjykata tashmë ka konstatuar se reforma në sistemin e drejtësisë shqiptare, që përfshinte rivlerësimin kalimtar (</w:t>
      </w:r>
      <w:proofErr w:type="spellStart"/>
      <w:r w:rsidRPr="005D3D6B">
        <w:rPr>
          <w:rFonts w:ascii="Garamond" w:eastAsiaTheme="minorHAnsi" w:hAnsi="Garamond"/>
          <w:i/>
          <w:color w:val="000000"/>
          <w:sz w:val="24"/>
          <w:szCs w:val="24"/>
          <w14:ligatures w14:val="standardContextual"/>
        </w:rPr>
        <w:t>vetting</w:t>
      </w:r>
      <w:proofErr w:type="spellEnd"/>
      <w:r w:rsidRPr="005D3D6B">
        <w:rPr>
          <w:rFonts w:ascii="Garamond" w:eastAsiaTheme="minorHAnsi" w:hAnsi="Garamond"/>
          <w:color w:val="000000"/>
          <w:sz w:val="24"/>
          <w:szCs w:val="24"/>
          <w14:ligatures w14:val="standardContextual"/>
        </w:rPr>
        <w:t xml:space="preserve">-un) e jashtëzakonshëm të </w:t>
      </w:r>
      <w:proofErr w:type="spellStart"/>
      <w:r w:rsidRPr="005D3D6B">
        <w:rPr>
          <w:rFonts w:ascii="Garamond" w:eastAsiaTheme="minorHAnsi" w:hAnsi="Garamond"/>
          <w:color w:val="000000"/>
          <w:sz w:val="24"/>
          <w:szCs w:val="24"/>
          <w14:ligatures w14:val="standardContextual"/>
        </w:rPr>
        <w:t>të</w:t>
      </w:r>
      <w:proofErr w:type="spellEnd"/>
      <w:r w:rsidRPr="005D3D6B">
        <w:rPr>
          <w:rFonts w:ascii="Garamond" w:eastAsiaTheme="minorHAnsi" w:hAnsi="Garamond"/>
          <w:color w:val="000000"/>
          <w:sz w:val="24"/>
          <w:szCs w:val="24"/>
          <w14:ligatures w14:val="standardContextual"/>
        </w:rPr>
        <w:t xml:space="preserve"> gjithë gjyqtarëve dhe prokurorëve në detyrë, i përgjigjej një “nevoje urgjente shoqërore” (shih </w:t>
      </w:r>
      <w:proofErr w:type="spellStart"/>
      <w:r w:rsidRPr="005D3D6B">
        <w:rPr>
          <w:rFonts w:ascii="Garamond" w:eastAsiaTheme="minorHAnsi" w:hAnsi="Garamond"/>
          <w:i/>
          <w:iCs/>
          <w:color w:val="000000"/>
          <w:sz w:val="24"/>
          <w:szCs w:val="24"/>
          <w14:ligatures w14:val="standardContextual"/>
        </w:rPr>
        <w:t>Xhoxhaj</w:t>
      </w:r>
      <w:proofErr w:type="spellEnd"/>
      <w:r w:rsidRPr="005D3D6B">
        <w:rPr>
          <w:rFonts w:ascii="Garamond" w:eastAsiaTheme="minorHAnsi" w:hAnsi="Garamond"/>
          <w:color w:val="000000"/>
          <w:sz w:val="24"/>
          <w:szCs w:val="24"/>
          <w14:ligatures w14:val="standardContextual"/>
        </w:rPr>
        <w:t>, të cituar më lart, § 404).</w:t>
      </w:r>
    </w:p>
    <w:p w14:paraId="04F3674A" w14:textId="607B566B"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14. Shkarkimi i kërkuesit u bazua vetëm në vlerësimin e pasurive të tij. Vlerësimi në lidhje me dy kriteret e tjera të rivlerësimit, përkatësisht pastërtinë e figurës dhe aftësinë profesionale, ishte pozitiv (shih paragrafin 5 më lart).</w:t>
      </w:r>
    </w:p>
    <w:p w14:paraId="08CE30CB" w14:textId="0E058811"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15. Pas 14 vitesh punë si prokuror, kërkuesi, së bashku me bashkëshorten, bleu një apartament me sipërfaqe 92 m², i cili shërbente si vendbanim i familjes dhe përbënte pasurinë e tyre kryesore. Familja përdorte dy automjete dhe kishte kursime modeste. KPA</w:t>
      </w:r>
      <w:r w:rsidR="005D3D6B">
        <w:rPr>
          <w:rFonts w:ascii="Garamond" w:eastAsiaTheme="minorHAnsi" w:hAnsi="Garamond"/>
          <w:color w:val="000000"/>
          <w:sz w:val="24"/>
          <w:szCs w:val="24"/>
          <w14:ligatures w14:val="standardContextual"/>
        </w:rPr>
        <w:t>-ja</w:t>
      </w:r>
      <w:r w:rsidRPr="005D3D6B">
        <w:rPr>
          <w:rFonts w:ascii="Garamond" w:eastAsiaTheme="minorHAnsi" w:hAnsi="Garamond"/>
          <w:color w:val="000000"/>
          <w:sz w:val="24"/>
          <w:szCs w:val="24"/>
          <w14:ligatures w14:val="standardContextual"/>
        </w:rPr>
        <w:t xml:space="preserve"> pranoi se kredia e vitit 2009 ishte shlyer dhe se të gjitha pasuritë e kërkuesit ishin deklaruar dhe krijuar përmes burimeve të ligjshme (shih paragrafin 6 më sipër).</w:t>
      </w:r>
    </w:p>
    <w:p w14:paraId="693283FB" w14:textId="3D669BD6"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16. Problematika e vetme për të gjithë periudhën e vlerësimit kishte të bënte me dy vite, domethënë, vitet 2011 dhe 2013, në lidhje me të cilat KPA</w:t>
      </w:r>
      <w:r w:rsidR="005D3D6B">
        <w:rPr>
          <w:rFonts w:ascii="Garamond" w:eastAsiaTheme="minorHAnsi" w:hAnsi="Garamond"/>
          <w:color w:val="000000"/>
          <w:sz w:val="24"/>
          <w:szCs w:val="24"/>
          <w14:ligatures w14:val="standardContextual"/>
        </w:rPr>
        <w:t>-ja</w:t>
      </w:r>
      <w:r w:rsidRPr="005D3D6B">
        <w:rPr>
          <w:rFonts w:ascii="Garamond" w:eastAsiaTheme="minorHAnsi" w:hAnsi="Garamond"/>
          <w:color w:val="000000"/>
          <w:sz w:val="24"/>
          <w:szCs w:val="24"/>
          <w14:ligatures w14:val="standardContextual"/>
        </w:rPr>
        <w:t xml:space="preserve"> konstatoi se kërkuesi kishte një bilanc negativ (shih paragrafin 7 më sipër). Veçanërisht, përfundimet e KPA-së ishin, së pari, të konsideroheshin kursimet prej 1,950,000 lekësh të deklaruara në ato vite të pashpenzuara </w:t>
      </w:r>
      <w:r w:rsidR="005D3D6B">
        <w:rPr>
          <w:rFonts w:ascii="Garamond" w:eastAsiaTheme="minorHAnsi" w:hAnsi="Garamond"/>
          <w:color w:val="000000"/>
          <w:sz w:val="24"/>
          <w:szCs w:val="24"/>
          <w14:ligatures w14:val="standardContextual"/>
        </w:rPr>
        <w:t>–</w:t>
      </w:r>
      <w:r w:rsidRPr="005D3D6B">
        <w:rPr>
          <w:rFonts w:ascii="Garamond" w:eastAsiaTheme="minorHAnsi" w:hAnsi="Garamond"/>
          <w:color w:val="000000"/>
          <w:sz w:val="24"/>
          <w:szCs w:val="24"/>
          <w14:ligatures w14:val="standardContextual"/>
        </w:rPr>
        <w:t xml:space="preserve"> për shkak të </w:t>
      </w:r>
      <w:proofErr w:type="spellStart"/>
      <w:r w:rsidRPr="005D3D6B">
        <w:rPr>
          <w:rFonts w:ascii="Garamond" w:eastAsiaTheme="minorHAnsi" w:hAnsi="Garamond"/>
          <w:color w:val="000000"/>
          <w:sz w:val="24"/>
          <w:szCs w:val="24"/>
          <w14:ligatures w14:val="standardContextual"/>
        </w:rPr>
        <w:t>mosdeklarimit</w:t>
      </w:r>
      <w:proofErr w:type="spellEnd"/>
      <w:r w:rsidRPr="005D3D6B">
        <w:rPr>
          <w:rFonts w:ascii="Garamond" w:eastAsiaTheme="minorHAnsi" w:hAnsi="Garamond"/>
          <w:color w:val="000000"/>
          <w:sz w:val="24"/>
          <w:szCs w:val="24"/>
          <w14:ligatures w14:val="standardContextual"/>
        </w:rPr>
        <w:t xml:space="preserve"> ndryshe nga ana e kërkuesit në deklaratat vjetore </w:t>
      </w:r>
      <w:r w:rsidR="005D3D6B">
        <w:rPr>
          <w:rFonts w:ascii="Garamond" w:eastAsiaTheme="minorHAnsi" w:hAnsi="Garamond"/>
          <w:color w:val="000000"/>
          <w:sz w:val="24"/>
          <w:szCs w:val="24"/>
          <w14:ligatures w14:val="standardContextual"/>
        </w:rPr>
        <w:t>–</w:t>
      </w:r>
      <w:r w:rsidRPr="005D3D6B">
        <w:rPr>
          <w:rFonts w:ascii="Garamond" w:eastAsiaTheme="minorHAnsi" w:hAnsi="Garamond"/>
          <w:color w:val="000000"/>
          <w:sz w:val="24"/>
          <w:szCs w:val="24"/>
          <w14:ligatures w14:val="standardContextual"/>
        </w:rPr>
        <w:t xml:space="preserve"> dhe, së dyti, të konstatohej një mospërputhje prej 1,760,497 lekësh gjatë atyre viteve. KPA</w:t>
      </w:r>
      <w:r w:rsidR="005D3D6B">
        <w:rPr>
          <w:rFonts w:ascii="Garamond" w:eastAsiaTheme="minorHAnsi" w:hAnsi="Garamond"/>
          <w:color w:val="000000"/>
          <w:sz w:val="24"/>
          <w:szCs w:val="24"/>
          <w14:ligatures w14:val="standardContextual"/>
        </w:rPr>
        <w:t>-ja</w:t>
      </w:r>
      <w:r w:rsidRPr="005D3D6B">
        <w:rPr>
          <w:rFonts w:ascii="Garamond" w:eastAsiaTheme="minorHAnsi" w:hAnsi="Garamond"/>
          <w:color w:val="000000"/>
          <w:sz w:val="24"/>
          <w:szCs w:val="24"/>
          <w14:ligatures w14:val="standardContextual"/>
        </w:rPr>
        <w:t xml:space="preserve"> nuk citoi asnjë provë tjetër për konstatimin se shumat e kursimeve në vitet 2011 dhe 2013, në fakt, nuk ishin përdorur për pagesën e këstit të borxhit, duke u mbështetur, në vend të kësaj, në një lexim mjaft formal të deklaratave të mëparshme të pasurisë si bazë e vetme për përfundimin e saj.</w:t>
      </w:r>
    </w:p>
    <w:p w14:paraId="51FE22C7" w14:textId="494F0A0B"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17. Si rezultat, mospërputhja e identifikuar nuk ishte për shkak të ndonjë pasurie ose shpenzimi të pajustifikuar, por thjesht për shkak të mënyrës se si kursimet në para në dorë (</w:t>
      </w:r>
      <w:proofErr w:type="spellStart"/>
      <w:r w:rsidRPr="005D3D6B">
        <w:rPr>
          <w:rFonts w:ascii="Garamond" w:eastAsiaTheme="minorHAnsi" w:hAnsi="Garamond"/>
          <w:i/>
          <w:iCs/>
          <w:color w:val="000000"/>
          <w:sz w:val="24"/>
          <w:szCs w:val="24"/>
          <w14:ligatures w14:val="standardContextual"/>
        </w:rPr>
        <w:t>cash</w:t>
      </w:r>
      <w:proofErr w:type="spellEnd"/>
      <w:r w:rsidRPr="005D3D6B">
        <w:rPr>
          <w:rFonts w:ascii="Garamond" w:eastAsiaTheme="minorHAnsi" w:hAnsi="Garamond"/>
          <w:color w:val="000000"/>
          <w:sz w:val="24"/>
          <w:szCs w:val="24"/>
          <w14:ligatures w14:val="standardContextual"/>
        </w:rPr>
        <w:t xml:space="preserve">) ishin </w:t>
      </w:r>
      <w:r w:rsidRPr="005D3D6B">
        <w:rPr>
          <w:rFonts w:ascii="Garamond" w:eastAsiaTheme="minorHAnsi" w:hAnsi="Garamond"/>
          <w:color w:val="000000"/>
          <w:sz w:val="24"/>
          <w:szCs w:val="24"/>
          <w14:ligatures w14:val="standardContextual"/>
        </w:rPr>
        <w:lastRenderedPageBreak/>
        <w:t>reflektuar në deklaratat vjetore të pasurisë, të cilat kërkuesi argumentoi se kishin qenë rezultat i një keqkuptimi të sinqertë të formaliteteve përkatëse. Një krahasim me deklaratën e kërkuesit të vitit 2009 nuk zbulon, në këtë drejtim, ndonjë tregues të qartë të keqbesimit nga ana e tij.</w:t>
      </w:r>
    </w:p>
    <w:p w14:paraId="1D890A08" w14:textId="783A03B3"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18. Së fundmi, Gjykata e konsideron po aq të rëndësishme që e njëjta situatë financiare për familjen në tërësi çoi në një rezultat të ndryshëm në rivlerësimin kalimtar të bashkëshortes së kërkuesit, e cila u konfirmua në detyrë. Autoritetet kombëtare nuk dhanë asnjë shpjegim bindës për një diferencë të tillë në trajtim, duke pasur parasysh ndikimin shumë të rëndësishëm në karrierat e tyre përkatëse.</w:t>
      </w:r>
    </w:p>
    <w:p w14:paraId="2D52914D" w14:textId="5971A1DE"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 xml:space="preserve">19. Duke pasur parasysh sa më sipër, Gjykata vlerëson, në bazë të një vlerësimi të përgjithshëm të rrethanave të veçanta të çështjes, se shkarkimi i kërkuesit ishte </w:t>
      </w:r>
      <w:proofErr w:type="spellStart"/>
      <w:r w:rsidRPr="005D3D6B">
        <w:rPr>
          <w:rFonts w:ascii="Garamond" w:eastAsiaTheme="minorHAnsi" w:hAnsi="Garamond"/>
          <w:color w:val="000000"/>
          <w:sz w:val="24"/>
          <w:szCs w:val="24"/>
          <w14:ligatures w14:val="standardContextual"/>
        </w:rPr>
        <w:t>joproporcional</w:t>
      </w:r>
      <w:proofErr w:type="spellEnd"/>
      <w:r w:rsidRPr="005D3D6B">
        <w:rPr>
          <w:rFonts w:ascii="Garamond" w:eastAsiaTheme="minorHAnsi" w:hAnsi="Garamond"/>
          <w:color w:val="000000"/>
          <w:sz w:val="24"/>
          <w:szCs w:val="24"/>
          <w14:ligatures w14:val="standardContextual"/>
        </w:rPr>
        <w:t xml:space="preserve"> me qëllimet legjitime të ndjekura nga procesi i rivlerësimit kalimtar (krahaso </w:t>
      </w:r>
      <w:proofErr w:type="spellStart"/>
      <w:r w:rsidRPr="005D3D6B">
        <w:rPr>
          <w:rFonts w:ascii="Garamond" w:eastAsiaTheme="minorHAnsi" w:hAnsi="Garamond"/>
          <w:i/>
          <w:iCs/>
          <w:color w:val="000000"/>
          <w:sz w:val="24"/>
          <w:szCs w:val="24"/>
          <w14:ligatures w14:val="standardContextual"/>
        </w:rPr>
        <w:t>Sevdari</w:t>
      </w:r>
      <w:proofErr w:type="spellEnd"/>
      <w:r w:rsidRPr="005D3D6B">
        <w:rPr>
          <w:rFonts w:ascii="Garamond" w:eastAsiaTheme="minorHAnsi" w:hAnsi="Garamond"/>
          <w:color w:val="000000"/>
          <w:sz w:val="24"/>
          <w:szCs w:val="24"/>
          <w14:ligatures w14:val="standardContextual"/>
        </w:rPr>
        <w:t>, cituar më sipër, § 96).</w:t>
      </w:r>
    </w:p>
    <w:p w14:paraId="539CF9E2" w14:textId="19FDCFEF"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 xml:space="preserve">20. Për këtë arsye, ka pasur një shkelje të </w:t>
      </w:r>
      <w:r w:rsidR="00A12B12">
        <w:rPr>
          <w:rFonts w:ascii="Garamond" w:eastAsiaTheme="minorHAnsi" w:hAnsi="Garamond"/>
          <w:color w:val="000000"/>
          <w:sz w:val="24"/>
          <w:szCs w:val="24"/>
          <w14:ligatures w14:val="standardContextual"/>
        </w:rPr>
        <w:t>n</w:t>
      </w:r>
      <w:r w:rsidRPr="005D3D6B">
        <w:rPr>
          <w:rFonts w:ascii="Garamond" w:eastAsiaTheme="minorHAnsi" w:hAnsi="Garamond"/>
          <w:color w:val="000000"/>
          <w:sz w:val="24"/>
          <w:szCs w:val="24"/>
          <w14:ligatures w14:val="standardContextual"/>
        </w:rPr>
        <w:t>enit 8 të Konventës.</w:t>
      </w:r>
    </w:p>
    <w:p w14:paraId="3C95BDA5" w14:textId="1FF4AA22" w:rsidR="00CB4E13" w:rsidRPr="005D3D6B" w:rsidRDefault="00CB4E13" w:rsidP="00CB4E13">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 xml:space="preserve"> ZBATIMI I NENEVE 41 DHE 46 TË KONVENTËS</w:t>
      </w:r>
    </w:p>
    <w:p w14:paraId="2B114999" w14:textId="6AC6D281" w:rsidR="00CB4E13" w:rsidRPr="005D3D6B" w:rsidRDefault="00CB4E13" w:rsidP="00CB4E13">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21. Kërkuesi kërkoi 50,000 euro (EUR)</w:t>
      </w:r>
      <w:r w:rsidR="00A12B12">
        <w:rPr>
          <w:rFonts w:ascii="Garamond" w:eastAsiaTheme="minorHAnsi" w:hAnsi="Garamond"/>
          <w:color w:val="000000"/>
          <w:sz w:val="24"/>
          <w:szCs w:val="24"/>
          <w14:ligatures w14:val="standardContextual"/>
        </w:rPr>
        <w:t>,</w:t>
      </w:r>
      <w:r w:rsidRPr="005D3D6B">
        <w:rPr>
          <w:rFonts w:ascii="Garamond" w:eastAsiaTheme="minorHAnsi" w:hAnsi="Garamond"/>
          <w:color w:val="000000"/>
          <w:sz w:val="24"/>
          <w:szCs w:val="24"/>
          <w14:ligatures w14:val="standardContextual"/>
        </w:rPr>
        <w:t xml:space="preserve"> në lidhje me dëmin </w:t>
      </w:r>
      <w:proofErr w:type="spellStart"/>
      <w:r w:rsidRPr="005D3D6B">
        <w:rPr>
          <w:rFonts w:ascii="Garamond" w:eastAsiaTheme="minorHAnsi" w:hAnsi="Garamond"/>
          <w:color w:val="000000"/>
          <w:sz w:val="24"/>
          <w:szCs w:val="24"/>
          <w14:ligatures w14:val="standardContextual"/>
        </w:rPr>
        <w:t>jopasuror</w:t>
      </w:r>
      <w:proofErr w:type="spellEnd"/>
      <w:r w:rsidRPr="005D3D6B">
        <w:rPr>
          <w:rFonts w:ascii="Garamond" w:eastAsiaTheme="minorHAnsi" w:hAnsi="Garamond"/>
          <w:color w:val="000000"/>
          <w:sz w:val="24"/>
          <w:szCs w:val="24"/>
          <w14:ligatures w14:val="standardContextual"/>
        </w:rPr>
        <w:t>. Ai kërkoi edhe 10,400 euro të tjera</w:t>
      </w:r>
      <w:r w:rsidR="00A12B12">
        <w:rPr>
          <w:rFonts w:ascii="Garamond" w:eastAsiaTheme="minorHAnsi" w:hAnsi="Garamond"/>
          <w:color w:val="000000"/>
          <w:sz w:val="24"/>
          <w:szCs w:val="24"/>
          <w14:ligatures w14:val="standardContextual"/>
        </w:rPr>
        <w:t>,</w:t>
      </w:r>
      <w:r w:rsidRPr="005D3D6B">
        <w:rPr>
          <w:rFonts w:ascii="Garamond" w:eastAsiaTheme="minorHAnsi" w:hAnsi="Garamond"/>
          <w:color w:val="000000"/>
          <w:sz w:val="24"/>
          <w:szCs w:val="24"/>
          <w14:ligatures w14:val="standardContextual"/>
        </w:rPr>
        <w:t xml:space="preserve"> në lidhje me kostot dhe shpenzimet ligjore të bëra para Gjykatës.</w:t>
      </w:r>
    </w:p>
    <w:p w14:paraId="51414C32" w14:textId="57FD666B" w:rsidR="00CB4E13" w:rsidRPr="005D3D6B" w:rsidRDefault="00CB4E13" w:rsidP="00CB4E13">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22. Qeveria i kundërshtoi pretendimet.</w:t>
      </w:r>
    </w:p>
    <w:p w14:paraId="5114FD4B" w14:textId="68868DD4" w:rsidR="00CB4E13" w:rsidRPr="005D3D6B" w:rsidRDefault="00CB4E13" w:rsidP="00CB4E13">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23. Gjykata i akordon kërkuesit 6,000 euro</w:t>
      </w:r>
      <w:r w:rsidR="00A12B12">
        <w:rPr>
          <w:rFonts w:ascii="Garamond" w:eastAsiaTheme="minorHAnsi" w:hAnsi="Garamond"/>
          <w:color w:val="000000"/>
          <w:sz w:val="24"/>
          <w:szCs w:val="24"/>
          <w14:ligatures w14:val="standardContextual"/>
        </w:rPr>
        <w:t>,</w:t>
      </w:r>
      <w:r w:rsidRPr="005D3D6B">
        <w:rPr>
          <w:rFonts w:ascii="Garamond" w:eastAsiaTheme="minorHAnsi" w:hAnsi="Garamond"/>
          <w:color w:val="000000"/>
          <w:sz w:val="24"/>
          <w:szCs w:val="24"/>
          <w14:ligatures w14:val="standardContextual"/>
        </w:rPr>
        <w:t xml:space="preserve"> në lidhje me dëmin </w:t>
      </w:r>
      <w:proofErr w:type="spellStart"/>
      <w:r w:rsidRPr="005D3D6B">
        <w:rPr>
          <w:rFonts w:ascii="Garamond" w:eastAsiaTheme="minorHAnsi" w:hAnsi="Garamond"/>
          <w:color w:val="000000"/>
          <w:sz w:val="24"/>
          <w:szCs w:val="24"/>
          <w14:ligatures w14:val="standardContextual"/>
        </w:rPr>
        <w:t>jopasuror</w:t>
      </w:r>
      <w:proofErr w:type="spellEnd"/>
      <w:r w:rsidRPr="005D3D6B">
        <w:rPr>
          <w:rFonts w:ascii="Garamond" w:eastAsiaTheme="minorHAnsi" w:hAnsi="Garamond"/>
          <w:color w:val="000000"/>
          <w:sz w:val="24"/>
          <w:szCs w:val="24"/>
          <w14:ligatures w14:val="standardContextual"/>
        </w:rPr>
        <w:t xml:space="preserve">, plus çdo taksë që mund të </w:t>
      </w:r>
      <w:proofErr w:type="spellStart"/>
      <w:r w:rsidRPr="005D3D6B">
        <w:rPr>
          <w:rFonts w:ascii="Garamond" w:eastAsiaTheme="minorHAnsi" w:hAnsi="Garamond"/>
          <w:color w:val="000000"/>
          <w:sz w:val="24"/>
          <w:szCs w:val="24"/>
          <w14:ligatures w14:val="standardContextual"/>
        </w:rPr>
        <w:t>tarifohet</w:t>
      </w:r>
      <w:proofErr w:type="spellEnd"/>
      <w:r w:rsidRPr="005D3D6B">
        <w:rPr>
          <w:rFonts w:ascii="Garamond" w:eastAsiaTheme="minorHAnsi" w:hAnsi="Garamond"/>
          <w:color w:val="000000"/>
          <w:sz w:val="24"/>
          <w:szCs w:val="24"/>
          <w14:ligatures w14:val="standardContextual"/>
        </w:rPr>
        <w:t>.</w:t>
      </w:r>
    </w:p>
    <w:p w14:paraId="2D460C00" w14:textId="465225A5" w:rsidR="00CB4E13" w:rsidRPr="005D3D6B" w:rsidRDefault="00CB4E13" w:rsidP="00CB4E13">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 xml:space="preserve">24. Duke pasur parasysh dokumentet në zotërim të saj, Gjykata e konsideron të arsyeshme të akordojë 5,000 euro për mbulimin e shpenzimeve për procedurat para Gjykatës, plus çdo taksë që mund t’i </w:t>
      </w:r>
      <w:proofErr w:type="spellStart"/>
      <w:r w:rsidRPr="005D3D6B">
        <w:rPr>
          <w:rFonts w:ascii="Garamond" w:eastAsiaTheme="minorHAnsi" w:hAnsi="Garamond"/>
          <w:color w:val="000000"/>
          <w:sz w:val="24"/>
          <w:szCs w:val="24"/>
          <w14:ligatures w14:val="standardContextual"/>
        </w:rPr>
        <w:t>tarifohet</w:t>
      </w:r>
      <w:proofErr w:type="spellEnd"/>
      <w:r w:rsidRPr="005D3D6B">
        <w:rPr>
          <w:rFonts w:ascii="Garamond" w:eastAsiaTheme="minorHAnsi" w:hAnsi="Garamond"/>
          <w:color w:val="000000"/>
          <w:sz w:val="24"/>
          <w:szCs w:val="24"/>
          <w14:ligatures w14:val="standardContextual"/>
        </w:rPr>
        <w:t xml:space="preserve"> kërkuesit.</w:t>
      </w:r>
    </w:p>
    <w:p w14:paraId="73472919" w14:textId="25D2C008" w:rsidR="00CB4E13" w:rsidRPr="005D3D6B" w:rsidRDefault="00CB4E13" w:rsidP="00CB4E13">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25. Kërkuesi</w:t>
      </w:r>
      <w:r w:rsidR="00A12B12">
        <w:rPr>
          <w:rFonts w:ascii="Garamond" w:eastAsiaTheme="minorHAnsi" w:hAnsi="Garamond"/>
          <w:color w:val="000000"/>
          <w:sz w:val="24"/>
          <w:szCs w:val="24"/>
          <w14:ligatures w14:val="standardContextual"/>
        </w:rPr>
        <w:t>,</w:t>
      </w:r>
      <w:r w:rsidRPr="005D3D6B">
        <w:rPr>
          <w:rFonts w:ascii="Garamond" w:eastAsiaTheme="minorHAnsi" w:hAnsi="Garamond"/>
          <w:color w:val="000000"/>
          <w:sz w:val="24"/>
          <w:szCs w:val="24"/>
          <w14:ligatures w14:val="standardContextual"/>
        </w:rPr>
        <w:t xml:space="preserve"> gjithashtu</w:t>
      </w:r>
      <w:r w:rsidR="00A12B12">
        <w:rPr>
          <w:rFonts w:ascii="Garamond" w:eastAsiaTheme="minorHAnsi" w:hAnsi="Garamond"/>
          <w:color w:val="000000"/>
          <w:sz w:val="24"/>
          <w:szCs w:val="24"/>
          <w14:ligatures w14:val="standardContextual"/>
        </w:rPr>
        <w:t>,</w:t>
      </w:r>
      <w:r w:rsidRPr="005D3D6B">
        <w:rPr>
          <w:rFonts w:ascii="Garamond" w:eastAsiaTheme="minorHAnsi" w:hAnsi="Garamond"/>
          <w:color w:val="000000"/>
          <w:sz w:val="24"/>
          <w:szCs w:val="24"/>
          <w14:ligatures w14:val="standardContextual"/>
        </w:rPr>
        <w:t xml:space="preserve"> parashtroi, duke iu referuar </w:t>
      </w:r>
      <w:r w:rsidR="00A12B12">
        <w:rPr>
          <w:rFonts w:ascii="Garamond" w:eastAsiaTheme="minorHAnsi" w:hAnsi="Garamond"/>
          <w:color w:val="000000"/>
          <w:sz w:val="24"/>
          <w:szCs w:val="24"/>
          <w14:ligatures w14:val="standardContextual"/>
        </w:rPr>
        <w:t>n</w:t>
      </w:r>
      <w:r w:rsidRPr="005D3D6B">
        <w:rPr>
          <w:rFonts w:ascii="Garamond" w:eastAsiaTheme="minorHAnsi" w:hAnsi="Garamond"/>
          <w:color w:val="000000"/>
          <w:sz w:val="24"/>
          <w:szCs w:val="24"/>
          <w14:ligatures w14:val="standardContextual"/>
        </w:rPr>
        <w:t xml:space="preserve">enit 46 § 1 të Konventës, se </w:t>
      </w:r>
      <w:r w:rsidR="00A12B12">
        <w:rPr>
          <w:rFonts w:ascii="Garamond" w:eastAsiaTheme="minorHAnsi" w:hAnsi="Garamond"/>
          <w:color w:val="000000"/>
          <w:sz w:val="24"/>
          <w:szCs w:val="24"/>
          <w14:ligatures w14:val="standardContextual"/>
        </w:rPr>
        <w:t>s</w:t>
      </w:r>
      <w:r w:rsidRPr="005D3D6B">
        <w:rPr>
          <w:rFonts w:ascii="Garamond" w:eastAsiaTheme="minorHAnsi" w:hAnsi="Garamond"/>
          <w:color w:val="000000"/>
          <w:sz w:val="24"/>
          <w:szCs w:val="24"/>
          <w14:ligatures w14:val="standardContextual"/>
        </w:rPr>
        <w:t>hteti i paditur duhet të urdhërohet të sigurojë rikthimin e tij në detyrë si prokuror ose, si alternativë, të rihapë procedurat e brendshme.</w:t>
      </w:r>
    </w:p>
    <w:p w14:paraId="0C00A0C4" w14:textId="6F2BE21F" w:rsidR="00CB4E13" w:rsidRPr="005D3D6B" w:rsidRDefault="00CB4E13" w:rsidP="00CB4E13">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26. Qeveria nuk u pajtua.</w:t>
      </w:r>
    </w:p>
    <w:p w14:paraId="0F243C46" w14:textId="640ECD46" w:rsidR="00CB4E13" w:rsidRPr="005D3D6B" w:rsidRDefault="00CB4E13" w:rsidP="00CB4E13">
      <w:pPr>
        <w:tabs>
          <w:tab w:val="left" w:pos="560"/>
          <w:tab w:val="left" w:pos="70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 xml:space="preserve">27. Gjykata ka konstatuar një shkelje të </w:t>
      </w:r>
      <w:r w:rsidR="00A12B12">
        <w:rPr>
          <w:rFonts w:ascii="Garamond" w:eastAsiaTheme="minorHAnsi" w:hAnsi="Garamond"/>
          <w:color w:val="000000"/>
          <w:sz w:val="24"/>
          <w:szCs w:val="24"/>
          <w14:ligatures w14:val="standardContextual"/>
        </w:rPr>
        <w:t>n</w:t>
      </w:r>
      <w:r w:rsidRPr="005D3D6B">
        <w:rPr>
          <w:rFonts w:ascii="Garamond" w:eastAsiaTheme="minorHAnsi" w:hAnsi="Garamond"/>
          <w:color w:val="000000"/>
          <w:sz w:val="24"/>
          <w:szCs w:val="24"/>
          <w14:ligatures w14:val="standardContextual"/>
        </w:rPr>
        <w:t xml:space="preserve">enit 8 sepse shkarkimi i kërkuesit nuk u konstatua të ishte në përpjesëtim me qëllimet legjitime të ndjekura. Në një kontekst të ngjashëm, Gjykata ka treguar se rihapja e procedurave të rivlerësimit kalimtar do të ishte e përshtatshme (shih </w:t>
      </w:r>
      <w:proofErr w:type="spellStart"/>
      <w:r w:rsidRPr="005D3D6B">
        <w:rPr>
          <w:rFonts w:ascii="Garamond" w:eastAsiaTheme="minorHAnsi" w:hAnsi="Garamond"/>
          <w:i/>
          <w:iCs/>
          <w:color w:val="000000"/>
          <w:sz w:val="24"/>
          <w:szCs w:val="24"/>
          <w14:ligatures w14:val="standardContextual"/>
        </w:rPr>
        <w:t>Sevdari</w:t>
      </w:r>
      <w:proofErr w:type="spellEnd"/>
      <w:r w:rsidRPr="005D3D6B">
        <w:rPr>
          <w:rFonts w:ascii="Garamond" w:eastAsiaTheme="minorHAnsi" w:hAnsi="Garamond"/>
          <w:color w:val="000000"/>
          <w:sz w:val="24"/>
          <w:szCs w:val="24"/>
          <w14:ligatures w14:val="standardContextual"/>
        </w:rPr>
        <w:t>, cituar më sipër, §§ 144</w:t>
      </w:r>
      <w:r w:rsidR="00A12B12">
        <w:rPr>
          <w:rFonts w:ascii="Garamond" w:eastAsiaTheme="minorHAnsi" w:hAnsi="Garamond"/>
          <w:color w:val="000000"/>
          <w:sz w:val="24"/>
          <w:szCs w:val="24"/>
          <w14:ligatures w14:val="standardContextual"/>
        </w:rPr>
        <w:t>–</w:t>
      </w:r>
      <w:r w:rsidRPr="005D3D6B">
        <w:rPr>
          <w:rFonts w:ascii="Garamond" w:eastAsiaTheme="minorHAnsi" w:hAnsi="Garamond"/>
          <w:color w:val="000000"/>
          <w:sz w:val="24"/>
          <w:szCs w:val="24"/>
          <w14:ligatures w14:val="standardContextual"/>
        </w:rPr>
        <w:t>45, dhe Rezolutën CM/</w:t>
      </w:r>
      <w:proofErr w:type="spellStart"/>
      <w:r w:rsidRPr="005D3D6B">
        <w:rPr>
          <w:rFonts w:ascii="Garamond" w:eastAsiaTheme="minorHAnsi" w:hAnsi="Garamond"/>
          <w:color w:val="000000"/>
          <w:sz w:val="24"/>
          <w:szCs w:val="24"/>
          <w14:ligatures w14:val="standardContextual"/>
        </w:rPr>
        <w:t>ResDH</w:t>
      </w:r>
      <w:proofErr w:type="spellEnd"/>
      <w:r w:rsidRPr="005D3D6B">
        <w:rPr>
          <w:rFonts w:ascii="Garamond" w:eastAsiaTheme="minorHAnsi" w:hAnsi="Garamond"/>
          <w:color w:val="000000"/>
          <w:sz w:val="24"/>
          <w:szCs w:val="24"/>
          <w14:ligatures w14:val="standardContextual"/>
        </w:rPr>
        <w:t>(2024)212). KPK</w:t>
      </w:r>
      <w:r w:rsidR="00A12B12">
        <w:rPr>
          <w:rFonts w:ascii="Garamond" w:eastAsiaTheme="minorHAnsi" w:hAnsi="Garamond"/>
          <w:color w:val="000000"/>
          <w:sz w:val="24"/>
          <w:szCs w:val="24"/>
          <w14:ligatures w14:val="standardContextual"/>
        </w:rPr>
        <w:t>-ja</w:t>
      </w:r>
      <w:r w:rsidRPr="005D3D6B">
        <w:rPr>
          <w:rFonts w:ascii="Garamond" w:eastAsiaTheme="minorHAnsi" w:hAnsi="Garamond"/>
          <w:color w:val="000000"/>
          <w:sz w:val="24"/>
          <w:szCs w:val="24"/>
          <w14:ligatures w14:val="standardContextual"/>
        </w:rPr>
        <w:t xml:space="preserve"> ka përfunduar mandatin e saj, dhe KPA</w:t>
      </w:r>
      <w:r w:rsidR="00A12B12">
        <w:rPr>
          <w:rFonts w:ascii="Garamond" w:eastAsiaTheme="minorHAnsi" w:hAnsi="Garamond"/>
          <w:color w:val="000000"/>
          <w:sz w:val="24"/>
          <w:szCs w:val="24"/>
          <w14:ligatures w14:val="standardContextual"/>
        </w:rPr>
        <w:t>-ja</w:t>
      </w:r>
      <w:r w:rsidRPr="005D3D6B">
        <w:rPr>
          <w:rFonts w:ascii="Garamond" w:eastAsiaTheme="minorHAnsi" w:hAnsi="Garamond"/>
          <w:color w:val="000000"/>
          <w:sz w:val="24"/>
          <w:szCs w:val="24"/>
          <w14:ligatures w14:val="standardContextual"/>
        </w:rPr>
        <w:t xml:space="preserve"> do ta përfundojë atë gjatë vitit 2026. Neni 179/b § 8 i Kushtetutës së Shqipërisë rregullon trajtimin e procedurave të mbetura pezull ose të pazgjidhura pas përfundimit të këtyre mandateve. Nëse kërkuesi e kërkon këtë, do të ishte e përshtatshme të rihapen procedurat dhe të rishqyrtohet çështja në përputhje me kërkesat e </w:t>
      </w:r>
      <w:r w:rsidR="00A12B12">
        <w:rPr>
          <w:rFonts w:ascii="Garamond" w:eastAsiaTheme="minorHAnsi" w:hAnsi="Garamond"/>
          <w:color w:val="000000"/>
          <w:sz w:val="24"/>
          <w:szCs w:val="24"/>
          <w14:ligatures w14:val="standardContextual"/>
        </w:rPr>
        <w:t>n</w:t>
      </w:r>
      <w:r w:rsidRPr="005D3D6B">
        <w:rPr>
          <w:rFonts w:ascii="Garamond" w:eastAsiaTheme="minorHAnsi" w:hAnsi="Garamond"/>
          <w:color w:val="000000"/>
          <w:sz w:val="24"/>
          <w:szCs w:val="24"/>
          <w14:ligatures w14:val="standardContextual"/>
        </w:rPr>
        <w:t>enit 8, siç përcaktohet në këtë vendim.</w:t>
      </w:r>
    </w:p>
    <w:p w14:paraId="4BB1BF7F" w14:textId="5D114F18" w:rsidR="00CB4E13" w:rsidRPr="005D3D6B" w:rsidRDefault="00CB4E13" w:rsidP="00CB4E13">
      <w:pPr>
        <w:tabs>
          <w:tab w:val="left" w:pos="560"/>
          <w:tab w:val="left" w:pos="70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 xml:space="preserve"> PËR KËTO ARSYE, NË MËNYRË UNANIME, GJYKATA</w:t>
      </w:r>
      <w:r w:rsidR="00A12B12">
        <w:rPr>
          <w:rFonts w:ascii="Garamond" w:eastAsiaTheme="minorHAnsi" w:hAnsi="Garamond"/>
          <w:color w:val="000000"/>
          <w:sz w:val="24"/>
          <w:szCs w:val="24"/>
          <w14:ligatures w14:val="standardContextual"/>
        </w:rPr>
        <w:t>:</w:t>
      </w:r>
    </w:p>
    <w:p w14:paraId="5A743FDA" w14:textId="7C1434D7" w:rsidR="00CB4E13" w:rsidRPr="005D3D6B" w:rsidRDefault="00CB4E13" w:rsidP="00CB4E13">
      <w:pPr>
        <w:tabs>
          <w:tab w:val="left" w:pos="560"/>
          <w:tab w:val="left" w:pos="70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i/>
          <w:iCs/>
          <w:color w:val="000000"/>
          <w:sz w:val="24"/>
          <w:szCs w:val="24"/>
          <w14:ligatures w14:val="standardContextual"/>
        </w:rPr>
        <w:t xml:space="preserve">1. E shpall </w:t>
      </w:r>
      <w:r w:rsidRPr="005D3D6B">
        <w:rPr>
          <w:rFonts w:ascii="Garamond" w:eastAsiaTheme="minorHAnsi" w:hAnsi="Garamond"/>
          <w:color w:val="000000"/>
          <w:sz w:val="24"/>
          <w:szCs w:val="24"/>
          <w14:ligatures w14:val="standardContextual"/>
        </w:rPr>
        <w:t>të pranueshme</w:t>
      </w:r>
      <w:r w:rsidRPr="005D3D6B">
        <w:rPr>
          <w:rFonts w:ascii="Garamond" w:eastAsiaTheme="minorHAnsi" w:hAnsi="Garamond"/>
          <w:i/>
          <w:iCs/>
          <w:color w:val="000000"/>
          <w:sz w:val="24"/>
          <w:szCs w:val="24"/>
          <w14:ligatures w14:val="standardContextual"/>
        </w:rPr>
        <w:t xml:space="preserve"> </w:t>
      </w:r>
      <w:r w:rsidRPr="005D3D6B">
        <w:rPr>
          <w:rFonts w:ascii="Garamond" w:eastAsiaTheme="minorHAnsi" w:hAnsi="Garamond"/>
          <w:color w:val="000000"/>
          <w:sz w:val="24"/>
          <w:szCs w:val="24"/>
          <w14:ligatures w14:val="standardContextual"/>
        </w:rPr>
        <w:t>ankesën</w:t>
      </w:r>
      <w:r w:rsidR="00A12B12">
        <w:rPr>
          <w:rFonts w:ascii="Garamond" w:eastAsiaTheme="minorHAnsi" w:hAnsi="Garamond"/>
          <w:color w:val="000000"/>
          <w:sz w:val="24"/>
          <w:szCs w:val="24"/>
          <w14:ligatures w14:val="standardContextual"/>
        </w:rPr>
        <w:t>,</w:t>
      </w:r>
      <w:r w:rsidRPr="005D3D6B">
        <w:rPr>
          <w:rFonts w:ascii="Garamond" w:eastAsiaTheme="minorHAnsi" w:hAnsi="Garamond"/>
          <w:color w:val="000000"/>
          <w:sz w:val="24"/>
          <w:szCs w:val="24"/>
          <w14:ligatures w14:val="standardContextual"/>
        </w:rPr>
        <w:t xml:space="preserve"> në lidhje me shkarkimin e kërkuesit; </w:t>
      </w:r>
    </w:p>
    <w:p w14:paraId="199BBF37" w14:textId="522DFEFF" w:rsidR="00CB4E13" w:rsidRPr="005D3D6B" w:rsidRDefault="00CB4E13" w:rsidP="00CB4E13">
      <w:pPr>
        <w:tabs>
          <w:tab w:val="left" w:pos="560"/>
          <w:tab w:val="left" w:pos="70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i/>
          <w:iCs/>
          <w:color w:val="000000"/>
          <w:sz w:val="24"/>
          <w:szCs w:val="24"/>
          <w14:ligatures w14:val="standardContextual"/>
        </w:rPr>
        <w:t xml:space="preserve">2. Gjykon </w:t>
      </w:r>
      <w:r w:rsidRPr="005D3D6B">
        <w:rPr>
          <w:rFonts w:ascii="Garamond" w:eastAsiaTheme="minorHAnsi" w:hAnsi="Garamond"/>
          <w:color w:val="000000"/>
          <w:sz w:val="24"/>
          <w:szCs w:val="24"/>
          <w14:ligatures w14:val="standardContextual"/>
        </w:rPr>
        <w:t xml:space="preserve">se është shkelur </w:t>
      </w:r>
      <w:r w:rsidR="00A12B12">
        <w:rPr>
          <w:rFonts w:ascii="Garamond" w:eastAsiaTheme="minorHAnsi" w:hAnsi="Garamond"/>
          <w:color w:val="000000"/>
          <w:sz w:val="24"/>
          <w:szCs w:val="24"/>
          <w14:ligatures w14:val="standardContextual"/>
        </w:rPr>
        <w:t>n</w:t>
      </w:r>
      <w:r w:rsidRPr="005D3D6B">
        <w:rPr>
          <w:rFonts w:ascii="Garamond" w:eastAsiaTheme="minorHAnsi" w:hAnsi="Garamond"/>
          <w:color w:val="000000"/>
          <w:sz w:val="24"/>
          <w:szCs w:val="24"/>
          <w14:ligatures w14:val="standardContextual"/>
        </w:rPr>
        <w:t>enit 8 i Konventës;</w:t>
      </w:r>
    </w:p>
    <w:p w14:paraId="25E89CE2" w14:textId="15DFAFB7" w:rsidR="00CB4E13" w:rsidRPr="005D3D6B" w:rsidRDefault="00A12B12" w:rsidP="00CB4E13">
      <w:pPr>
        <w:tabs>
          <w:tab w:val="left" w:pos="560"/>
          <w:tab w:val="left" w:pos="70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Pr>
          <w:rFonts w:ascii="Garamond" w:eastAsiaTheme="minorHAnsi" w:hAnsi="Garamond"/>
          <w:i/>
          <w:iCs/>
          <w:color w:val="000000"/>
          <w:sz w:val="24"/>
          <w:szCs w:val="24"/>
          <w14:ligatures w14:val="standardContextual"/>
        </w:rPr>
        <w:t>3. Gjykon:</w:t>
      </w:r>
    </w:p>
    <w:p w14:paraId="67D760A4" w14:textId="28256C57" w:rsidR="00CB4E13" w:rsidRPr="005D3D6B" w:rsidRDefault="00CB4E13" w:rsidP="00CB4E13">
      <w:pPr>
        <w:tabs>
          <w:tab w:val="left" w:pos="560"/>
          <w:tab w:val="left" w:pos="70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 xml:space="preserve">a) se </w:t>
      </w:r>
      <w:r w:rsidR="00A12B12">
        <w:rPr>
          <w:rFonts w:ascii="Garamond" w:eastAsiaTheme="minorHAnsi" w:hAnsi="Garamond"/>
          <w:color w:val="000000"/>
          <w:sz w:val="24"/>
          <w:szCs w:val="24"/>
          <w14:ligatures w14:val="standardContextual"/>
        </w:rPr>
        <w:t>s</w:t>
      </w:r>
      <w:r w:rsidRPr="005D3D6B">
        <w:rPr>
          <w:rFonts w:ascii="Garamond" w:eastAsiaTheme="minorHAnsi" w:hAnsi="Garamond"/>
          <w:color w:val="000000"/>
          <w:sz w:val="24"/>
          <w:szCs w:val="24"/>
          <w14:ligatures w14:val="standardContextual"/>
        </w:rPr>
        <w:t xml:space="preserve">hteti i paditur duhet t’i paguajë kërkuesit, brenda tre muajve, shumat e mëposhtme, të konvertuara në monedhën e </w:t>
      </w:r>
      <w:r w:rsidR="00A12B12">
        <w:rPr>
          <w:rFonts w:ascii="Garamond" w:eastAsiaTheme="minorHAnsi" w:hAnsi="Garamond"/>
          <w:color w:val="000000"/>
          <w:sz w:val="24"/>
          <w:szCs w:val="24"/>
          <w14:ligatures w14:val="standardContextual"/>
        </w:rPr>
        <w:t>s</w:t>
      </w:r>
      <w:r w:rsidRPr="005D3D6B">
        <w:rPr>
          <w:rFonts w:ascii="Garamond" w:eastAsiaTheme="minorHAnsi" w:hAnsi="Garamond"/>
          <w:color w:val="000000"/>
          <w:sz w:val="24"/>
          <w:szCs w:val="24"/>
          <w14:ligatures w14:val="standardContextual"/>
        </w:rPr>
        <w:t>htetit të paditur në normën e z</w:t>
      </w:r>
      <w:r w:rsidR="00A12B12">
        <w:rPr>
          <w:rFonts w:ascii="Garamond" w:eastAsiaTheme="minorHAnsi" w:hAnsi="Garamond"/>
          <w:color w:val="000000"/>
          <w:sz w:val="24"/>
          <w:szCs w:val="24"/>
          <w14:ligatures w14:val="standardContextual"/>
        </w:rPr>
        <w:t>batueshme në datën e shlyerjes;</w:t>
      </w:r>
    </w:p>
    <w:p w14:paraId="4CA36BEA" w14:textId="10EE030D" w:rsidR="00CB4E13" w:rsidRPr="005D3D6B" w:rsidRDefault="00A12B12" w:rsidP="00CB4E13">
      <w:pPr>
        <w:tabs>
          <w:tab w:val="left" w:pos="560"/>
          <w:tab w:val="left" w:pos="70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Pr>
          <w:rFonts w:ascii="Garamond" w:eastAsiaTheme="minorHAnsi" w:hAnsi="Garamond"/>
          <w:color w:val="000000"/>
          <w:sz w:val="24"/>
          <w:szCs w:val="24"/>
          <w14:ligatures w14:val="standardContextual"/>
        </w:rPr>
        <w:t>i.</w:t>
      </w:r>
      <w:r w:rsidR="00CB4E13" w:rsidRPr="005D3D6B">
        <w:rPr>
          <w:rFonts w:ascii="Garamond" w:eastAsiaTheme="minorHAnsi" w:hAnsi="Garamond"/>
          <w:color w:val="000000"/>
          <w:sz w:val="24"/>
          <w:szCs w:val="24"/>
          <w14:ligatures w14:val="standardContextual"/>
        </w:rPr>
        <w:t xml:space="preserve"> 6000 euro (gjashtë mijë euro), plus çdo taksë që mund të </w:t>
      </w:r>
      <w:proofErr w:type="spellStart"/>
      <w:r>
        <w:rPr>
          <w:rFonts w:ascii="Garamond" w:eastAsiaTheme="minorHAnsi" w:hAnsi="Garamond"/>
          <w:color w:val="000000"/>
          <w:sz w:val="24"/>
          <w:szCs w:val="24"/>
          <w14:ligatures w14:val="standardContextual"/>
        </w:rPr>
        <w:t>tarifohet</w:t>
      </w:r>
      <w:proofErr w:type="spellEnd"/>
      <w:r>
        <w:rPr>
          <w:rFonts w:ascii="Garamond" w:eastAsiaTheme="minorHAnsi" w:hAnsi="Garamond"/>
          <w:color w:val="000000"/>
          <w:sz w:val="24"/>
          <w:szCs w:val="24"/>
          <w14:ligatures w14:val="standardContextual"/>
        </w:rPr>
        <w:t xml:space="preserve">, për dëmin </w:t>
      </w:r>
      <w:proofErr w:type="spellStart"/>
      <w:r>
        <w:rPr>
          <w:rFonts w:ascii="Garamond" w:eastAsiaTheme="minorHAnsi" w:hAnsi="Garamond"/>
          <w:color w:val="000000"/>
          <w:sz w:val="24"/>
          <w:szCs w:val="24"/>
          <w14:ligatures w14:val="standardContextual"/>
        </w:rPr>
        <w:t>jopasuror</w:t>
      </w:r>
      <w:proofErr w:type="spellEnd"/>
      <w:r>
        <w:rPr>
          <w:rFonts w:ascii="Garamond" w:eastAsiaTheme="minorHAnsi" w:hAnsi="Garamond"/>
          <w:color w:val="000000"/>
          <w:sz w:val="24"/>
          <w:szCs w:val="24"/>
          <w14:ligatures w14:val="standardContextual"/>
        </w:rPr>
        <w:t>;</w:t>
      </w:r>
    </w:p>
    <w:p w14:paraId="346FBEE9" w14:textId="30B2C43B" w:rsidR="00CB4E13" w:rsidRPr="005D3D6B" w:rsidRDefault="00A12B12" w:rsidP="00CB4E13">
      <w:pPr>
        <w:tabs>
          <w:tab w:val="left" w:pos="560"/>
          <w:tab w:val="left" w:pos="70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proofErr w:type="spellStart"/>
      <w:r>
        <w:rPr>
          <w:rFonts w:ascii="Garamond" w:eastAsiaTheme="minorHAnsi" w:hAnsi="Garamond"/>
          <w:color w:val="000000"/>
          <w:sz w:val="24"/>
          <w:szCs w:val="24"/>
          <w14:ligatures w14:val="standardContextual"/>
        </w:rPr>
        <w:t>ii</w:t>
      </w:r>
      <w:proofErr w:type="spellEnd"/>
      <w:r>
        <w:rPr>
          <w:rFonts w:ascii="Garamond" w:eastAsiaTheme="minorHAnsi" w:hAnsi="Garamond"/>
          <w:color w:val="000000"/>
          <w:sz w:val="24"/>
          <w:szCs w:val="24"/>
          <w14:ligatures w14:val="standardContextual"/>
        </w:rPr>
        <w:t>.</w:t>
      </w:r>
      <w:r w:rsidR="00CB4E13" w:rsidRPr="005D3D6B">
        <w:rPr>
          <w:rFonts w:ascii="Garamond" w:eastAsiaTheme="minorHAnsi" w:hAnsi="Garamond"/>
          <w:color w:val="000000"/>
          <w:sz w:val="24"/>
          <w:szCs w:val="24"/>
          <w14:ligatures w14:val="standardContextual"/>
        </w:rPr>
        <w:t xml:space="preserve"> 5000 euro (pesë mijë euro), plus çdo taksë që mund t’i </w:t>
      </w:r>
      <w:proofErr w:type="spellStart"/>
      <w:r w:rsidR="00CB4E13" w:rsidRPr="005D3D6B">
        <w:rPr>
          <w:rFonts w:ascii="Garamond" w:eastAsiaTheme="minorHAnsi" w:hAnsi="Garamond"/>
          <w:color w:val="000000"/>
          <w:sz w:val="24"/>
          <w:szCs w:val="24"/>
          <w14:ligatures w14:val="standardContextual"/>
        </w:rPr>
        <w:t>tarifohet</w:t>
      </w:r>
      <w:proofErr w:type="spellEnd"/>
      <w:r w:rsidR="00CB4E13" w:rsidRPr="005D3D6B">
        <w:rPr>
          <w:rFonts w:ascii="Garamond" w:eastAsiaTheme="minorHAnsi" w:hAnsi="Garamond"/>
          <w:color w:val="000000"/>
          <w:sz w:val="24"/>
          <w:szCs w:val="24"/>
          <w14:ligatures w14:val="standardContextual"/>
        </w:rPr>
        <w:t xml:space="preserve"> kërkuesit, për kostot dhe shpenzimet;</w:t>
      </w:r>
    </w:p>
    <w:p w14:paraId="3DFBAE63" w14:textId="7120181A"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 xml:space="preserve">b) se nga përfundimi i periudhës së sipërpërmendur tremujore deri në shlyerje, për shumat e mësipërme do të paguhet interes i thjeshtë në normën e barabartë me normën margjinale të huadhënies së Bankës Qendrore </w:t>
      </w:r>
      <w:r w:rsidR="00A12B12" w:rsidRPr="005D3D6B">
        <w:rPr>
          <w:rFonts w:ascii="Garamond" w:eastAsiaTheme="minorHAnsi" w:hAnsi="Garamond"/>
          <w:color w:val="000000"/>
          <w:sz w:val="24"/>
          <w:szCs w:val="24"/>
          <w14:ligatures w14:val="standardContextual"/>
        </w:rPr>
        <w:t>Evropiane</w:t>
      </w:r>
      <w:r w:rsidRPr="005D3D6B">
        <w:rPr>
          <w:rFonts w:ascii="Garamond" w:eastAsiaTheme="minorHAnsi" w:hAnsi="Garamond"/>
          <w:color w:val="000000"/>
          <w:sz w:val="24"/>
          <w:szCs w:val="24"/>
          <w14:ligatures w14:val="standardContextual"/>
        </w:rPr>
        <w:t xml:space="preserve"> gjatë periudhës së </w:t>
      </w:r>
      <w:proofErr w:type="spellStart"/>
      <w:r w:rsidRPr="005D3D6B">
        <w:rPr>
          <w:rFonts w:ascii="Garamond" w:eastAsiaTheme="minorHAnsi" w:hAnsi="Garamond"/>
          <w:color w:val="000000"/>
          <w:sz w:val="24"/>
          <w:szCs w:val="24"/>
          <w14:ligatures w14:val="standardContextual"/>
        </w:rPr>
        <w:t>mosshlyerjes</w:t>
      </w:r>
      <w:proofErr w:type="spellEnd"/>
      <w:r w:rsidRPr="005D3D6B">
        <w:rPr>
          <w:rFonts w:ascii="Garamond" w:eastAsiaTheme="minorHAnsi" w:hAnsi="Garamond"/>
          <w:color w:val="000000"/>
          <w:sz w:val="24"/>
          <w:szCs w:val="24"/>
          <w14:ligatures w14:val="standardContextual"/>
        </w:rPr>
        <w:t xml:space="preserve"> plus tre pikë përqindje; </w:t>
      </w:r>
    </w:p>
    <w:p w14:paraId="5A62F73C" w14:textId="0DFF7D71" w:rsidR="00CB4E13" w:rsidRPr="005D3D6B" w:rsidRDefault="00CB4E13" w:rsidP="00CB4E13">
      <w:pPr>
        <w:tabs>
          <w:tab w:val="left" w:pos="560"/>
          <w:tab w:val="left" w:pos="70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i/>
          <w:iCs/>
          <w:color w:val="000000"/>
          <w:sz w:val="24"/>
          <w:szCs w:val="24"/>
          <w14:ligatures w14:val="standardContextual"/>
        </w:rPr>
        <w:t xml:space="preserve">4. Rrëzon </w:t>
      </w:r>
      <w:r w:rsidRPr="005D3D6B">
        <w:rPr>
          <w:rFonts w:ascii="Garamond" w:eastAsiaTheme="minorHAnsi" w:hAnsi="Garamond"/>
          <w:color w:val="000000"/>
          <w:sz w:val="24"/>
          <w:szCs w:val="24"/>
          <w14:ligatures w14:val="standardContextual"/>
        </w:rPr>
        <w:t>pjesën e mbetur të kërkesës së kërk</w:t>
      </w:r>
      <w:r w:rsidR="00A12B12">
        <w:rPr>
          <w:rFonts w:ascii="Garamond" w:eastAsiaTheme="minorHAnsi" w:hAnsi="Garamond"/>
          <w:color w:val="000000"/>
          <w:sz w:val="24"/>
          <w:szCs w:val="24"/>
          <w14:ligatures w14:val="standardContextual"/>
        </w:rPr>
        <w:t>uesit për shpërblim të drejtë.</w:t>
      </w:r>
    </w:p>
    <w:p w14:paraId="0146C64E" w14:textId="3B1248DF"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r w:rsidRPr="005D3D6B">
        <w:rPr>
          <w:rFonts w:ascii="Garamond" w:eastAsiaTheme="minorHAnsi" w:hAnsi="Garamond"/>
          <w:color w:val="000000"/>
          <w:sz w:val="24"/>
          <w:szCs w:val="24"/>
          <w14:ligatures w14:val="standardContextual"/>
        </w:rPr>
        <w:t xml:space="preserve"> Hartuar në anglisht dhe njoftuar me shkrim më 23 </w:t>
      </w:r>
      <w:r w:rsidR="00A12B12">
        <w:rPr>
          <w:rFonts w:ascii="Garamond" w:eastAsiaTheme="minorHAnsi" w:hAnsi="Garamond"/>
          <w:color w:val="000000"/>
          <w:sz w:val="24"/>
          <w:szCs w:val="24"/>
          <w14:ligatures w14:val="standardContextual"/>
        </w:rPr>
        <w:t>q</w:t>
      </w:r>
      <w:r w:rsidRPr="005D3D6B">
        <w:rPr>
          <w:rFonts w:ascii="Garamond" w:eastAsiaTheme="minorHAnsi" w:hAnsi="Garamond"/>
          <w:color w:val="000000"/>
          <w:sz w:val="24"/>
          <w:szCs w:val="24"/>
          <w14:ligatures w14:val="standardContextual"/>
        </w:rPr>
        <w:t>ershor 2026, në mbështetje të Rregullit 77 §§ 2 dhe 3 të Rregullores së Gjykatës.</w:t>
      </w:r>
    </w:p>
    <w:p w14:paraId="0FBC4CF2" w14:textId="77777777" w:rsidR="0089052B" w:rsidRPr="005D3D6B" w:rsidRDefault="0089052B" w:rsidP="0089052B">
      <w:pPr>
        <w:tabs>
          <w:tab w:val="left" w:pos="560"/>
          <w:tab w:val="left" w:pos="1120"/>
        </w:tabs>
        <w:autoSpaceDE w:val="0"/>
        <w:autoSpaceDN w:val="0"/>
        <w:adjustRightInd w:val="0"/>
        <w:spacing w:after="0" w:line="240" w:lineRule="auto"/>
        <w:ind w:firstLine="284"/>
        <w:jc w:val="right"/>
        <w:rPr>
          <w:rFonts w:ascii="Garamond" w:eastAsiaTheme="minorHAnsi" w:hAnsi="Garamond"/>
          <w:b/>
          <w:color w:val="000000"/>
          <w:sz w:val="24"/>
          <w:szCs w:val="24"/>
          <w14:ligatures w14:val="standardContextual"/>
        </w:rPr>
      </w:pPr>
      <w:proofErr w:type="spellStart"/>
      <w:r w:rsidRPr="005D3D6B">
        <w:rPr>
          <w:rFonts w:ascii="Garamond" w:eastAsiaTheme="minorHAnsi" w:hAnsi="Garamond"/>
          <w:b/>
          <w:color w:val="000000"/>
          <w:sz w:val="24"/>
          <w:szCs w:val="24"/>
          <w14:ligatures w14:val="standardContextual"/>
        </w:rPr>
        <w:t>Olga</w:t>
      </w:r>
      <w:proofErr w:type="spellEnd"/>
      <w:r w:rsidRPr="005D3D6B">
        <w:rPr>
          <w:rFonts w:ascii="Garamond" w:eastAsiaTheme="minorHAnsi" w:hAnsi="Garamond"/>
          <w:b/>
          <w:color w:val="000000"/>
          <w:sz w:val="24"/>
          <w:szCs w:val="24"/>
          <w14:ligatures w14:val="standardContextual"/>
        </w:rPr>
        <w:t xml:space="preserve"> </w:t>
      </w:r>
      <w:proofErr w:type="spellStart"/>
      <w:r w:rsidRPr="005D3D6B">
        <w:rPr>
          <w:rFonts w:ascii="Garamond" w:eastAsiaTheme="minorHAnsi" w:hAnsi="Garamond"/>
          <w:b/>
          <w:color w:val="000000"/>
          <w:sz w:val="24"/>
          <w:szCs w:val="24"/>
          <w14:ligatures w14:val="standardContextual"/>
        </w:rPr>
        <w:t>Chernishova</w:t>
      </w:r>
      <w:proofErr w:type="spellEnd"/>
    </w:p>
    <w:p w14:paraId="45E09BC8" w14:textId="77777777" w:rsidR="0089052B" w:rsidRPr="005D3D6B" w:rsidRDefault="0089052B" w:rsidP="0089052B">
      <w:pPr>
        <w:tabs>
          <w:tab w:val="left" w:pos="560"/>
          <w:tab w:val="left" w:pos="1120"/>
        </w:tabs>
        <w:autoSpaceDE w:val="0"/>
        <w:autoSpaceDN w:val="0"/>
        <w:adjustRightInd w:val="0"/>
        <w:spacing w:after="0" w:line="240" w:lineRule="auto"/>
        <w:ind w:firstLine="284"/>
        <w:jc w:val="right"/>
        <w:rPr>
          <w:rFonts w:ascii="Garamond" w:eastAsiaTheme="minorHAnsi" w:hAnsi="Garamond" w:cs="Calibri"/>
          <w:color w:val="000000"/>
          <w:sz w:val="24"/>
          <w:szCs w:val="24"/>
          <w14:ligatures w14:val="standardContextual"/>
        </w:rPr>
      </w:pPr>
      <w:r w:rsidRPr="005D3D6B">
        <w:rPr>
          <w:rFonts w:ascii="Garamond" w:eastAsiaTheme="minorHAnsi" w:hAnsi="Garamond" w:cs="Calibri"/>
          <w:color w:val="000000"/>
          <w:sz w:val="24"/>
          <w:szCs w:val="24"/>
          <w14:ligatures w14:val="standardContextual"/>
        </w:rPr>
        <w:t>ZËVENDËSSEKRETARE</w:t>
      </w:r>
    </w:p>
    <w:p w14:paraId="48DA8A66" w14:textId="77777777" w:rsidR="00CB4E13" w:rsidRPr="005D3D6B" w:rsidRDefault="00CB4E13" w:rsidP="00CB4E13">
      <w:pPr>
        <w:tabs>
          <w:tab w:val="left" w:pos="560"/>
          <w:tab w:val="left" w:pos="1120"/>
        </w:tabs>
        <w:autoSpaceDE w:val="0"/>
        <w:autoSpaceDN w:val="0"/>
        <w:adjustRightInd w:val="0"/>
        <w:spacing w:after="0" w:line="240" w:lineRule="auto"/>
        <w:ind w:firstLine="284"/>
        <w:jc w:val="both"/>
        <w:rPr>
          <w:rFonts w:ascii="Garamond" w:eastAsiaTheme="minorHAnsi" w:hAnsi="Garamond"/>
          <w:color w:val="000000"/>
          <w:sz w:val="24"/>
          <w:szCs w:val="24"/>
          <w14:ligatures w14:val="standardContextual"/>
        </w:rPr>
      </w:pPr>
      <w:bookmarkStart w:id="0" w:name="_GoBack"/>
      <w:bookmarkEnd w:id="0"/>
    </w:p>
    <w:p w14:paraId="40ED8B1E" w14:textId="37C503FD" w:rsidR="00CB4E13" w:rsidRPr="005D3D6B" w:rsidRDefault="00CB4E13" w:rsidP="00CB4E13">
      <w:pPr>
        <w:tabs>
          <w:tab w:val="left" w:pos="560"/>
          <w:tab w:val="left" w:pos="1120"/>
        </w:tabs>
        <w:autoSpaceDE w:val="0"/>
        <w:autoSpaceDN w:val="0"/>
        <w:adjustRightInd w:val="0"/>
        <w:spacing w:after="0" w:line="240" w:lineRule="auto"/>
        <w:ind w:firstLine="284"/>
        <w:jc w:val="right"/>
        <w:rPr>
          <w:rFonts w:ascii="Garamond" w:eastAsiaTheme="minorHAnsi" w:hAnsi="Garamond"/>
          <w:b/>
          <w:color w:val="000000"/>
          <w:sz w:val="24"/>
          <w:szCs w:val="24"/>
          <w14:ligatures w14:val="standardContextual"/>
        </w:rPr>
      </w:pPr>
      <w:proofErr w:type="spellStart"/>
      <w:r w:rsidRPr="005D3D6B">
        <w:rPr>
          <w:rFonts w:ascii="Garamond" w:eastAsiaTheme="minorHAnsi" w:hAnsi="Garamond"/>
          <w:b/>
          <w:color w:val="000000"/>
          <w:sz w:val="24"/>
          <w:szCs w:val="24"/>
          <w14:ligatures w14:val="standardContextual"/>
        </w:rPr>
        <w:t>Úna</w:t>
      </w:r>
      <w:proofErr w:type="spellEnd"/>
      <w:r w:rsidRPr="005D3D6B">
        <w:rPr>
          <w:rFonts w:ascii="Garamond" w:eastAsiaTheme="minorHAnsi" w:hAnsi="Garamond"/>
          <w:b/>
          <w:color w:val="000000"/>
          <w:sz w:val="24"/>
          <w:szCs w:val="24"/>
          <w14:ligatures w14:val="standardContextual"/>
        </w:rPr>
        <w:t xml:space="preserve"> </w:t>
      </w:r>
      <w:proofErr w:type="spellStart"/>
      <w:r w:rsidRPr="005D3D6B">
        <w:rPr>
          <w:rFonts w:ascii="Garamond" w:eastAsiaTheme="minorHAnsi" w:hAnsi="Garamond"/>
          <w:b/>
          <w:color w:val="000000"/>
          <w:sz w:val="24"/>
          <w:szCs w:val="24"/>
          <w14:ligatures w14:val="standardContextual"/>
        </w:rPr>
        <w:t>Ní</w:t>
      </w:r>
      <w:proofErr w:type="spellEnd"/>
      <w:r w:rsidRPr="005D3D6B">
        <w:rPr>
          <w:rFonts w:ascii="Garamond" w:eastAsiaTheme="minorHAnsi" w:hAnsi="Garamond"/>
          <w:b/>
          <w:color w:val="000000"/>
          <w:sz w:val="24"/>
          <w:szCs w:val="24"/>
          <w14:ligatures w14:val="standardContextual"/>
        </w:rPr>
        <w:t xml:space="preserve"> </w:t>
      </w:r>
      <w:proofErr w:type="spellStart"/>
      <w:r w:rsidRPr="005D3D6B">
        <w:rPr>
          <w:rFonts w:ascii="Garamond" w:eastAsiaTheme="minorHAnsi" w:hAnsi="Garamond"/>
          <w:b/>
          <w:color w:val="000000"/>
          <w:sz w:val="24"/>
          <w:szCs w:val="24"/>
          <w14:ligatures w14:val="standardContextual"/>
        </w:rPr>
        <w:t>Raifeartaigh</w:t>
      </w:r>
      <w:proofErr w:type="spellEnd"/>
    </w:p>
    <w:p w14:paraId="1E0B69CB" w14:textId="6F6ED1B2" w:rsidR="00CB4E13" w:rsidRPr="005D3D6B" w:rsidRDefault="00A12B12" w:rsidP="00CB4E13">
      <w:pPr>
        <w:pStyle w:val="ECHRDecisionBody"/>
        <w:ind w:firstLine="284"/>
        <w:jc w:val="right"/>
        <w:rPr>
          <w:rFonts w:ascii="Garamond" w:hAnsi="Garamond"/>
          <w:b/>
          <w:bCs/>
          <w:iCs/>
          <w:szCs w:val="24"/>
          <w:lang w:val="sq-AL"/>
        </w:rPr>
      </w:pPr>
      <w:r w:rsidRPr="005D3D6B">
        <w:rPr>
          <w:rFonts w:ascii="Garamond" w:hAnsi="Garamond"/>
          <w:szCs w:val="24"/>
          <w:lang w:val="sq-AL"/>
        </w:rPr>
        <w:t>KRYETARE</w:t>
      </w:r>
    </w:p>
    <w:p w14:paraId="1C36CD44" w14:textId="77777777" w:rsidR="00CB4E13" w:rsidRPr="005D3D6B" w:rsidRDefault="00CB4E13" w:rsidP="00CB4E13">
      <w:pPr>
        <w:pStyle w:val="ECHRDecisionBody"/>
        <w:ind w:firstLine="284"/>
        <w:jc w:val="right"/>
        <w:rPr>
          <w:rFonts w:ascii="Garamond" w:hAnsi="Garamond"/>
          <w:b/>
          <w:bCs/>
          <w:iCs/>
          <w:szCs w:val="24"/>
          <w:lang w:val="sq-AL"/>
        </w:rPr>
      </w:pPr>
    </w:p>
    <w:sectPr w:rsidR="00CB4E13" w:rsidRPr="005D3D6B" w:rsidSect="00ED3E4F">
      <w:pgSz w:w="11907" w:h="16840" w:code="9"/>
      <w:pgMar w:top="574"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761365" w14:textId="77777777" w:rsidR="0089052B" w:rsidRDefault="0089052B">
      <w:pPr>
        <w:spacing w:after="0" w:line="240" w:lineRule="auto"/>
      </w:pPr>
      <w:r>
        <w:separator/>
      </w:r>
    </w:p>
  </w:endnote>
  <w:endnote w:type="continuationSeparator" w:id="0">
    <w:p w14:paraId="431BCB60" w14:textId="77777777" w:rsidR="0089052B" w:rsidRDefault="0089052B">
      <w:pPr>
        <w:spacing w:after="0" w:line="240" w:lineRule="auto"/>
      </w:pPr>
      <w:r>
        <w:continuationSeparator/>
      </w:r>
    </w:p>
  </w:endnote>
  <w:endnote w:type="continuationNotice" w:id="1">
    <w:p w14:paraId="275EE768" w14:textId="77777777" w:rsidR="0089052B" w:rsidRDefault="008905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5FBFAC" w14:textId="77777777" w:rsidR="0089052B" w:rsidRDefault="0089052B">
      <w:pPr>
        <w:spacing w:after="0" w:line="240" w:lineRule="auto"/>
      </w:pPr>
      <w:r>
        <w:separator/>
      </w:r>
    </w:p>
  </w:footnote>
  <w:footnote w:type="continuationSeparator" w:id="0">
    <w:p w14:paraId="251F35A6" w14:textId="77777777" w:rsidR="0089052B" w:rsidRDefault="0089052B">
      <w:pPr>
        <w:spacing w:after="0" w:line="240" w:lineRule="auto"/>
      </w:pPr>
      <w:r>
        <w:continuationSeparator/>
      </w:r>
    </w:p>
  </w:footnote>
  <w:footnote w:type="continuationNotice" w:id="1">
    <w:p w14:paraId="4AB15B60" w14:textId="77777777" w:rsidR="0089052B" w:rsidRDefault="0089052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641157"/>
    <w:multiLevelType w:val="multilevel"/>
    <w:tmpl w:val="9B34AC6C"/>
    <w:lvl w:ilvl="0">
      <w:start w:val="1"/>
      <w:numFmt w:val="decimal"/>
      <w:pStyle w:val="Heading1"/>
      <w:lvlText w:val="%1."/>
      <w:lvlJc w:val="left"/>
      <w:pPr>
        <w:tabs>
          <w:tab w:val="num" w:pos="964"/>
        </w:tabs>
        <w:ind w:left="964" w:hanging="397"/>
      </w:pPr>
      <w:rPr>
        <w:rFonts w:hint="default"/>
      </w:rPr>
    </w:lvl>
    <w:lvl w:ilvl="1">
      <w:start w:val="1"/>
      <w:numFmt w:val="lowerLetter"/>
      <w:pStyle w:val="Heading2"/>
      <w:lvlText w:val="%2."/>
      <w:lvlJc w:val="left"/>
      <w:pPr>
        <w:tabs>
          <w:tab w:val="num" w:pos="1361"/>
        </w:tabs>
        <w:ind w:left="1361" w:hanging="397"/>
      </w:pPr>
      <w:rPr>
        <w:rFonts w:hint="default"/>
      </w:rPr>
    </w:lvl>
    <w:lvl w:ilvl="2">
      <w:start w:val="1"/>
      <w:numFmt w:val="lowerRoman"/>
      <w:pStyle w:val="Heading3"/>
      <w:lvlText w:val="%3."/>
      <w:lvlJc w:val="left"/>
      <w:pPr>
        <w:tabs>
          <w:tab w:val="num" w:pos="1758"/>
        </w:tabs>
        <w:ind w:left="1758" w:hanging="397"/>
      </w:pPr>
      <w:rPr>
        <w:rFonts w:hint="default"/>
      </w:rPr>
    </w:lvl>
    <w:lvl w:ilvl="3">
      <w:start w:val="1"/>
      <w:numFmt w:val="decimal"/>
      <w:pStyle w:val="Heading4"/>
      <w:lvlText w:val="(%4)"/>
      <w:lvlJc w:val="left"/>
      <w:pPr>
        <w:tabs>
          <w:tab w:val="num" w:pos="1703"/>
        </w:tabs>
        <w:ind w:left="1703" w:hanging="284"/>
      </w:pPr>
      <w:rPr>
        <w:rFonts w:hint="default"/>
      </w:rPr>
    </w:lvl>
    <w:lvl w:ilvl="4">
      <w:start w:val="1"/>
      <w:numFmt w:val="lowerLetter"/>
      <w:pStyle w:val="Heading5"/>
      <w:lvlText w:val="(%5)"/>
      <w:lvlJc w:val="left"/>
      <w:pPr>
        <w:tabs>
          <w:tab w:val="num" w:pos="1987"/>
        </w:tabs>
        <w:ind w:left="1987" w:hanging="284"/>
      </w:pPr>
      <w:rPr>
        <w:rFonts w:hint="default"/>
      </w:rPr>
    </w:lvl>
    <w:lvl w:ilvl="5">
      <w:start w:val="1"/>
      <w:numFmt w:val="lowerRoman"/>
      <w:pStyle w:val="Heading6"/>
      <w:lvlText w:val="(%6)"/>
      <w:lvlJc w:val="left"/>
      <w:pPr>
        <w:tabs>
          <w:tab w:val="num" w:pos="2271"/>
        </w:tabs>
        <w:ind w:left="2271" w:hanging="284"/>
      </w:pPr>
      <w:rPr>
        <w:rFonts w:hint="default"/>
      </w:rPr>
    </w:lvl>
    <w:lvl w:ilvl="6">
      <w:start w:val="1"/>
      <w:numFmt w:val="decimal"/>
      <w:pStyle w:val="Heading7"/>
      <w:lvlText w:val="%7."/>
      <w:lvlJc w:val="left"/>
      <w:pPr>
        <w:tabs>
          <w:tab w:val="num" w:pos="2555"/>
        </w:tabs>
        <w:ind w:left="2555" w:hanging="284"/>
      </w:pPr>
      <w:rPr>
        <w:rFonts w:hint="default"/>
      </w:rPr>
    </w:lvl>
    <w:lvl w:ilvl="7">
      <w:start w:val="1"/>
      <w:numFmt w:val="lowerLetter"/>
      <w:pStyle w:val="Heading8"/>
      <w:lvlText w:val="%8."/>
      <w:lvlJc w:val="left"/>
      <w:pPr>
        <w:tabs>
          <w:tab w:val="num" w:pos="2839"/>
        </w:tabs>
        <w:ind w:left="2839" w:hanging="284"/>
      </w:pPr>
      <w:rPr>
        <w:rFonts w:hint="default"/>
      </w:rPr>
    </w:lvl>
    <w:lvl w:ilvl="8">
      <w:start w:val="1"/>
      <w:numFmt w:val="lowerRoman"/>
      <w:pStyle w:val="Heading9"/>
      <w:lvlText w:val="%9."/>
      <w:lvlJc w:val="left"/>
      <w:pPr>
        <w:tabs>
          <w:tab w:val="num" w:pos="3123"/>
        </w:tabs>
        <w:ind w:left="3123" w:hanging="284"/>
      </w:pPr>
      <w:rPr>
        <w:rFonts w:hint="default"/>
      </w:rPr>
    </w:lvl>
  </w:abstractNum>
  <w:abstractNum w:abstractNumId="10" w15:restartNumberingAfterBreak="0">
    <w:nsid w:val="101C3BB4"/>
    <w:multiLevelType w:val="hybridMultilevel"/>
    <w:tmpl w:val="11B482F2"/>
    <w:lvl w:ilvl="0" w:tplc="FB5EE752">
      <w:start w:val="1"/>
      <w:numFmt w:val="decimal"/>
      <w:lvlText w:val="%1."/>
      <w:lvlJc w:val="left"/>
      <w:pPr>
        <w:ind w:left="1080" w:hanging="360"/>
      </w:pPr>
      <w:rPr>
        <w:rFonts w:hint="default"/>
        <w:i w:val="0"/>
        <w:iCs w:val="0"/>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BF12E19"/>
    <w:multiLevelType w:val="hybridMultilevel"/>
    <w:tmpl w:val="D6DC7074"/>
    <w:lvl w:ilvl="0" w:tplc="A20A0C1A">
      <w:start w:val="1"/>
      <w:numFmt w:val="decimal"/>
      <w:lvlText w:val="%1."/>
      <w:lvlJc w:val="left"/>
      <w:pPr>
        <w:ind w:left="720" w:hanging="360"/>
      </w:pPr>
      <w:rPr>
        <w:rFonts w:ascii="Times New Roman" w:eastAsia="MS Mincho" w:hAnsi="Times New Roman" w:cs="Times New Roman"/>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1C2F7A93"/>
    <w:multiLevelType w:val="hybridMultilevel"/>
    <w:tmpl w:val="43F43EE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D644BF1"/>
    <w:multiLevelType w:val="hybridMultilevel"/>
    <w:tmpl w:val="95345C32"/>
    <w:lvl w:ilvl="0" w:tplc="39C839F4">
      <w:start w:val="1"/>
      <w:numFmt w:val="lowerRoman"/>
      <w:lvlText w:val="(%1)"/>
      <w:lvlJc w:val="left"/>
      <w:pPr>
        <w:ind w:left="2160" w:hanging="720"/>
      </w:pPr>
      <w:rPr>
        <w:rFont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16" w15:restartNumberingAfterBreak="0">
    <w:nsid w:val="1EEE52BA"/>
    <w:multiLevelType w:val="hybridMultilevel"/>
    <w:tmpl w:val="326260C0"/>
    <w:lvl w:ilvl="0" w:tplc="CA04B668">
      <w:start w:val="1"/>
      <w:numFmt w:val="lowerLetter"/>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7" w15:restartNumberingAfterBreak="0">
    <w:nsid w:val="25061F93"/>
    <w:multiLevelType w:val="hybridMultilevel"/>
    <w:tmpl w:val="7D00D30C"/>
    <w:lvl w:ilvl="0" w:tplc="1C648584">
      <w:start w:val="1"/>
      <w:numFmt w:val="upperRoman"/>
      <w:lvlText w:val="%1."/>
      <w:lvlJc w:val="left"/>
      <w:pPr>
        <w:ind w:left="1080" w:hanging="720"/>
      </w:pPr>
      <w:rPr>
        <w:rFonts w:ascii="Times New Roman" w:eastAsia="MS Mincho" w:hAnsi="Times New Roman" w:cs="Times New Roman"/>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A464865"/>
    <w:multiLevelType w:val="hybridMultilevel"/>
    <w:tmpl w:val="29BC6E8A"/>
    <w:lvl w:ilvl="0" w:tplc="478C2D88">
      <w:start w:val="1"/>
      <w:numFmt w:val="upperRoman"/>
      <w:lvlText w:val="%1."/>
      <w:lvlJc w:val="left"/>
      <w:pPr>
        <w:ind w:left="1290" w:hanging="720"/>
      </w:pPr>
      <w:rPr>
        <w:rFonts w:hint="default"/>
      </w:rPr>
    </w:lvl>
    <w:lvl w:ilvl="1" w:tplc="20000019" w:tentative="1">
      <w:start w:val="1"/>
      <w:numFmt w:val="lowerLetter"/>
      <w:lvlText w:val="%2."/>
      <w:lvlJc w:val="left"/>
      <w:pPr>
        <w:ind w:left="1650" w:hanging="360"/>
      </w:pPr>
    </w:lvl>
    <w:lvl w:ilvl="2" w:tplc="2000001B" w:tentative="1">
      <w:start w:val="1"/>
      <w:numFmt w:val="lowerRoman"/>
      <w:lvlText w:val="%3."/>
      <w:lvlJc w:val="right"/>
      <w:pPr>
        <w:ind w:left="2370" w:hanging="180"/>
      </w:pPr>
    </w:lvl>
    <w:lvl w:ilvl="3" w:tplc="2000000F" w:tentative="1">
      <w:start w:val="1"/>
      <w:numFmt w:val="decimal"/>
      <w:lvlText w:val="%4."/>
      <w:lvlJc w:val="left"/>
      <w:pPr>
        <w:ind w:left="3090" w:hanging="360"/>
      </w:pPr>
    </w:lvl>
    <w:lvl w:ilvl="4" w:tplc="20000019" w:tentative="1">
      <w:start w:val="1"/>
      <w:numFmt w:val="lowerLetter"/>
      <w:lvlText w:val="%5."/>
      <w:lvlJc w:val="left"/>
      <w:pPr>
        <w:ind w:left="3810" w:hanging="360"/>
      </w:pPr>
    </w:lvl>
    <w:lvl w:ilvl="5" w:tplc="2000001B" w:tentative="1">
      <w:start w:val="1"/>
      <w:numFmt w:val="lowerRoman"/>
      <w:lvlText w:val="%6."/>
      <w:lvlJc w:val="right"/>
      <w:pPr>
        <w:ind w:left="4530" w:hanging="180"/>
      </w:pPr>
    </w:lvl>
    <w:lvl w:ilvl="6" w:tplc="2000000F" w:tentative="1">
      <w:start w:val="1"/>
      <w:numFmt w:val="decimal"/>
      <w:lvlText w:val="%7."/>
      <w:lvlJc w:val="left"/>
      <w:pPr>
        <w:ind w:left="5250" w:hanging="360"/>
      </w:pPr>
    </w:lvl>
    <w:lvl w:ilvl="7" w:tplc="20000019" w:tentative="1">
      <w:start w:val="1"/>
      <w:numFmt w:val="lowerLetter"/>
      <w:lvlText w:val="%8."/>
      <w:lvlJc w:val="left"/>
      <w:pPr>
        <w:ind w:left="5970" w:hanging="360"/>
      </w:pPr>
    </w:lvl>
    <w:lvl w:ilvl="8" w:tplc="2000001B" w:tentative="1">
      <w:start w:val="1"/>
      <w:numFmt w:val="lowerRoman"/>
      <w:lvlText w:val="%9."/>
      <w:lvlJc w:val="right"/>
      <w:pPr>
        <w:ind w:left="6690" w:hanging="180"/>
      </w:pPr>
    </w:lvl>
  </w:abstractNum>
  <w:abstractNum w:abstractNumId="19"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A0604E9"/>
    <w:multiLevelType w:val="hybridMultilevel"/>
    <w:tmpl w:val="BFE40F74"/>
    <w:lvl w:ilvl="0" w:tplc="1AD6C9FE">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1" w15:restartNumberingAfterBreak="0">
    <w:nsid w:val="53AF1F9D"/>
    <w:multiLevelType w:val="hybridMultilevel"/>
    <w:tmpl w:val="53D2F05A"/>
    <w:lvl w:ilvl="0" w:tplc="20000015">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22"/>
  </w:num>
  <w:num w:numId="4">
    <w:abstractNumId w:val="19"/>
  </w:num>
  <w:num w:numId="5">
    <w:abstractNumId w:val="14"/>
  </w:num>
  <w:num w:numId="6">
    <w:abstractNumId w:val="11"/>
  </w:num>
  <w:num w:numId="7">
    <w:abstractNumId w:val="7"/>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3"/>
  </w:num>
  <w:num w:numId="16">
    <w:abstractNumId w:val="10"/>
  </w:num>
  <w:num w:numId="17">
    <w:abstractNumId w:val="17"/>
  </w:num>
  <w:num w:numId="18">
    <w:abstractNumId w:val="18"/>
  </w:num>
  <w:num w:numId="19">
    <w:abstractNumId w:val="21"/>
  </w:num>
  <w:num w:numId="20">
    <w:abstractNumId w:val="20"/>
  </w:num>
  <w:num w:numId="21">
    <w:abstractNumId w:val="12"/>
  </w:num>
  <w:num w:numId="22">
    <w:abstractNumId w:val="16"/>
  </w:num>
  <w:num w:numId="23">
    <w:abstractNumId w:val="15"/>
  </w:num>
  <w:num w:numId="24">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5F5"/>
    <w:rsid w:val="00005D24"/>
    <w:rsid w:val="00005DA6"/>
    <w:rsid w:val="00011270"/>
    <w:rsid w:val="00011D30"/>
    <w:rsid w:val="000173A5"/>
    <w:rsid w:val="00017A69"/>
    <w:rsid w:val="00030EFF"/>
    <w:rsid w:val="000320CA"/>
    <w:rsid w:val="00040178"/>
    <w:rsid w:val="00040D24"/>
    <w:rsid w:val="00044032"/>
    <w:rsid w:val="0004576D"/>
    <w:rsid w:val="00045AF7"/>
    <w:rsid w:val="000463D5"/>
    <w:rsid w:val="00053E94"/>
    <w:rsid w:val="00062035"/>
    <w:rsid w:val="00062700"/>
    <w:rsid w:val="00063503"/>
    <w:rsid w:val="0006391A"/>
    <w:rsid w:val="00065924"/>
    <w:rsid w:val="00070C72"/>
    <w:rsid w:val="000744D0"/>
    <w:rsid w:val="00082F9E"/>
    <w:rsid w:val="000843DF"/>
    <w:rsid w:val="00086752"/>
    <w:rsid w:val="00093E39"/>
    <w:rsid w:val="00095CB6"/>
    <w:rsid w:val="000A126B"/>
    <w:rsid w:val="000A70E5"/>
    <w:rsid w:val="000B3E48"/>
    <w:rsid w:val="000B5F80"/>
    <w:rsid w:val="000D17A1"/>
    <w:rsid w:val="000D249E"/>
    <w:rsid w:val="000D6D0B"/>
    <w:rsid w:val="000E3433"/>
    <w:rsid w:val="000E61F7"/>
    <w:rsid w:val="000E69CA"/>
    <w:rsid w:val="000F0AE0"/>
    <w:rsid w:val="000F1B16"/>
    <w:rsid w:val="000F31F9"/>
    <w:rsid w:val="000F35B3"/>
    <w:rsid w:val="001123B3"/>
    <w:rsid w:val="00120460"/>
    <w:rsid w:val="00123350"/>
    <w:rsid w:val="001259EA"/>
    <w:rsid w:val="00125E36"/>
    <w:rsid w:val="0012609A"/>
    <w:rsid w:val="001354A7"/>
    <w:rsid w:val="00136162"/>
    <w:rsid w:val="00137D90"/>
    <w:rsid w:val="00142663"/>
    <w:rsid w:val="001427BC"/>
    <w:rsid w:val="00142C8B"/>
    <w:rsid w:val="001431BE"/>
    <w:rsid w:val="001434D9"/>
    <w:rsid w:val="00143852"/>
    <w:rsid w:val="00161C0C"/>
    <w:rsid w:val="001625BD"/>
    <w:rsid w:val="00174F6F"/>
    <w:rsid w:val="001769EA"/>
    <w:rsid w:val="00177BEC"/>
    <w:rsid w:val="00180122"/>
    <w:rsid w:val="0018522A"/>
    <w:rsid w:val="0018692B"/>
    <w:rsid w:val="00186D27"/>
    <w:rsid w:val="00194243"/>
    <w:rsid w:val="00195C7B"/>
    <w:rsid w:val="00196F8B"/>
    <w:rsid w:val="001A5D7C"/>
    <w:rsid w:val="001A62A2"/>
    <w:rsid w:val="001B11E4"/>
    <w:rsid w:val="001C5EA7"/>
    <w:rsid w:val="001D0B04"/>
    <w:rsid w:val="001D5612"/>
    <w:rsid w:val="001D6272"/>
    <w:rsid w:val="001E0D3E"/>
    <w:rsid w:val="001E3206"/>
    <w:rsid w:val="001E59B2"/>
    <w:rsid w:val="001E5D40"/>
    <w:rsid w:val="001E7135"/>
    <w:rsid w:val="001F3DC0"/>
    <w:rsid w:val="001F4440"/>
    <w:rsid w:val="001F7F8A"/>
    <w:rsid w:val="0020777B"/>
    <w:rsid w:val="002164AF"/>
    <w:rsid w:val="002170D8"/>
    <w:rsid w:val="00217B11"/>
    <w:rsid w:val="00221C20"/>
    <w:rsid w:val="002269DE"/>
    <w:rsid w:val="002278B9"/>
    <w:rsid w:val="00234552"/>
    <w:rsid w:val="002375AB"/>
    <w:rsid w:val="0023780F"/>
    <w:rsid w:val="00237831"/>
    <w:rsid w:val="00240C75"/>
    <w:rsid w:val="002412E5"/>
    <w:rsid w:val="00255497"/>
    <w:rsid w:val="00256588"/>
    <w:rsid w:val="00271292"/>
    <w:rsid w:val="00276BAE"/>
    <w:rsid w:val="00282528"/>
    <w:rsid w:val="002868D5"/>
    <w:rsid w:val="00290E95"/>
    <w:rsid w:val="00297266"/>
    <w:rsid w:val="002A3300"/>
    <w:rsid w:val="002B0B13"/>
    <w:rsid w:val="002B0EE4"/>
    <w:rsid w:val="002B6598"/>
    <w:rsid w:val="002C3525"/>
    <w:rsid w:val="002C3803"/>
    <w:rsid w:val="002C46B7"/>
    <w:rsid w:val="002E52B7"/>
    <w:rsid w:val="002F26A4"/>
    <w:rsid w:val="00301408"/>
    <w:rsid w:val="00305F0A"/>
    <w:rsid w:val="00311163"/>
    <w:rsid w:val="003116DC"/>
    <w:rsid w:val="00311C86"/>
    <w:rsid w:val="00312BD8"/>
    <w:rsid w:val="003203AE"/>
    <w:rsid w:val="003214D3"/>
    <w:rsid w:val="003239F6"/>
    <w:rsid w:val="00325F1D"/>
    <w:rsid w:val="00334E35"/>
    <w:rsid w:val="00335986"/>
    <w:rsid w:val="0033734D"/>
    <w:rsid w:val="00340D2C"/>
    <w:rsid w:val="003415BC"/>
    <w:rsid w:val="00341D16"/>
    <w:rsid w:val="00345612"/>
    <w:rsid w:val="00347F21"/>
    <w:rsid w:val="003602C9"/>
    <w:rsid w:val="00360808"/>
    <w:rsid w:val="00361CF6"/>
    <w:rsid w:val="00365A07"/>
    <w:rsid w:val="00367844"/>
    <w:rsid w:val="00377AAC"/>
    <w:rsid w:val="003803F8"/>
    <w:rsid w:val="003829FE"/>
    <w:rsid w:val="003862B8"/>
    <w:rsid w:val="00391EA1"/>
    <w:rsid w:val="00394982"/>
    <w:rsid w:val="003953AA"/>
    <w:rsid w:val="003966F6"/>
    <w:rsid w:val="00397C1C"/>
    <w:rsid w:val="003A3ECB"/>
    <w:rsid w:val="003A6E96"/>
    <w:rsid w:val="003B170A"/>
    <w:rsid w:val="003B2D56"/>
    <w:rsid w:val="003C008E"/>
    <w:rsid w:val="003D3467"/>
    <w:rsid w:val="003E1164"/>
    <w:rsid w:val="003E20A4"/>
    <w:rsid w:val="003E3B3F"/>
    <w:rsid w:val="003E667D"/>
    <w:rsid w:val="003E699F"/>
    <w:rsid w:val="003F671B"/>
    <w:rsid w:val="00401A05"/>
    <w:rsid w:val="00402520"/>
    <w:rsid w:val="00406458"/>
    <w:rsid w:val="0040652B"/>
    <w:rsid w:val="004105B9"/>
    <w:rsid w:val="0041213E"/>
    <w:rsid w:val="00414680"/>
    <w:rsid w:val="00416A9D"/>
    <w:rsid w:val="00417589"/>
    <w:rsid w:val="00424989"/>
    <w:rsid w:val="00425AF3"/>
    <w:rsid w:val="004263EB"/>
    <w:rsid w:val="00433CA1"/>
    <w:rsid w:val="0043512A"/>
    <w:rsid w:val="00436D17"/>
    <w:rsid w:val="004456C8"/>
    <w:rsid w:val="00452D22"/>
    <w:rsid w:val="00454DB7"/>
    <w:rsid w:val="00455290"/>
    <w:rsid w:val="00457158"/>
    <w:rsid w:val="004608CF"/>
    <w:rsid w:val="00463049"/>
    <w:rsid w:val="004643B2"/>
    <w:rsid w:val="004677FE"/>
    <w:rsid w:val="0047639A"/>
    <w:rsid w:val="00477B2D"/>
    <w:rsid w:val="00483A5A"/>
    <w:rsid w:val="00485D1D"/>
    <w:rsid w:val="00487907"/>
    <w:rsid w:val="00495B76"/>
    <w:rsid w:val="004A466A"/>
    <w:rsid w:val="004A6248"/>
    <w:rsid w:val="004A735A"/>
    <w:rsid w:val="004B4924"/>
    <w:rsid w:val="004B59D2"/>
    <w:rsid w:val="004C10CD"/>
    <w:rsid w:val="004C1E04"/>
    <w:rsid w:val="004C3B08"/>
    <w:rsid w:val="004C5656"/>
    <w:rsid w:val="004C5A46"/>
    <w:rsid w:val="004D28E5"/>
    <w:rsid w:val="004D2DBC"/>
    <w:rsid w:val="004D4DDC"/>
    <w:rsid w:val="004D5427"/>
    <w:rsid w:val="004E04F7"/>
    <w:rsid w:val="004E1284"/>
    <w:rsid w:val="004E3005"/>
    <w:rsid w:val="004E355F"/>
    <w:rsid w:val="004E480A"/>
    <w:rsid w:val="004F105D"/>
    <w:rsid w:val="004F3266"/>
    <w:rsid w:val="004F330F"/>
    <w:rsid w:val="004F3E93"/>
    <w:rsid w:val="004F64FF"/>
    <w:rsid w:val="00503B32"/>
    <w:rsid w:val="005074B0"/>
    <w:rsid w:val="0051230F"/>
    <w:rsid w:val="00512AF2"/>
    <w:rsid w:val="005213BF"/>
    <w:rsid w:val="00521801"/>
    <w:rsid w:val="005240CB"/>
    <w:rsid w:val="0052718E"/>
    <w:rsid w:val="0053098C"/>
    <w:rsid w:val="005315D6"/>
    <w:rsid w:val="005331EE"/>
    <w:rsid w:val="00534777"/>
    <w:rsid w:val="00535912"/>
    <w:rsid w:val="00536BAC"/>
    <w:rsid w:val="005452B6"/>
    <w:rsid w:val="00550868"/>
    <w:rsid w:val="00551885"/>
    <w:rsid w:val="00551FDE"/>
    <w:rsid w:val="005641BD"/>
    <w:rsid w:val="005659DD"/>
    <w:rsid w:val="005679B7"/>
    <w:rsid w:val="005709B0"/>
    <w:rsid w:val="00576A36"/>
    <w:rsid w:val="0058207A"/>
    <w:rsid w:val="00586595"/>
    <w:rsid w:val="00590DA0"/>
    <w:rsid w:val="0059441A"/>
    <w:rsid w:val="00595011"/>
    <w:rsid w:val="005A03E7"/>
    <w:rsid w:val="005A6465"/>
    <w:rsid w:val="005A72E1"/>
    <w:rsid w:val="005A7CD3"/>
    <w:rsid w:val="005B023C"/>
    <w:rsid w:val="005B3AD7"/>
    <w:rsid w:val="005C18CF"/>
    <w:rsid w:val="005C6AB0"/>
    <w:rsid w:val="005D04C3"/>
    <w:rsid w:val="005D0890"/>
    <w:rsid w:val="005D3D6B"/>
    <w:rsid w:val="005D3F12"/>
    <w:rsid w:val="005D6A0A"/>
    <w:rsid w:val="005E1830"/>
    <w:rsid w:val="005F1327"/>
    <w:rsid w:val="005F15ED"/>
    <w:rsid w:val="005F4040"/>
    <w:rsid w:val="006073B2"/>
    <w:rsid w:val="00610753"/>
    <w:rsid w:val="00611BDA"/>
    <w:rsid w:val="00612847"/>
    <w:rsid w:val="0061797B"/>
    <w:rsid w:val="00621E0C"/>
    <w:rsid w:val="00624B71"/>
    <w:rsid w:val="0063375E"/>
    <w:rsid w:val="00641B81"/>
    <w:rsid w:val="00644AD9"/>
    <w:rsid w:val="0064665C"/>
    <w:rsid w:val="00650557"/>
    <w:rsid w:val="006505DC"/>
    <w:rsid w:val="00651648"/>
    <w:rsid w:val="00656B08"/>
    <w:rsid w:val="00664CBF"/>
    <w:rsid w:val="0066763A"/>
    <w:rsid w:val="0067006B"/>
    <w:rsid w:val="006772D7"/>
    <w:rsid w:val="00681C2B"/>
    <w:rsid w:val="00684627"/>
    <w:rsid w:val="006918E7"/>
    <w:rsid w:val="0069730D"/>
    <w:rsid w:val="006B2609"/>
    <w:rsid w:val="006B337D"/>
    <w:rsid w:val="006C040B"/>
    <w:rsid w:val="006C1B5E"/>
    <w:rsid w:val="006C2981"/>
    <w:rsid w:val="006C2E41"/>
    <w:rsid w:val="006D3460"/>
    <w:rsid w:val="006D3FD9"/>
    <w:rsid w:val="006D747B"/>
    <w:rsid w:val="006E1BFB"/>
    <w:rsid w:val="006E26D9"/>
    <w:rsid w:val="006F1C3B"/>
    <w:rsid w:val="006F26C3"/>
    <w:rsid w:val="006F27B5"/>
    <w:rsid w:val="006F3359"/>
    <w:rsid w:val="006F486E"/>
    <w:rsid w:val="006F5837"/>
    <w:rsid w:val="007011C0"/>
    <w:rsid w:val="00702846"/>
    <w:rsid w:val="00703CC2"/>
    <w:rsid w:val="0070515F"/>
    <w:rsid w:val="00705720"/>
    <w:rsid w:val="007115B7"/>
    <w:rsid w:val="00713A8C"/>
    <w:rsid w:val="00726861"/>
    <w:rsid w:val="00726C99"/>
    <w:rsid w:val="00727ABE"/>
    <w:rsid w:val="007315F9"/>
    <w:rsid w:val="007339F5"/>
    <w:rsid w:val="007348B4"/>
    <w:rsid w:val="00735DF1"/>
    <w:rsid w:val="007378F1"/>
    <w:rsid w:val="0074025B"/>
    <w:rsid w:val="00742F6B"/>
    <w:rsid w:val="00745EDA"/>
    <w:rsid w:val="00755978"/>
    <w:rsid w:val="00755C57"/>
    <w:rsid w:val="00755E67"/>
    <w:rsid w:val="007613B2"/>
    <w:rsid w:val="00761718"/>
    <w:rsid w:val="007619C4"/>
    <w:rsid w:val="007658F4"/>
    <w:rsid w:val="007702E7"/>
    <w:rsid w:val="0077490A"/>
    <w:rsid w:val="00774F3C"/>
    <w:rsid w:val="00780EBB"/>
    <w:rsid w:val="00781CC1"/>
    <w:rsid w:val="00790095"/>
    <w:rsid w:val="00792245"/>
    <w:rsid w:val="007968E9"/>
    <w:rsid w:val="007A0565"/>
    <w:rsid w:val="007A3CD8"/>
    <w:rsid w:val="007A5504"/>
    <w:rsid w:val="007B5431"/>
    <w:rsid w:val="007C1F70"/>
    <w:rsid w:val="007C3AE9"/>
    <w:rsid w:val="007C50BC"/>
    <w:rsid w:val="007C7F60"/>
    <w:rsid w:val="007D02F8"/>
    <w:rsid w:val="007D0CC0"/>
    <w:rsid w:val="007E0DF9"/>
    <w:rsid w:val="007E540F"/>
    <w:rsid w:val="007F2919"/>
    <w:rsid w:val="007F457E"/>
    <w:rsid w:val="007F46C7"/>
    <w:rsid w:val="007F6DF5"/>
    <w:rsid w:val="00800B50"/>
    <w:rsid w:val="00800F2B"/>
    <w:rsid w:val="00801DF6"/>
    <w:rsid w:val="00804565"/>
    <w:rsid w:val="00804B89"/>
    <w:rsid w:val="00815445"/>
    <w:rsid w:val="00825BCA"/>
    <w:rsid w:val="00826ECF"/>
    <w:rsid w:val="00831A2C"/>
    <w:rsid w:val="008320A8"/>
    <w:rsid w:val="008321EE"/>
    <w:rsid w:val="008403AA"/>
    <w:rsid w:val="0084619D"/>
    <w:rsid w:val="00854215"/>
    <w:rsid w:val="0085455D"/>
    <w:rsid w:val="00860D0C"/>
    <w:rsid w:val="0086152F"/>
    <w:rsid w:val="00862440"/>
    <w:rsid w:val="008624C0"/>
    <w:rsid w:val="00875047"/>
    <w:rsid w:val="008762C6"/>
    <w:rsid w:val="00877F32"/>
    <w:rsid w:val="0088044A"/>
    <w:rsid w:val="0088081E"/>
    <w:rsid w:val="00881178"/>
    <w:rsid w:val="00882774"/>
    <w:rsid w:val="00885C76"/>
    <w:rsid w:val="0089052B"/>
    <w:rsid w:val="00892403"/>
    <w:rsid w:val="008A4F4A"/>
    <w:rsid w:val="008A7A55"/>
    <w:rsid w:val="008B2675"/>
    <w:rsid w:val="008B3777"/>
    <w:rsid w:val="008C17C3"/>
    <w:rsid w:val="008D0084"/>
    <w:rsid w:val="008D6C64"/>
    <w:rsid w:val="008E580A"/>
    <w:rsid w:val="008E6861"/>
    <w:rsid w:val="008F1475"/>
    <w:rsid w:val="008F5B98"/>
    <w:rsid w:val="008F7683"/>
    <w:rsid w:val="00900FA3"/>
    <w:rsid w:val="009021AF"/>
    <w:rsid w:val="009061BA"/>
    <w:rsid w:val="00906C01"/>
    <w:rsid w:val="009156CB"/>
    <w:rsid w:val="0091682A"/>
    <w:rsid w:val="009215E0"/>
    <w:rsid w:val="009254EF"/>
    <w:rsid w:val="009266A7"/>
    <w:rsid w:val="009359D1"/>
    <w:rsid w:val="00935E70"/>
    <w:rsid w:val="00942ED8"/>
    <w:rsid w:val="009432F6"/>
    <w:rsid w:val="009464CD"/>
    <w:rsid w:val="00946B80"/>
    <w:rsid w:val="009478EE"/>
    <w:rsid w:val="0096148C"/>
    <w:rsid w:val="0096761F"/>
    <w:rsid w:val="0097437F"/>
    <w:rsid w:val="009759AE"/>
    <w:rsid w:val="0097668F"/>
    <w:rsid w:val="00981CCA"/>
    <w:rsid w:val="00981E3E"/>
    <w:rsid w:val="0098637D"/>
    <w:rsid w:val="00990466"/>
    <w:rsid w:val="009A121B"/>
    <w:rsid w:val="009A2A31"/>
    <w:rsid w:val="009A5528"/>
    <w:rsid w:val="009A5CCB"/>
    <w:rsid w:val="009A7B8F"/>
    <w:rsid w:val="009B337C"/>
    <w:rsid w:val="009C67F8"/>
    <w:rsid w:val="009C6942"/>
    <w:rsid w:val="009D31D6"/>
    <w:rsid w:val="009D3D09"/>
    <w:rsid w:val="009D7C62"/>
    <w:rsid w:val="009E3D82"/>
    <w:rsid w:val="009F1225"/>
    <w:rsid w:val="00A007B4"/>
    <w:rsid w:val="00A0322C"/>
    <w:rsid w:val="00A12B12"/>
    <w:rsid w:val="00A17F03"/>
    <w:rsid w:val="00A242EC"/>
    <w:rsid w:val="00A34924"/>
    <w:rsid w:val="00A55751"/>
    <w:rsid w:val="00A70FF2"/>
    <w:rsid w:val="00A74272"/>
    <w:rsid w:val="00A742F7"/>
    <w:rsid w:val="00A751FB"/>
    <w:rsid w:val="00A811CF"/>
    <w:rsid w:val="00A83B70"/>
    <w:rsid w:val="00A940C4"/>
    <w:rsid w:val="00AA1E8D"/>
    <w:rsid w:val="00AA5782"/>
    <w:rsid w:val="00AA7319"/>
    <w:rsid w:val="00AB2811"/>
    <w:rsid w:val="00AC0048"/>
    <w:rsid w:val="00AC3180"/>
    <w:rsid w:val="00AC794C"/>
    <w:rsid w:val="00AD046B"/>
    <w:rsid w:val="00AD495B"/>
    <w:rsid w:val="00AE62C2"/>
    <w:rsid w:val="00AF3E79"/>
    <w:rsid w:val="00B024A5"/>
    <w:rsid w:val="00B33812"/>
    <w:rsid w:val="00B339B1"/>
    <w:rsid w:val="00B407B4"/>
    <w:rsid w:val="00B40CFC"/>
    <w:rsid w:val="00B4333A"/>
    <w:rsid w:val="00B47CA1"/>
    <w:rsid w:val="00B60286"/>
    <w:rsid w:val="00B61655"/>
    <w:rsid w:val="00B62907"/>
    <w:rsid w:val="00B66262"/>
    <w:rsid w:val="00B725DE"/>
    <w:rsid w:val="00B8020A"/>
    <w:rsid w:val="00B82C15"/>
    <w:rsid w:val="00B91911"/>
    <w:rsid w:val="00BA0CB2"/>
    <w:rsid w:val="00BA1F7E"/>
    <w:rsid w:val="00BA3EBA"/>
    <w:rsid w:val="00BA5E20"/>
    <w:rsid w:val="00BC0FA6"/>
    <w:rsid w:val="00BC118F"/>
    <w:rsid w:val="00BC22A2"/>
    <w:rsid w:val="00BC58C6"/>
    <w:rsid w:val="00BD4C43"/>
    <w:rsid w:val="00BE287E"/>
    <w:rsid w:val="00BE2A86"/>
    <w:rsid w:val="00BE471C"/>
    <w:rsid w:val="00BE7F53"/>
    <w:rsid w:val="00BF399F"/>
    <w:rsid w:val="00C0301E"/>
    <w:rsid w:val="00C04431"/>
    <w:rsid w:val="00C05E53"/>
    <w:rsid w:val="00C114FC"/>
    <w:rsid w:val="00C11695"/>
    <w:rsid w:val="00C12A0F"/>
    <w:rsid w:val="00C13847"/>
    <w:rsid w:val="00C13DE4"/>
    <w:rsid w:val="00C16D5A"/>
    <w:rsid w:val="00C175C3"/>
    <w:rsid w:val="00C17891"/>
    <w:rsid w:val="00C23A39"/>
    <w:rsid w:val="00C24D6B"/>
    <w:rsid w:val="00C26C73"/>
    <w:rsid w:val="00C32CCF"/>
    <w:rsid w:val="00C33B34"/>
    <w:rsid w:val="00C33F0A"/>
    <w:rsid w:val="00C4154E"/>
    <w:rsid w:val="00C472C0"/>
    <w:rsid w:val="00C47A4D"/>
    <w:rsid w:val="00C47B96"/>
    <w:rsid w:val="00C51999"/>
    <w:rsid w:val="00C53BC8"/>
    <w:rsid w:val="00C55359"/>
    <w:rsid w:val="00C62C8E"/>
    <w:rsid w:val="00C62CB0"/>
    <w:rsid w:val="00C6300C"/>
    <w:rsid w:val="00C65AB4"/>
    <w:rsid w:val="00C70110"/>
    <w:rsid w:val="00C7090C"/>
    <w:rsid w:val="00C70D07"/>
    <w:rsid w:val="00C73489"/>
    <w:rsid w:val="00C75DEB"/>
    <w:rsid w:val="00C84267"/>
    <w:rsid w:val="00C917E8"/>
    <w:rsid w:val="00C92F00"/>
    <w:rsid w:val="00C943A0"/>
    <w:rsid w:val="00CA0975"/>
    <w:rsid w:val="00CA0A0A"/>
    <w:rsid w:val="00CA36A6"/>
    <w:rsid w:val="00CB0C70"/>
    <w:rsid w:val="00CB1365"/>
    <w:rsid w:val="00CB4E13"/>
    <w:rsid w:val="00CB78DF"/>
    <w:rsid w:val="00CC47F3"/>
    <w:rsid w:val="00CC600C"/>
    <w:rsid w:val="00CD14BE"/>
    <w:rsid w:val="00CD2E0A"/>
    <w:rsid w:val="00CD6390"/>
    <w:rsid w:val="00CD697D"/>
    <w:rsid w:val="00CD758C"/>
    <w:rsid w:val="00CE0D89"/>
    <w:rsid w:val="00CE286D"/>
    <w:rsid w:val="00CE62DE"/>
    <w:rsid w:val="00CE748E"/>
    <w:rsid w:val="00CF0F1D"/>
    <w:rsid w:val="00CF1013"/>
    <w:rsid w:val="00D04800"/>
    <w:rsid w:val="00D10CA6"/>
    <w:rsid w:val="00D127C0"/>
    <w:rsid w:val="00D222E6"/>
    <w:rsid w:val="00D26C8E"/>
    <w:rsid w:val="00D344D4"/>
    <w:rsid w:val="00D66686"/>
    <w:rsid w:val="00D66E4D"/>
    <w:rsid w:val="00D75FAE"/>
    <w:rsid w:val="00D77960"/>
    <w:rsid w:val="00D806F2"/>
    <w:rsid w:val="00D84D49"/>
    <w:rsid w:val="00D86B80"/>
    <w:rsid w:val="00D95AA4"/>
    <w:rsid w:val="00DA1C85"/>
    <w:rsid w:val="00DA3107"/>
    <w:rsid w:val="00DA57BC"/>
    <w:rsid w:val="00DB2489"/>
    <w:rsid w:val="00DB4120"/>
    <w:rsid w:val="00DC1354"/>
    <w:rsid w:val="00DC7DD4"/>
    <w:rsid w:val="00DD5598"/>
    <w:rsid w:val="00DE2793"/>
    <w:rsid w:val="00DE315A"/>
    <w:rsid w:val="00DE54C5"/>
    <w:rsid w:val="00DF2411"/>
    <w:rsid w:val="00DF2E6A"/>
    <w:rsid w:val="00DF445D"/>
    <w:rsid w:val="00DF6715"/>
    <w:rsid w:val="00E02FB8"/>
    <w:rsid w:val="00E04389"/>
    <w:rsid w:val="00E20434"/>
    <w:rsid w:val="00E228A0"/>
    <w:rsid w:val="00E2516B"/>
    <w:rsid w:val="00E30517"/>
    <w:rsid w:val="00E34B38"/>
    <w:rsid w:val="00E36DBA"/>
    <w:rsid w:val="00E4089A"/>
    <w:rsid w:val="00E42345"/>
    <w:rsid w:val="00E46C98"/>
    <w:rsid w:val="00E55251"/>
    <w:rsid w:val="00E55FCB"/>
    <w:rsid w:val="00E60242"/>
    <w:rsid w:val="00E60A3E"/>
    <w:rsid w:val="00E65057"/>
    <w:rsid w:val="00E65AAB"/>
    <w:rsid w:val="00E65C95"/>
    <w:rsid w:val="00E65CE1"/>
    <w:rsid w:val="00E67C3B"/>
    <w:rsid w:val="00E67EB9"/>
    <w:rsid w:val="00E766F3"/>
    <w:rsid w:val="00E825FB"/>
    <w:rsid w:val="00E86BAC"/>
    <w:rsid w:val="00E87877"/>
    <w:rsid w:val="00E91F33"/>
    <w:rsid w:val="00E95ECE"/>
    <w:rsid w:val="00E96322"/>
    <w:rsid w:val="00E97F0B"/>
    <w:rsid w:val="00EA07AA"/>
    <w:rsid w:val="00EA2A63"/>
    <w:rsid w:val="00EA3F24"/>
    <w:rsid w:val="00EB31B2"/>
    <w:rsid w:val="00EB37E4"/>
    <w:rsid w:val="00EB51B2"/>
    <w:rsid w:val="00EB5AB5"/>
    <w:rsid w:val="00EB6C4C"/>
    <w:rsid w:val="00EC2DAE"/>
    <w:rsid w:val="00EC371A"/>
    <w:rsid w:val="00EC5CA6"/>
    <w:rsid w:val="00EC65A8"/>
    <w:rsid w:val="00ED3E4F"/>
    <w:rsid w:val="00ED4F7B"/>
    <w:rsid w:val="00ED539F"/>
    <w:rsid w:val="00ED768B"/>
    <w:rsid w:val="00EE4C29"/>
    <w:rsid w:val="00EF103B"/>
    <w:rsid w:val="00EF7AFC"/>
    <w:rsid w:val="00F0717C"/>
    <w:rsid w:val="00F15ED2"/>
    <w:rsid w:val="00F23843"/>
    <w:rsid w:val="00F27EB3"/>
    <w:rsid w:val="00F329C9"/>
    <w:rsid w:val="00F344B0"/>
    <w:rsid w:val="00F40120"/>
    <w:rsid w:val="00F40E04"/>
    <w:rsid w:val="00F42303"/>
    <w:rsid w:val="00F435F5"/>
    <w:rsid w:val="00F50144"/>
    <w:rsid w:val="00F501C8"/>
    <w:rsid w:val="00F556C6"/>
    <w:rsid w:val="00F5634A"/>
    <w:rsid w:val="00F675FA"/>
    <w:rsid w:val="00F733C3"/>
    <w:rsid w:val="00F90304"/>
    <w:rsid w:val="00F932AA"/>
    <w:rsid w:val="00F96DD1"/>
    <w:rsid w:val="00F97A39"/>
    <w:rsid w:val="00FA63A8"/>
    <w:rsid w:val="00FC20F3"/>
    <w:rsid w:val="00FD5BE1"/>
    <w:rsid w:val="00FE091C"/>
    <w:rsid w:val="00FE219A"/>
    <w:rsid w:val="00FE24F0"/>
    <w:rsid w:val="00FE437F"/>
    <w:rsid w:val="00FE5C3E"/>
    <w:rsid w:val="00FF1A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F2197"/>
  <w15:docId w15:val="{D712BCB8-E790-4A44-93F5-3E6139997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1EA1"/>
    <w:pPr>
      <w:spacing w:after="200" w:line="276" w:lineRule="auto"/>
    </w:pPr>
    <w:rPr>
      <w:rFonts w:ascii="Calibri" w:eastAsia="Times New Roman" w:hAnsi="Calibri" w:cs="Times New Roman"/>
      <w:kern w:val="0"/>
      <w:lang w:val="sq-AL"/>
      <w14:ligatures w14:val="none"/>
    </w:rPr>
  </w:style>
  <w:style w:type="paragraph" w:styleId="Heading1">
    <w:name w:val="heading 1"/>
    <w:basedOn w:val="Normal"/>
    <w:next w:val="Normal"/>
    <w:link w:val="Heading1Char"/>
    <w:uiPriority w:val="9"/>
    <w:qFormat/>
    <w:rsid w:val="00391EA1"/>
    <w:pPr>
      <w:keepNext/>
      <w:numPr>
        <w:numId w:val="1"/>
      </w:numPr>
      <w:spacing w:before="240" w:after="60"/>
      <w:ind w:left="0" w:firstLine="0"/>
      <w:outlineLvl w:val="0"/>
    </w:pPr>
    <w:rPr>
      <w:rFonts w:ascii="Calibri Light" w:hAnsi="Calibri Light"/>
      <w:b/>
      <w:bCs/>
      <w:kern w:val="32"/>
      <w:sz w:val="32"/>
      <w:szCs w:val="32"/>
    </w:rPr>
  </w:style>
  <w:style w:type="paragraph" w:styleId="Heading2">
    <w:name w:val="heading 2"/>
    <w:basedOn w:val="Normal"/>
    <w:next w:val="Normal"/>
    <w:link w:val="Heading2Char"/>
    <w:uiPriority w:val="99"/>
    <w:semiHidden/>
    <w:rsid w:val="00391EA1"/>
    <w:pPr>
      <w:keepNext/>
      <w:numPr>
        <w:ilvl w:val="1"/>
        <w:numId w:val="1"/>
      </w:numPr>
      <w:spacing w:before="240" w:after="60"/>
      <w:ind w:left="0" w:firstLine="0"/>
      <w:outlineLvl w:val="1"/>
    </w:pPr>
    <w:rPr>
      <w:rFonts w:ascii="Calibri Light" w:hAnsi="Calibri Light"/>
      <w:b/>
      <w:bCs/>
      <w:i/>
      <w:iCs/>
      <w:sz w:val="28"/>
      <w:szCs w:val="28"/>
    </w:rPr>
  </w:style>
  <w:style w:type="paragraph" w:styleId="Heading3">
    <w:name w:val="heading 3"/>
    <w:basedOn w:val="Normal"/>
    <w:next w:val="Normal"/>
    <w:link w:val="Heading3Char"/>
    <w:uiPriority w:val="99"/>
    <w:semiHidden/>
    <w:rsid w:val="00391EA1"/>
    <w:pPr>
      <w:keepNext/>
      <w:numPr>
        <w:ilvl w:val="2"/>
        <w:numId w:val="1"/>
      </w:numPr>
      <w:spacing w:before="240" w:after="60"/>
      <w:ind w:left="720" w:hanging="432"/>
      <w:outlineLvl w:val="2"/>
    </w:pPr>
    <w:rPr>
      <w:rFonts w:ascii="Calibri Light" w:hAnsi="Calibri Light"/>
      <w:b/>
      <w:bCs/>
      <w:sz w:val="26"/>
      <w:szCs w:val="26"/>
    </w:rPr>
  </w:style>
  <w:style w:type="paragraph" w:styleId="Heading4">
    <w:name w:val="heading 4"/>
    <w:basedOn w:val="Normal"/>
    <w:next w:val="Normal"/>
    <w:link w:val="Heading4Char"/>
    <w:uiPriority w:val="99"/>
    <w:semiHidden/>
    <w:rsid w:val="00391EA1"/>
    <w:pPr>
      <w:keepNext/>
      <w:numPr>
        <w:ilvl w:val="3"/>
        <w:numId w:val="1"/>
      </w:numPr>
      <w:spacing w:before="240" w:after="60"/>
      <w:ind w:left="864" w:hanging="144"/>
      <w:outlineLvl w:val="3"/>
    </w:pPr>
    <w:rPr>
      <w:b/>
      <w:bCs/>
      <w:sz w:val="28"/>
      <w:szCs w:val="28"/>
    </w:rPr>
  </w:style>
  <w:style w:type="paragraph" w:styleId="Heading5">
    <w:name w:val="heading 5"/>
    <w:basedOn w:val="Normal"/>
    <w:next w:val="Normal"/>
    <w:link w:val="Heading5Char"/>
    <w:uiPriority w:val="99"/>
    <w:semiHidden/>
    <w:qFormat/>
    <w:rsid w:val="00391EA1"/>
    <w:pPr>
      <w:numPr>
        <w:ilvl w:val="4"/>
        <w:numId w:val="1"/>
      </w:numPr>
      <w:spacing w:before="240" w:after="60"/>
      <w:ind w:left="1008" w:hanging="432"/>
      <w:outlineLvl w:val="4"/>
    </w:pPr>
    <w:rPr>
      <w:b/>
      <w:bCs/>
      <w:i/>
      <w:iCs/>
      <w:sz w:val="26"/>
      <w:szCs w:val="26"/>
    </w:rPr>
  </w:style>
  <w:style w:type="paragraph" w:styleId="Heading6">
    <w:name w:val="heading 6"/>
    <w:basedOn w:val="Normal"/>
    <w:next w:val="Normal"/>
    <w:link w:val="Heading6Char"/>
    <w:uiPriority w:val="99"/>
    <w:semiHidden/>
    <w:rsid w:val="00391EA1"/>
    <w:pPr>
      <w:numPr>
        <w:ilvl w:val="5"/>
        <w:numId w:val="1"/>
      </w:numPr>
      <w:spacing w:before="240" w:after="60"/>
      <w:ind w:left="1152" w:hanging="432"/>
      <w:outlineLvl w:val="5"/>
    </w:pPr>
    <w:rPr>
      <w:b/>
      <w:bCs/>
    </w:rPr>
  </w:style>
  <w:style w:type="paragraph" w:styleId="Heading7">
    <w:name w:val="heading 7"/>
    <w:basedOn w:val="Normal"/>
    <w:next w:val="Normal"/>
    <w:link w:val="Heading7Char"/>
    <w:uiPriority w:val="99"/>
    <w:semiHidden/>
    <w:qFormat/>
    <w:rsid w:val="00391EA1"/>
    <w:pPr>
      <w:numPr>
        <w:ilvl w:val="6"/>
        <w:numId w:val="1"/>
      </w:numPr>
      <w:spacing w:before="240" w:after="60"/>
      <w:ind w:left="1296" w:hanging="288"/>
      <w:outlineLvl w:val="6"/>
    </w:pPr>
    <w:rPr>
      <w:sz w:val="24"/>
      <w:szCs w:val="24"/>
    </w:rPr>
  </w:style>
  <w:style w:type="paragraph" w:styleId="Heading8">
    <w:name w:val="heading 8"/>
    <w:basedOn w:val="Normal"/>
    <w:next w:val="Normal"/>
    <w:link w:val="Heading8Char"/>
    <w:uiPriority w:val="99"/>
    <w:semiHidden/>
    <w:qFormat/>
    <w:rsid w:val="00391EA1"/>
    <w:pPr>
      <w:numPr>
        <w:ilvl w:val="7"/>
        <w:numId w:val="1"/>
      </w:numPr>
      <w:spacing w:before="240" w:after="60"/>
      <w:ind w:left="1440" w:hanging="432"/>
      <w:outlineLvl w:val="7"/>
    </w:pPr>
    <w:rPr>
      <w:i/>
      <w:iCs/>
      <w:sz w:val="24"/>
      <w:szCs w:val="24"/>
    </w:rPr>
  </w:style>
  <w:style w:type="paragraph" w:styleId="Heading9">
    <w:name w:val="heading 9"/>
    <w:basedOn w:val="Normal"/>
    <w:next w:val="Normal"/>
    <w:link w:val="Heading9Char"/>
    <w:uiPriority w:val="99"/>
    <w:semiHidden/>
    <w:qFormat/>
    <w:rsid w:val="00391EA1"/>
    <w:pPr>
      <w:numPr>
        <w:ilvl w:val="8"/>
        <w:numId w:val="1"/>
      </w:numPr>
      <w:spacing w:before="240" w:after="60"/>
      <w:ind w:left="1584" w:hanging="144"/>
      <w:outlineLvl w:val="8"/>
    </w:pPr>
    <w:rPr>
      <w:rFonts w:ascii="Calibri Light"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EA1"/>
    <w:rPr>
      <w:rFonts w:ascii="Calibri Light" w:eastAsia="Times New Roman" w:hAnsi="Calibri Light" w:cs="Times New Roman"/>
      <w:b/>
      <w:bCs/>
      <w:kern w:val="32"/>
      <w:sz w:val="32"/>
      <w:szCs w:val="32"/>
      <w14:ligatures w14:val="none"/>
    </w:rPr>
  </w:style>
  <w:style w:type="character" w:customStyle="1" w:styleId="Heading2Char">
    <w:name w:val="Heading 2 Char"/>
    <w:basedOn w:val="DefaultParagraphFont"/>
    <w:link w:val="Heading2"/>
    <w:uiPriority w:val="99"/>
    <w:semiHidden/>
    <w:rsid w:val="00391EA1"/>
    <w:rPr>
      <w:rFonts w:ascii="Calibri Light" w:eastAsia="Times New Roman" w:hAnsi="Calibri Light" w:cs="Times New Roman"/>
      <w:b/>
      <w:bCs/>
      <w:i/>
      <w:iCs/>
      <w:kern w:val="0"/>
      <w:sz w:val="28"/>
      <w:szCs w:val="28"/>
      <w14:ligatures w14:val="none"/>
    </w:rPr>
  </w:style>
  <w:style w:type="character" w:customStyle="1" w:styleId="Heading3Char">
    <w:name w:val="Heading 3 Char"/>
    <w:basedOn w:val="DefaultParagraphFont"/>
    <w:link w:val="Heading3"/>
    <w:uiPriority w:val="99"/>
    <w:semiHidden/>
    <w:rsid w:val="00391EA1"/>
    <w:rPr>
      <w:rFonts w:ascii="Calibri Light" w:eastAsia="Times New Roman" w:hAnsi="Calibri Light" w:cs="Times New Roman"/>
      <w:b/>
      <w:bCs/>
      <w:kern w:val="0"/>
      <w:sz w:val="26"/>
      <w:szCs w:val="26"/>
      <w14:ligatures w14:val="none"/>
    </w:rPr>
  </w:style>
  <w:style w:type="character" w:customStyle="1" w:styleId="Heading4Char">
    <w:name w:val="Heading 4 Char"/>
    <w:basedOn w:val="DefaultParagraphFont"/>
    <w:link w:val="Heading4"/>
    <w:uiPriority w:val="99"/>
    <w:semiHidden/>
    <w:rsid w:val="00391EA1"/>
    <w:rPr>
      <w:rFonts w:ascii="Calibri" w:eastAsia="Times New Roman" w:hAnsi="Calibri" w:cs="Times New Roman"/>
      <w:b/>
      <w:bCs/>
      <w:kern w:val="0"/>
      <w:sz w:val="28"/>
      <w:szCs w:val="28"/>
      <w14:ligatures w14:val="none"/>
    </w:rPr>
  </w:style>
  <w:style w:type="character" w:customStyle="1" w:styleId="Heading5Char">
    <w:name w:val="Heading 5 Char"/>
    <w:basedOn w:val="DefaultParagraphFont"/>
    <w:link w:val="Heading5"/>
    <w:uiPriority w:val="99"/>
    <w:semiHidden/>
    <w:rsid w:val="00391EA1"/>
    <w:rPr>
      <w:rFonts w:ascii="Calibri" w:eastAsia="Times New Roman" w:hAnsi="Calibri" w:cs="Times New Roman"/>
      <w:b/>
      <w:bCs/>
      <w:i/>
      <w:iCs/>
      <w:kern w:val="0"/>
      <w:sz w:val="26"/>
      <w:szCs w:val="26"/>
      <w14:ligatures w14:val="none"/>
    </w:rPr>
  </w:style>
  <w:style w:type="character" w:customStyle="1" w:styleId="Heading6Char">
    <w:name w:val="Heading 6 Char"/>
    <w:basedOn w:val="DefaultParagraphFont"/>
    <w:link w:val="Heading6"/>
    <w:uiPriority w:val="99"/>
    <w:semiHidden/>
    <w:rsid w:val="00391EA1"/>
    <w:rPr>
      <w:rFonts w:ascii="Calibri" w:eastAsia="Times New Roman" w:hAnsi="Calibri" w:cs="Times New Roman"/>
      <w:b/>
      <w:bCs/>
      <w:kern w:val="0"/>
      <w14:ligatures w14:val="none"/>
    </w:rPr>
  </w:style>
  <w:style w:type="character" w:customStyle="1" w:styleId="Heading7Char">
    <w:name w:val="Heading 7 Char"/>
    <w:basedOn w:val="DefaultParagraphFont"/>
    <w:link w:val="Heading7"/>
    <w:uiPriority w:val="99"/>
    <w:semiHidden/>
    <w:rsid w:val="00391EA1"/>
    <w:rPr>
      <w:rFonts w:ascii="Calibri" w:eastAsia="Times New Roman" w:hAnsi="Calibri" w:cs="Times New Roman"/>
      <w:kern w:val="0"/>
      <w:sz w:val="24"/>
      <w:szCs w:val="24"/>
      <w14:ligatures w14:val="none"/>
    </w:rPr>
  </w:style>
  <w:style w:type="character" w:customStyle="1" w:styleId="Heading8Char">
    <w:name w:val="Heading 8 Char"/>
    <w:basedOn w:val="DefaultParagraphFont"/>
    <w:link w:val="Heading8"/>
    <w:uiPriority w:val="99"/>
    <w:semiHidden/>
    <w:rsid w:val="00391EA1"/>
    <w:rPr>
      <w:rFonts w:ascii="Calibri" w:eastAsia="Times New Roman" w:hAnsi="Calibri" w:cs="Times New Roman"/>
      <w:i/>
      <w:iCs/>
      <w:kern w:val="0"/>
      <w:sz w:val="24"/>
      <w:szCs w:val="24"/>
      <w14:ligatures w14:val="none"/>
    </w:rPr>
  </w:style>
  <w:style w:type="character" w:customStyle="1" w:styleId="Heading9Char">
    <w:name w:val="Heading 9 Char"/>
    <w:basedOn w:val="DefaultParagraphFont"/>
    <w:link w:val="Heading9"/>
    <w:uiPriority w:val="99"/>
    <w:semiHidden/>
    <w:rsid w:val="00391EA1"/>
    <w:rPr>
      <w:rFonts w:ascii="Calibri Light" w:eastAsia="Times New Roman" w:hAnsi="Calibri Light" w:cs="Times New Roman"/>
      <w:kern w:val="0"/>
      <w14:ligatures w14:val="none"/>
    </w:rPr>
  </w:style>
  <w:style w:type="paragraph" w:styleId="Header">
    <w:name w:val="header"/>
    <w:basedOn w:val="Normal"/>
    <w:link w:val="HeaderChar"/>
    <w:uiPriority w:val="57"/>
    <w:unhideWhenUsed/>
    <w:rsid w:val="00391EA1"/>
    <w:pPr>
      <w:tabs>
        <w:tab w:val="center" w:pos="4513"/>
        <w:tab w:val="right" w:pos="9026"/>
      </w:tabs>
      <w:spacing w:after="0" w:line="240" w:lineRule="auto"/>
    </w:pPr>
    <w:rPr>
      <w:sz w:val="20"/>
      <w:szCs w:val="20"/>
      <w:lang w:val="en-GB" w:eastAsia="en-GB"/>
    </w:rPr>
  </w:style>
  <w:style w:type="character" w:customStyle="1" w:styleId="HeaderChar">
    <w:name w:val="Header Char"/>
    <w:basedOn w:val="DefaultParagraphFont"/>
    <w:link w:val="Header"/>
    <w:uiPriority w:val="57"/>
    <w:rsid w:val="00391EA1"/>
    <w:rPr>
      <w:rFonts w:ascii="Calibri" w:eastAsia="Times New Roman" w:hAnsi="Calibri" w:cs="Times New Roman"/>
      <w:kern w:val="0"/>
      <w:sz w:val="20"/>
      <w:szCs w:val="20"/>
      <w:lang w:val="en-GB" w:eastAsia="en-GB"/>
      <w14:ligatures w14:val="none"/>
    </w:rPr>
  </w:style>
  <w:style w:type="paragraph" w:styleId="Footer">
    <w:name w:val="footer"/>
    <w:basedOn w:val="Normal"/>
    <w:link w:val="FooterChar"/>
    <w:uiPriority w:val="57"/>
    <w:unhideWhenUsed/>
    <w:rsid w:val="00391EA1"/>
    <w:pPr>
      <w:tabs>
        <w:tab w:val="center" w:pos="4513"/>
        <w:tab w:val="right" w:pos="9026"/>
      </w:tabs>
      <w:spacing w:after="0" w:line="240" w:lineRule="auto"/>
    </w:pPr>
    <w:rPr>
      <w:sz w:val="20"/>
      <w:szCs w:val="20"/>
      <w:lang w:val="en-GB" w:eastAsia="en-GB"/>
    </w:rPr>
  </w:style>
  <w:style w:type="character" w:customStyle="1" w:styleId="FooterChar">
    <w:name w:val="Footer Char"/>
    <w:basedOn w:val="DefaultParagraphFont"/>
    <w:link w:val="Footer"/>
    <w:uiPriority w:val="57"/>
    <w:rsid w:val="00391EA1"/>
    <w:rPr>
      <w:rFonts w:ascii="Calibri" w:eastAsia="Times New Roman" w:hAnsi="Calibri" w:cs="Times New Roman"/>
      <w:kern w:val="0"/>
      <w:sz w:val="20"/>
      <w:szCs w:val="20"/>
      <w:lang w:val="en-GB" w:eastAsia="en-GB"/>
      <w14:ligatures w14:val="none"/>
    </w:rPr>
  </w:style>
  <w:style w:type="character" w:styleId="Hyperlink">
    <w:name w:val="Hyperlink"/>
    <w:uiPriority w:val="99"/>
    <w:unhideWhenUsed/>
    <w:rsid w:val="00391EA1"/>
    <w:rPr>
      <w:color w:val="0000FF"/>
      <w:u w:val="single"/>
    </w:rPr>
  </w:style>
  <w:style w:type="paragraph" w:styleId="ListParagraph">
    <w:name w:val="List Paragraph"/>
    <w:basedOn w:val="Normal"/>
    <w:uiPriority w:val="34"/>
    <w:qFormat/>
    <w:rsid w:val="00391EA1"/>
    <w:pPr>
      <w:ind w:left="720"/>
      <w:contextualSpacing/>
    </w:pPr>
  </w:style>
  <w:style w:type="paragraph" w:styleId="BalloonText">
    <w:name w:val="Balloon Text"/>
    <w:basedOn w:val="Normal"/>
    <w:link w:val="BalloonTextChar"/>
    <w:uiPriority w:val="99"/>
    <w:semiHidden/>
    <w:unhideWhenUsed/>
    <w:rsid w:val="00391EA1"/>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391EA1"/>
    <w:rPr>
      <w:rFonts w:ascii="Tahoma" w:eastAsia="Times New Roman" w:hAnsi="Tahoma" w:cs="Times New Roman"/>
      <w:kern w:val="0"/>
      <w:sz w:val="16"/>
      <w:szCs w:val="16"/>
      <w:lang w:val="x-none" w:eastAsia="x-none"/>
      <w14:ligatures w14:val="none"/>
    </w:rPr>
  </w:style>
  <w:style w:type="paragraph" w:styleId="NoSpacing">
    <w:name w:val="No Spacing"/>
    <w:link w:val="NoSpacingChar"/>
    <w:uiPriority w:val="1"/>
    <w:qFormat/>
    <w:rsid w:val="00391EA1"/>
    <w:pPr>
      <w:spacing w:after="0" w:line="240" w:lineRule="auto"/>
    </w:pPr>
    <w:rPr>
      <w:rFonts w:ascii="Calibri" w:eastAsia="Times New Roman" w:hAnsi="Calibri" w:cs="Times New Roman"/>
      <w:kern w:val="0"/>
      <w14:ligatures w14:val="none"/>
    </w:rPr>
  </w:style>
  <w:style w:type="paragraph" w:customStyle="1" w:styleId="Default">
    <w:name w:val="Default"/>
    <w:rsid w:val="00391EA1"/>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styleId="FootnoteText">
    <w:name w:val="footnote text"/>
    <w:basedOn w:val="Normal"/>
    <w:link w:val="FootnoteTextChar"/>
    <w:uiPriority w:val="99"/>
    <w:semiHidden/>
    <w:unhideWhenUsed/>
    <w:rsid w:val="00391EA1"/>
    <w:rPr>
      <w:sz w:val="20"/>
      <w:szCs w:val="20"/>
    </w:rPr>
  </w:style>
  <w:style w:type="character" w:customStyle="1" w:styleId="FootnoteTextChar">
    <w:name w:val="Footnote Text Char"/>
    <w:basedOn w:val="DefaultParagraphFont"/>
    <w:link w:val="FootnoteText"/>
    <w:uiPriority w:val="99"/>
    <w:semiHidden/>
    <w:rsid w:val="00391EA1"/>
    <w:rPr>
      <w:rFonts w:ascii="Calibri" w:eastAsia="Times New Roman" w:hAnsi="Calibri" w:cs="Times New Roman"/>
      <w:kern w:val="0"/>
      <w:sz w:val="20"/>
      <w:szCs w:val="20"/>
      <w14:ligatures w14:val="none"/>
    </w:rPr>
  </w:style>
  <w:style w:type="character" w:styleId="FootnoteReference">
    <w:name w:val="footnote reference"/>
    <w:uiPriority w:val="99"/>
    <w:semiHidden/>
    <w:unhideWhenUsed/>
    <w:rsid w:val="00391EA1"/>
    <w:rPr>
      <w:vertAlign w:val="superscript"/>
    </w:rPr>
  </w:style>
  <w:style w:type="table" w:styleId="TableGrid">
    <w:name w:val="Table Grid"/>
    <w:basedOn w:val="TableNormal"/>
    <w:uiPriority w:val="59"/>
    <w:rsid w:val="00391EA1"/>
    <w:pPr>
      <w:spacing w:after="0" w:line="240" w:lineRule="auto"/>
    </w:pPr>
    <w:rPr>
      <w:rFonts w:ascii="Calibri" w:eastAsia="Times New Roman"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BookTitle">
    <w:name w:val="Book Title"/>
    <w:uiPriority w:val="99"/>
    <w:qFormat/>
    <w:rsid w:val="00391EA1"/>
    <w:rPr>
      <w:i/>
      <w:iCs/>
      <w:smallCaps/>
      <w:spacing w:val="5"/>
    </w:rPr>
  </w:style>
  <w:style w:type="paragraph" w:customStyle="1" w:styleId="ECHRHeader">
    <w:name w:val="ECHR_Header"/>
    <w:aliases w:val="Ju_Header"/>
    <w:basedOn w:val="Header"/>
    <w:uiPriority w:val="4"/>
    <w:qFormat/>
    <w:rsid w:val="00391EA1"/>
    <w:pPr>
      <w:tabs>
        <w:tab w:val="clear" w:pos="4513"/>
        <w:tab w:val="clear" w:pos="9026"/>
        <w:tab w:val="center" w:pos="3686"/>
        <w:tab w:val="right" w:pos="7371"/>
      </w:tabs>
    </w:pPr>
    <w:rPr>
      <w:rFonts w:ascii="Times New Roman" w:hAnsi="Times New Roman"/>
      <w:sz w:val="18"/>
      <w:lang w:eastAsia="x-none"/>
    </w:rPr>
  </w:style>
  <w:style w:type="paragraph" w:customStyle="1" w:styleId="DecHTitle">
    <w:name w:val="Dec_H_Title"/>
    <w:basedOn w:val="ECHRTitleCentre1"/>
    <w:uiPriority w:val="7"/>
    <w:semiHidden/>
    <w:qFormat/>
    <w:rsid w:val="00391EA1"/>
  </w:style>
  <w:style w:type="character" w:styleId="Strong">
    <w:name w:val="Strong"/>
    <w:uiPriority w:val="99"/>
    <w:qFormat/>
    <w:rsid w:val="00391EA1"/>
    <w:rPr>
      <w:b/>
      <w:bCs/>
    </w:rPr>
  </w:style>
  <w:style w:type="character" w:customStyle="1" w:styleId="NoSpacingChar">
    <w:name w:val="No Spacing Char"/>
    <w:link w:val="NoSpacing"/>
    <w:uiPriority w:val="1"/>
    <w:rsid w:val="00391EA1"/>
    <w:rPr>
      <w:rFonts w:ascii="Calibri" w:eastAsia="Times New Roman" w:hAnsi="Calibri" w:cs="Times New Roman"/>
      <w:kern w:val="0"/>
      <w14:ligatures w14:val="none"/>
    </w:rPr>
  </w:style>
  <w:style w:type="paragraph" w:customStyle="1" w:styleId="ECHRParaQuote">
    <w:name w:val="ECHR_Para_Quote"/>
    <w:aliases w:val="Ju_Quot"/>
    <w:basedOn w:val="Normal"/>
    <w:uiPriority w:val="14"/>
    <w:qFormat/>
    <w:rsid w:val="00391EA1"/>
    <w:pPr>
      <w:spacing w:before="120" w:after="120" w:line="240" w:lineRule="auto"/>
      <w:ind w:left="425" w:firstLine="142"/>
      <w:jc w:val="both"/>
    </w:pPr>
    <w:rPr>
      <w:rFonts w:ascii="Times New Roman" w:eastAsia="MS Mincho" w:hAnsi="Times New Roman"/>
      <w:sz w:val="20"/>
      <w:lang w:val="en-GB"/>
    </w:rPr>
  </w:style>
  <w:style w:type="paragraph" w:customStyle="1" w:styleId="DecList">
    <w:name w:val="Dec_List"/>
    <w:basedOn w:val="Normal"/>
    <w:uiPriority w:val="9"/>
    <w:semiHidden/>
    <w:qFormat/>
    <w:rsid w:val="00391EA1"/>
    <w:pPr>
      <w:spacing w:before="240" w:after="0" w:line="240" w:lineRule="auto"/>
      <w:ind w:left="284"/>
      <w:jc w:val="both"/>
    </w:pPr>
    <w:rPr>
      <w:rFonts w:ascii="Times New Roman" w:eastAsia="MS Mincho" w:hAnsi="Times New Roman"/>
      <w:sz w:val="24"/>
      <w:lang w:val="en-GB"/>
    </w:rPr>
  </w:style>
  <w:style w:type="paragraph" w:customStyle="1" w:styleId="DummyStyle">
    <w:name w:val="Dummy_Style"/>
    <w:basedOn w:val="Normal"/>
    <w:semiHidden/>
    <w:qFormat/>
    <w:rsid w:val="00391EA1"/>
    <w:pPr>
      <w:spacing w:after="0" w:line="240" w:lineRule="auto"/>
      <w:jc w:val="both"/>
    </w:pPr>
    <w:rPr>
      <w:rFonts w:ascii="Times New Roman" w:eastAsia="MS Mincho" w:hAnsi="Times New Roman"/>
      <w:color w:val="00B050"/>
      <w:sz w:val="24"/>
      <w:lang w:val="en-GB"/>
    </w:rPr>
  </w:style>
  <w:style w:type="paragraph" w:customStyle="1" w:styleId="JuAppQuestion">
    <w:name w:val="Ju_App_Question"/>
    <w:basedOn w:val="Normal"/>
    <w:uiPriority w:val="5"/>
    <w:semiHidden/>
    <w:qFormat/>
    <w:rsid w:val="00391EA1"/>
    <w:pPr>
      <w:numPr>
        <w:numId w:val="15"/>
      </w:numPr>
      <w:spacing w:after="0" w:line="240" w:lineRule="auto"/>
    </w:pPr>
    <w:rPr>
      <w:rFonts w:ascii="Times New Roman" w:eastAsia="MS Mincho" w:hAnsi="Times New Roman"/>
      <w:b/>
      <w:sz w:val="24"/>
      <w:lang w:val="en-GB"/>
    </w:rPr>
  </w:style>
  <w:style w:type="paragraph" w:customStyle="1" w:styleId="JuCourt">
    <w:name w:val="Ju_Court"/>
    <w:basedOn w:val="Normal"/>
    <w:next w:val="Normal"/>
    <w:uiPriority w:val="16"/>
    <w:qFormat/>
    <w:rsid w:val="00391EA1"/>
    <w:pPr>
      <w:tabs>
        <w:tab w:val="left" w:pos="907"/>
        <w:tab w:val="left" w:pos="1701"/>
        <w:tab w:val="right" w:pos="7371"/>
      </w:tabs>
      <w:spacing w:before="240" w:after="0" w:line="240" w:lineRule="auto"/>
      <w:ind w:left="397" w:hanging="397"/>
    </w:pPr>
    <w:rPr>
      <w:rFonts w:ascii="Times New Roman" w:eastAsia="MS Mincho" w:hAnsi="Times New Roman"/>
      <w:sz w:val="24"/>
      <w:lang w:val="en-GB" w:bidi="en-US"/>
    </w:rPr>
  </w:style>
  <w:style w:type="paragraph" w:customStyle="1" w:styleId="ECHRTitleCentre3">
    <w:name w:val="ECHR_Title_Centre_3"/>
    <w:aliases w:val="Ju_H_Article"/>
    <w:basedOn w:val="Normal"/>
    <w:next w:val="ECHRParaQuote"/>
    <w:uiPriority w:val="27"/>
    <w:qFormat/>
    <w:rsid w:val="00391EA1"/>
    <w:pPr>
      <w:keepNext/>
      <w:keepLines/>
      <w:spacing w:before="240" w:after="120" w:line="240" w:lineRule="auto"/>
      <w:jc w:val="center"/>
      <w:outlineLvl w:val="3"/>
    </w:pPr>
    <w:rPr>
      <w:rFonts w:ascii="Times New Roman" w:eastAsia="MS Mincho" w:hAnsi="Times New Roman"/>
      <w:b/>
      <w:sz w:val="20"/>
      <w:lang w:val="en-GB" w:bidi="en-US"/>
    </w:rPr>
  </w:style>
  <w:style w:type="paragraph" w:customStyle="1" w:styleId="ECHRTitleCentre1">
    <w:name w:val="ECHR_Title_Centre_1"/>
    <w:aliases w:val="Opi_H_Head"/>
    <w:basedOn w:val="Normal"/>
    <w:next w:val="OpiPara"/>
    <w:uiPriority w:val="39"/>
    <w:qFormat/>
    <w:rsid w:val="00391EA1"/>
    <w:pPr>
      <w:keepNext/>
      <w:keepLines/>
      <w:spacing w:after="240" w:line="240" w:lineRule="auto"/>
      <w:jc w:val="center"/>
      <w:outlineLvl w:val="0"/>
    </w:pPr>
    <w:rPr>
      <w:rFonts w:ascii="Times New Roman" w:eastAsia="MS Mincho" w:hAnsi="Times New Roman"/>
      <w:sz w:val="28"/>
      <w:lang w:val="en-GB"/>
    </w:rPr>
  </w:style>
  <w:style w:type="paragraph" w:customStyle="1" w:styleId="JuHeaderLandscape">
    <w:name w:val="Ju_Header_Landscape"/>
    <w:basedOn w:val="ECHRHeader"/>
    <w:uiPriority w:val="4"/>
    <w:qFormat/>
    <w:rsid w:val="00391EA1"/>
    <w:pPr>
      <w:tabs>
        <w:tab w:val="clear" w:pos="3686"/>
        <w:tab w:val="clear" w:pos="7371"/>
        <w:tab w:val="center" w:pos="6146"/>
        <w:tab w:val="right" w:pos="12293"/>
      </w:tabs>
    </w:pPr>
  </w:style>
  <w:style w:type="paragraph" w:customStyle="1" w:styleId="ECHRTitle1">
    <w:name w:val="ECHR_Title_1"/>
    <w:aliases w:val="Ju_H_Head"/>
    <w:basedOn w:val="Normal"/>
    <w:next w:val="ECHRPara"/>
    <w:uiPriority w:val="18"/>
    <w:qFormat/>
    <w:rsid w:val="00391EA1"/>
    <w:pPr>
      <w:keepNext/>
      <w:keepLines/>
      <w:spacing w:before="720" w:after="240" w:line="240" w:lineRule="auto"/>
      <w:jc w:val="both"/>
      <w:outlineLvl w:val="0"/>
    </w:pPr>
    <w:rPr>
      <w:rFonts w:ascii="Times New Roman" w:eastAsia="MS Mincho" w:hAnsi="Times New Roman"/>
      <w:sz w:val="28"/>
      <w:lang w:val="en-GB"/>
    </w:rPr>
  </w:style>
  <w:style w:type="paragraph" w:customStyle="1" w:styleId="JuInitialled">
    <w:name w:val="Ju_Initialled"/>
    <w:basedOn w:val="Normal"/>
    <w:uiPriority w:val="31"/>
    <w:qFormat/>
    <w:rsid w:val="00391EA1"/>
    <w:pPr>
      <w:tabs>
        <w:tab w:val="center" w:pos="6407"/>
      </w:tabs>
      <w:spacing w:before="720" w:after="0" w:line="240" w:lineRule="auto"/>
      <w:jc w:val="right"/>
    </w:pPr>
    <w:rPr>
      <w:rFonts w:ascii="Times New Roman" w:eastAsia="MS Mincho" w:hAnsi="Times New Roman"/>
      <w:sz w:val="24"/>
      <w:lang w:val="en-GB"/>
    </w:rPr>
  </w:style>
  <w:style w:type="paragraph" w:customStyle="1" w:styleId="JuSigned">
    <w:name w:val="Ju_Signed"/>
    <w:basedOn w:val="Normal"/>
    <w:next w:val="JuParaLast"/>
    <w:uiPriority w:val="32"/>
    <w:qFormat/>
    <w:rsid w:val="00391EA1"/>
    <w:pPr>
      <w:tabs>
        <w:tab w:val="center" w:pos="851"/>
        <w:tab w:val="center" w:pos="6407"/>
      </w:tabs>
      <w:spacing w:before="720" w:after="0" w:line="240" w:lineRule="auto"/>
    </w:pPr>
    <w:rPr>
      <w:rFonts w:ascii="Times New Roman" w:eastAsia="MS Mincho" w:hAnsi="Times New Roman"/>
      <w:sz w:val="24"/>
      <w:lang w:val="en-GB"/>
    </w:rPr>
  </w:style>
  <w:style w:type="paragraph" w:styleId="Title">
    <w:name w:val="Title"/>
    <w:basedOn w:val="Normal"/>
    <w:next w:val="Normal"/>
    <w:link w:val="TitleChar"/>
    <w:uiPriority w:val="99"/>
    <w:qFormat/>
    <w:rsid w:val="00391EA1"/>
    <w:pPr>
      <w:pBdr>
        <w:bottom w:val="single" w:sz="4" w:space="1" w:color="auto"/>
      </w:pBdr>
      <w:spacing w:after="0" w:line="240" w:lineRule="auto"/>
      <w:contextualSpacing/>
      <w:jc w:val="both"/>
    </w:pPr>
    <w:rPr>
      <w:rFonts w:ascii="Times New Roman" w:eastAsia="MS Gothic" w:hAnsi="Times New Roman"/>
      <w:spacing w:val="5"/>
      <w:sz w:val="52"/>
      <w:szCs w:val="52"/>
      <w:lang w:val="x-none" w:eastAsia="x-none" w:bidi="en-US"/>
    </w:rPr>
  </w:style>
  <w:style w:type="character" w:customStyle="1" w:styleId="TitleChar">
    <w:name w:val="Title Char"/>
    <w:basedOn w:val="DefaultParagraphFont"/>
    <w:link w:val="Title"/>
    <w:uiPriority w:val="99"/>
    <w:rsid w:val="00391EA1"/>
    <w:rPr>
      <w:rFonts w:ascii="Times New Roman" w:eastAsia="MS Gothic" w:hAnsi="Times New Roman" w:cs="Times New Roman"/>
      <w:spacing w:val="5"/>
      <w:kern w:val="0"/>
      <w:sz w:val="52"/>
      <w:szCs w:val="52"/>
      <w:lang w:val="x-none" w:eastAsia="x-none" w:bidi="en-US"/>
      <w14:ligatures w14:val="none"/>
    </w:rPr>
  </w:style>
  <w:style w:type="character" w:customStyle="1" w:styleId="JuITMark">
    <w:name w:val="Ju_ITMark"/>
    <w:uiPriority w:val="38"/>
    <w:qFormat/>
    <w:rsid w:val="00391EA1"/>
    <w:rPr>
      <w:vanish w:val="0"/>
      <w:color w:val="auto"/>
      <w:sz w:val="14"/>
      <w:bdr w:val="none" w:sz="0" w:space="0" w:color="auto"/>
      <w:shd w:val="clear" w:color="auto" w:fill="BEE5FF"/>
    </w:rPr>
  </w:style>
  <w:style w:type="paragraph" w:customStyle="1" w:styleId="JuLista">
    <w:name w:val="Ju_List_a"/>
    <w:basedOn w:val="JuList"/>
    <w:uiPriority w:val="28"/>
    <w:qFormat/>
    <w:rsid w:val="00391EA1"/>
    <w:pPr>
      <w:ind w:left="346" w:firstLine="0"/>
    </w:pPr>
  </w:style>
  <w:style w:type="paragraph" w:customStyle="1" w:styleId="JuListi">
    <w:name w:val="Ju_List_i"/>
    <w:basedOn w:val="Normal"/>
    <w:next w:val="JuLista"/>
    <w:uiPriority w:val="28"/>
    <w:qFormat/>
    <w:rsid w:val="00391EA1"/>
    <w:pPr>
      <w:spacing w:after="0" w:line="240" w:lineRule="auto"/>
      <w:ind w:left="794"/>
      <w:jc w:val="both"/>
    </w:pPr>
    <w:rPr>
      <w:rFonts w:ascii="Times New Roman" w:eastAsia="MS Mincho" w:hAnsi="Times New Roman"/>
      <w:sz w:val="24"/>
      <w:lang w:val="en-GB"/>
    </w:rPr>
  </w:style>
  <w:style w:type="character" w:customStyle="1" w:styleId="JUNAMES">
    <w:name w:val="JU_NAMES"/>
    <w:uiPriority w:val="17"/>
    <w:qFormat/>
    <w:rsid w:val="00391EA1"/>
    <w:rPr>
      <w:caps w:val="0"/>
      <w:smallCaps/>
    </w:rPr>
  </w:style>
  <w:style w:type="paragraph" w:customStyle="1" w:styleId="JuParaSub">
    <w:name w:val="Ju_Para_Sub"/>
    <w:basedOn w:val="ECHRPara"/>
    <w:uiPriority w:val="13"/>
    <w:qFormat/>
    <w:rsid w:val="00391EA1"/>
    <w:pPr>
      <w:ind w:left="284"/>
    </w:pPr>
  </w:style>
  <w:style w:type="paragraph" w:customStyle="1" w:styleId="ECHRHeading1">
    <w:name w:val="ECHR_Heading_1"/>
    <w:aliases w:val="Ju_H_I_Roman"/>
    <w:basedOn w:val="Heading1"/>
    <w:next w:val="ECHRPara"/>
    <w:uiPriority w:val="19"/>
    <w:qFormat/>
    <w:rsid w:val="00391EA1"/>
  </w:style>
  <w:style w:type="paragraph" w:customStyle="1" w:styleId="ECHRHeading2">
    <w:name w:val="ECHR_Heading_2"/>
    <w:aliases w:val="Ju_H_A"/>
    <w:basedOn w:val="Heading2"/>
    <w:next w:val="ECHRPara"/>
    <w:uiPriority w:val="20"/>
    <w:qFormat/>
    <w:rsid w:val="00391EA1"/>
  </w:style>
  <w:style w:type="paragraph" w:customStyle="1" w:styleId="ECHRHeading3">
    <w:name w:val="ECHR_Heading_3"/>
    <w:aliases w:val="Ju_H_1."/>
    <w:basedOn w:val="Heading3"/>
    <w:next w:val="ECHRPara"/>
    <w:uiPriority w:val="21"/>
    <w:qFormat/>
    <w:rsid w:val="00391EA1"/>
  </w:style>
  <w:style w:type="paragraph" w:customStyle="1" w:styleId="ECHRHeading4">
    <w:name w:val="ECHR_Heading_4"/>
    <w:aliases w:val="Ju_H_a"/>
    <w:basedOn w:val="Heading4"/>
    <w:next w:val="ECHRPara"/>
    <w:uiPriority w:val="22"/>
    <w:qFormat/>
    <w:rsid w:val="00391EA1"/>
  </w:style>
  <w:style w:type="paragraph" w:customStyle="1" w:styleId="ECHRHeading5">
    <w:name w:val="ECHR_Heading_5"/>
    <w:aliases w:val="Ju_H_i"/>
    <w:basedOn w:val="Heading5"/>
    <w:next w:val="ECHRPara"/>
    <w:uiPriority w:val="23"/>
    <w:qFormat/>
    <w:rsid w:val="00391EA1"/>
  </w:style>
  <w:style w:type="paragraph" w:customStyle="1" w:styleId="ECHRHeading6">
    <w:name w:val="ECHR_Heading_6"/>
    <w:aliases w:val="Ju_H_alpha"/>
    <w:basedOn w:val="Heading6"/>
    <w:next w:val="ECHRPara"/>
    <w:uiPriority w:val="24"/>
    <w:qFormat/>
    <w:rsid w:val="00391EA1"/>
  </w:style>
  <w:style w:type="paragraph" w:customStyle="1" w:styleId="ECHRHeading7">
    <w:name w:val="ECHR_Heading_7"/>
    <w:aliases w:val="Ju_H_–"/>
    <w:basedOn w:val="Heading7"/>
    <w:next w:val="ECHRPara"/>
    <w:uiPriority w:val="25"/>
    <w:qFormat/>
    <w:rsid w:val="00391EA1"/>
  </w:style>
  <w:style w:type="paragraph" w:customStyle="1" w:styleId="JuParaLast">
    <w:name w:val="Ju_Para_Last"/>
    <w:basedOn w:val="Normal"/>
    <w:next w:val="ECHRPara"/>
    <w:uiPriority w:val="30"/>
    <w:qFormat/>
    <w:rsid w:val="00391EA1"/>
    <w:pPr>
      <w:keepNext/>
      <w:keepLines/>
      <w:spacing w:before="240" w:after="0" w:line="240" w:lineRule="auto"/>
      <w:ind w:firstLine="284"/>
      <w:jc w:val="both"/>
    </w:pPr>
    <w:rPr>
      <w:rFonts w:ascii="Times New Roman" w:eastAsia="MS Mincho" w:hAnsi="Times New Roman"/>
      <w:sz w:val="24"/>
      <w:lang w:val="en-GB"/>
    </w:rPr>
  </w:style>
  <w:style w:type="paragraph" w:customStyle="1" w:styleId="ECHRDecisionBody">
    <w:name w:val="ECHR_Decision_Body"/>
    <w:aliases w:val="Ju_Judges"/>
    <w:basedOn w:val="Normal"/>
    <w:uiPriority w:val="11"/>
    <w:qFormat/>
    <w:rsid w:val="00391EA1"/>
    <w:pPr>
      <w:tabs>
        <w:tab w:val="left" w:pos="567"/>
        <w:tab w:val="left" w:pos="1134"/>
      </w:tabs>
      <w:spacing w:after="0" w:line="240" w:lineRule="auto"/>
    </w:pPr>
    <w:rPr>
      <w:rFonts w:ascii="Times New Roman" w:eastAsia="MS Mincho" w:hAnsi="Times New Roman"/>
      <w:sz w:val="24"/>
      <w:lang w:val="en-GB"/>
    </w:rPr>
  </w:style>
  <w:style w:type="paragraph" w:customStyle="1" w:styleId="JuList">
    <w:name w:val="Ju_List"/>
    <w:basedOn w:val="Normal"/>
    <w:uiPriority w:val="28"/>
    <w:qFormat/>
    <w:rsid w:val="00391EA1"/>
    <w:pPr>
      <w:spacing w:after="0" w:line="240" w:lineRule="auto"/>
      <w:ind w:left="340" w:hanging="340"/>
      <w:jc w:val="both"/>
    </w:pPr>
    <w:rPr>
      <w:rFonts w:ascii="Times New Roman" w:eastAsia="MS Mincho" w:hAnsi="Times New Roman"/>
      <w:sz w:val="24"/>
      <w:lang w:val="en-GB"/>
    </w:rPr>
  </w:style>
  <w:style w:type="paragraph" w:customStyle="1" w:styleId="JuQuotSub">
    <w:name w:val="Ju_Quot_Sub"/>
    <w:basedOn w:val="ECHRParaQuote"/>
    <w:uiPriority w:val="15"/>
    <w:qFormat/>
    <w:rsid w:val="00391EA1"/>
    <w:pPr>
      <w:ind w:left="567"/>
    </w:pPr>
  </w:style>
  <w:style w:type="paragraph" w:customStyle="1" w:styleId="JuTitle">
    <w:name w:val="Ju_Title"/>
    <w:basedOn w:val="Normal"/>
    <w:next w:val="ECHRPara"/>
    <w:uiPriority w:val="3"/>
    <w:semiHidden/>
    <w:qFormat/>
    <w:rsid w:val="00391EA1"/>
    <w:pPr>
      <w:spacing w:before="720" w:after="240" w:line="240" w:lineRule="auto"/>
      <w:jc w:val="center"/>
      <w:outlineLvl w:val="0"/>
    </w:pPr>
    <w:rPr>
      <w:rFonts w:ascii="Times New Roman" w:eastAsia="MS Mincho" w:hAnsi="Times New Roman"/>
      <w:b/>
      <w:caps/>
      <w:sz w:val="24"/>
      <w:lang w:val="en-GB"/>
    </w:rPr>
  </w:style>
  <w:style w:type="character" w:styleId="SubtleEmphasis">
    <w:name w:val="Subtle Emphasis"/>
    <w:uiPriority w:val="99"/>
    <w:qFormat/>
    <w:rsid w:val="00391EA1"/>
    <w:rPr>
      <w:i/>
      <w:iCs/>
    </w:rPr>
  </w:style>
  <w:style w:type="paragraph" w:customStyle="1" w:styleId="OpiH1">
    <w:name w:val="Opi_H_1"/>
    <w:basedOn w:val="ECHRHeading2"/>
    <w:uiPriority w:val="42"/>
    <w:qFormat/>
    <w:rsid w:val="00391EA1"/>
    <w:pPr>
      <w:keepLines/>
      <w:numPr>
        <w:ilvl w:val="0"/>
        <w:numId w:val="0"/>
      </w:numPr>
      <w:tabs>
        <w:tab w:val="left" w:pos="584"/>
      </w:tabs>
      <w:spacing w:before="360" w:after="240" w:line="240" w:lineRule="auto"/>
      <w:ind w:left="635" w:hanging="357"/>
      <w:jc w:val="both"/>
      <w:outlineLvl w:val="2"/>
    </w:pPr>
    <w:rPr>
      <w:rFonts w:ascii="Times New Roman" w:eastAsia="MS Gothic" w:hAnsi="Times New Roman"/>
      <w:i w:val="0"/>
      <w:iCs w:val="0"/>
      <w:sz w:val="24"/>
      <w:szCs w:val="26"/>
      <w:lang w:val="en-GB" w:eastAsia="x-none"/>
    </w:rPr>
  </w:style>
  <w:style w:type="table" w:customStyle="1" w:styleId="ECHRTable">
    <w:name w:val="ECHR_Table"/>
    <w:basedOn w:val="TableNormal"/>
    <w:rsid w:val="00391EA1"/>
    <w:pPr>
      <w:spacing w:after="0" w:line="240" w:lineRule="auto"/>
    </w:pPr>
    <w:rPr>
      <w:rFonts w:ascii="Times New Roman" w:eastAsia="Times New Roman" w:hAnsi="Times New Roman" w:cs="Times New Roman"/>
      <w:kern w:val="0"/>
      <w:sz w:val="20"/>
      <w:szCs w:val="20"/>
      <w:lang w:val="en-GB"/>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cPr>
    </w:tblStylePr>
    <w:tblStylePr w:type="band2Horz">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shd w:val="clear" w:color="auto" w:fill="DFDFDF"/>
      </w:tcPr>
    </w:tblStylePr>
  </w:style>
  <w:style w:type="table" w:customStyle="1" w:styleId="ECHRTableBoxHeader">
    <w:name w:val="ECHR_Table_Box_Header"/>
    <w:basedOn w:val="TableNormal"/>
    <w:rsid w:val="00391EA1"/>
    <w:pPr>
      <w:spacing w:after="0" w:line="240" w:lineRule="auto"/>
    </w:pPr>
    <w:rPr>
      <w:rFonts w:ascii="Verdana" w:eastAsia="Times New Roman" w:hAnsi="Verdana" w:cs="Times New Roman"/>
      <w:kern w:val="0"/>
      <w:sz w:val="20"/>
      <w:szCs w:val="20"/>
      <w:lang w:val="en-GB"/>
      <w14:ligatures w14:val="none"/>
    </w:rPr>
    <w:tblPr>
      <w:tblCellMar>
        <w:top w:w="57" w:type="dxa"/>
        <w:left w:w="57" w:type="dxa"/>
        <w:bottom w:w="57" w:type="dxa"/>
        <w:right w:w="57" w:type="dxa"/>
      </w:tblCellMar>
    </w:tblPr>
    <w:tcPr>
      <w:shd w:val="clear" w:color="auto" w:fill="F8F8F8"/>
    </w:tcPr>
    <w:tblStylePr w:type="firstCol">
      <w:rPr>
        <w:b/>
        <w:color w:val="5F5F5F"/>
      </w:rPr>
    </w:tblStylePr>
  </w:style>
  <w:style w:type="paragraph" w:customStyle="1" w:styleId="OpiHa">
    <w:name w:val="Opi_H_a"/>
    <w:basedOn w:val="ECHRHeading3"/>
    <w:uiPriority w:val="43"/>
    <w:qFormat/>
    <w:rsid w:val="00391EA1"/>
    <w:pPr>
      <w:keepLines/>
      <w:numPr>
        <w:ilvl w:val="0"/>
        <w:numId w:val="0"/>
      </w:numPr>
      <w:tabs>
        <w:tab w:val="left" w:pos="731"/>
      </w:tabs>
      <w:spacing w:after="120" w:line="240" w:lineRule="auto"/>
      <w:ind w:left="833" w:hanging="357"/>
      <w:jc w:val="both"/>
      <w:outlineLvl w:val="3"/>
    </w:pPr>
    <w:rPr>
      <w:rFonts w:ascii="Times New Roman" w:eastAsia="MS Gothic" w:hAnsi="Times New Roman"/>
      <w:sz w:val="20"/>
      <w:szCs w:val="20"/>
      <w:lang w:val="en-GB" w:eastAsia="x-none"/>
    </w:rPr>
  </w:style>
  <w:style w:type="paragraph" w:customStyle="1" w:styleId="OpiHA0">
    <w:name w:val="Opi_H_A"/>
    <w:basedOn w:val="ECHRHeading1"/>
    <w:next w:val="OpiPara"/>
    <w:uiPriority w:val="41"/>
    <w:qFormat/>
    <w:rsid w:val="00391EA1"/>
    <w:pPr>
      <w:keepLines/>
      <w:numPr>
        <w:numId w:val="0"/>
      </w:numPr>
      <w:spacing w:before="360" w:after="240" w:line="240" w:lineRule="auto"/>
      <w:ind w:left="357" w:hanging="357"/>
      <w:jc w:val="both"/>
      <w:outlineLvl w:val="1"/>
    </w:pPr>
    <w:rPr>
      <w:rFonts w:ascii="Times New Roman" w:eastAsia="MS Gothic" w:hAnsi="Times New Roman"/>
      <w:kern w:val="0"/>
      <w:sz w:val="24"/>
      <w:szCs w:val="28"/>
      <w:lang w:val="en-GB" w:eastAsia="x-none"/>
    </w:rPr>
  </w:style>
  <w:style w:type="paragraph" w:customStyle="1" w:styleId="OpiHi">
    <w:name w:val="Opi_H_i"/>
    <w:basedOn w:val="ECHRHeading4"/>
    <w:uiPriority w:val="44"/>
    <w:qFormat/>
    <w:rsid w:val="00391EA1"/>
    <w:pPr>
      <w:keepLines/>
      <w:numPr>
        <w:ilvl w:val="0"/>
        <w:numId w:val="0"/>
      </w:numPr>
      <w:tabs>
        <w:tab w:val="left" w:pos="975"/>
      </w:tabs>
      <w:spacing w:after="120" w:line="240" w:lineRule="auto"/>
      <w:ind w:left="1037" w:hanging="357"/>
      <w:jc w:val="both"/>
      <w:outlineLvl w:val="4"/>
    </w:pPr>
    <w:rPr>
      <w:rFonts w:ascii="Times New Roman" w:eastAsia="MS Gothic" w:hAnsi="Times New Roman"/>
      <w:b w:val="0"/>
      <w:i/>
      <w:iCs/>
      <w:sz w:val="20"/>
      <w:szCs w:val="20"/>
      <w:lang w:val="en-GB" w:eastAsia="x-none"/>
    </w:rPr>
  </w:style>
  <w:style w:type="character" w:styleId="Emphasis">
    <w:name w:val="Emphasis"/>
    <w:uiPriority w:val="99"/>
    <w:qFormat/>
    <w:rsid w:val="00391EA1"/>
    <w:rPr>
      <w:b/>
      <w:bCs/>
      <w:i/>
      <w:iCs/>
      <w:spacing w:val="10"/>
      <w:bdr w:val="none" w:sz="0" w:space="0" w:color="auto"/>
      <w:shd w:val="clear" w:color="auto" w:fill="auto"/>
    </w:rPr>
  </w:style>
  <w:style w:type="character" w:styleId="IntenseEmphasis">
    <w:name w:val="Intense Emphasis"/>
    <w:uiPriority w:val="99"/>
    <w:qFormat/>
    <w:rsid w:val="00391EA1"/>
    <w:rPr>
      <w:b/>
      <w:bCs/>
    </w:rPr>
  </w:style>
  <w:style w:type="paragraph" w:styleId="IntenseQuote">
    <w:name w:val="Intense Quote"/>
    <w:basedOn w:val="Normal"/>
    <w:next w:val="Normal"/>
    <w:link w:val="IntenseQuoteChar"/>
    <w:uiPriority w:val="99"/>
    <w:qFormat/>
    <w:rsid w:val="00391EA1"/>
    <w:pPr>
      <w:pBdr>
        <w:bottom w:val="single" w:sz="4" w:space="1" w:color="auto"/>
      </w:pBdr>
      <w:spacing w:before="200" w:after="280" w:line="240" w:lineRule="auto"/>
      <w:ind w:left="1008" w:right="1152"/>
      <w:jc w:val="both"/>
    </w:pPr>
    <w:rPr>
      <w:rFonts w:ascii="Times New Roman" w:eastAsia="MS Mincho" w:hAnsi="Times New Roman"/>
      <w:b/>
      <w:bCs/>
      <w:i/>
      <w:iCs/>
      <w:sz w:val="20"/>
      <w:szCs w:val="20"/>
      <w:lang w:val="x-none" w:eastAsia="x-none" w:bidi="en-US"/>
    </w:rPr>
  </w:style>
  <w:style w:type="character" w:customStyle="1" w:styleId="IntenseQuoteChar">
    <w:name w:val="Intense Quote Char"/>
    <w:basedOn w:val="DefaultParagraphFont"/>
    <w:link w:val="IntenseQuote"/>
    <w:uiPriority w:val="99"/>
    <w:rsid w:val="00391EA1"/>
    <w:rPr>
      <w:rFonts w:ascii="Times New Roman" w:eastAsia="MS Mincho" w:hAnsi="Times New Roman" w:cs="Times New Roman"/>
      <w:b/>
      <w:bCs/>
      <w:i/>
      <w:iCs/>
      <w:kern w:val="0"/>
      <w:sz w:val="20"/>
      <w:szCs w:val="20"/>
      <w:lang w:val="x-none" w:eastAsia="x-none" w:bidi="en-US"/>
      <w14:ligatures w14:val="none"/>
    </w:rPr>
  </w:style>
  <w:style w:type="character" w:styleId="IntenseReference">
    <w:name w:val="Intense Reference"/>
    <w:uiPriority w:val="99"/>
    <w:qFormat/>
    <w:rsid w:val="00391EA1"/>
    <w:rPr>
      <w:smallCaps/>
      <w:spacing w:val="5"/>
      <w:u w:val="single"/>
    </w:rPr>
  </w:style>
  <w:style w:type="table" w:customStyle="1" w:styleId="LtrTableAddress">
    <w:name w:val="Ltr_Table_Address"/>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5103" w:type="dxa"/>
    </w:tblPr>
  </w:style>
  <w:style w:type="paragraph" w:styleId="Quote">
    <w:name w:val="Quote"/>
    <w:basedOn w:val="Normal"/>
    <w:next w:val="Normal"/>
    <w:link w:val="QuoteChar"/>
    <w:uiPriority w:val="99"/>
    <w:qFormat/>
    <w:rsid w:val="00391EA1"/>
    <w:pPr>
      <w:spacing w:before="200" w:after="0" w:line="240" w:lineRule="auto"/>
      <w:ind w:left="360" w:right="360"/>
      <w:jc w:val="both"/>
    </w:pPr>
    <w:rPr>
      <w:rFonts w:ascii="Times New Roman" w:eastAsia="MS Mincho" w:hAnsi="Times New Roman"/>
      <w:i/>
      <w:iCs/>
      <w:sz w:val="20"/>
      <w:szCs w:val="20"/>
      <w:lang w:val="x-none" w:eastAsia="x-none" w:bidi="en-US"/>
    </w:rPr>
  </w:style>
  <w:style w:type="character" w:customStyle="1" w:styleId="QuoteChar">
    <w:name w:val="Quote Char"/>
    <w:basedOn w:val="DefaultParagraphFont"/>
    <w:link w:val="Quote"/>
    <w:uiPriority w:val="99"/>
    <w:rsid w:val="00391EA1"/>
    <w:rPr>
      <w:rFonts w:ascii="Times New Roman" w:eastAsia="MS Mincho" w:hAnsi="Times New Roman" w:cs="Times New Roman"/>
      <w:i/>
      <w:iCs/>
      <w:kern w:val="0"/>
      <w:sz w:val="20"/>
      <w:szCs w:val="20"/>
      <w:lang w:val="x-none" w:eastAsia="x-none" w:bidi="en-US"/>
      <w14:ligatures w14:val="none"/>
    </w:rPr>
  </w:style>
  <w:style w:type="character" w:styleId="SubtleReference">
    <w:name w:val="Subtle Reference"/>
    <w:uiPriority w:val="99"/>
    <w:qFormat/>
    <w:rsid w:val="00391EA1"/>
    <w:rPr>
      <w:smallCaps/>
    </w:rPr>
  </w:style>
  <w:style w:type="paragraph" w:styleId="TOC1">
    <w:name w:val="toc 1"/>
    <w:basedOn w:val="Normal"/>
    <w:next w:val="Normal"/>
    <w:autoRedefine/>
    <w:uiPriority w:val="99"/>
    <w:semiHidden/>
    <w:rsid w:val="00391EA1"/>
    <w:pPr>
      <w:keepNext/>
      <w:tabs>
        <w:tab w:val="right" w:leader="dot" w:pos="7371"/>
      </w:tabs>
      <w:spacing w:before="160" w:after="60" w:line="240" w:lineRule="exact"/>
      <w:ind w:left="340" w:right="567" w:hanging="340"/>
      <w:jc w:val="both"/>
    </w:pPr>
    <w:rPr>
      <w:rFonts w:ascii="Times New Roman" w:eastAsia="MS Mincho" w:hAnsi="Times New Roman"/>
      <w:b/>
      <w:lang w:val="en-GB"/>
    </w:rPr>
  </w:style>
  <w:style w:type="paragraph" w:styleId="TOC2">
    <w:name w:val="toc 2"/>
    <w:basedOn w:val="Normal"/>
    <w:next w:val="Normal"/>
    <w:autoRedefine/>
    <w:uiPriority w:val="99"/>
    <w:semiHidden/>
    <w:rsid w:val="00391EA1"/>
    <w:pPr>
      <w:keepNext/>
      <w:tabs>
        <w:tab w:val="right" w:leader="dot" w:pos="7371"/>
      </w:tabs>
      <w:spacing w:after="60" w:line="240" w:lineRule="exact"/>
      <w:ind w:left="680" w:right="567" w:hanging="340"/>
      <w:jc w:val="both"/>
    </w:pPr>
    <w:rPr>
      <w:rFonts w:ascii="Times New Roman" w:eastAsia="MS Mincho" w:hAnsi="Times New Roman"/>
      <w:lang w:val="en-GB"/>
    </w:rPr>
  </w:style>
  <w:style w:type="paragraph" w:styleId="TOC3">
    <w:name w:val="toc 3"/>
    <w:basedOn w:val="Normal"/>
    <w:next w:val="Normal"/>
    <w:autoRedefine/>
    <w:uiPriority w:val="99"/>
    <w:semiHidden/>
    <w:rsid w:val="00391EA1"/>
    <w:pPr>
      <w:keepNext/>
      <w:tabs>
        <w:tab w:val="right" w:leader="dot" w:pos="7371"/>
      </w:tabs>
      <w:spacing w:after="60" w:line="240" w:lineRule="exact"/>
      <w:ind w:left="1020" w:right="567" w:hanging="340"/>
      <w:jc w:val="both"/>
    </w:pPr>
    <w:rPr>
      <w:rFonts w:ascii="Times New Roman" w:eastAsia="MS Mincho" w:hAnsi="Times New Roman"/>
      <w:sz w:val="20"/>
      <w:lang w:val="en-GB"/>
    </w:rPr>
  </w:style>
  <w:style w:type="paragraph" w:styleId="TOC4">
    <w:name w:val="toc 4"/>
    <w:basedOn w:val="Normal"/>
    <w:next w:val="Normal"/>
    <w:autoRedefine/>
    <w:uiPriority w:val="99"/>
    <w:semiHidden/>
    <w:rsid w:val="00391EA1"/>
    <w:pPr>
      <w:tabs>
        <w:tab w:val="right" w:leader="dot" w:pos="7371"/>
      </w:tabs>
      <w:spacing w:after="60" w:line="240" w:lineRule="exact"/>
      <w:ind w:left="1361" w:right="567" w:hanging="340"/>
      <w:jc w:val="both"/>
    </w:pPr>
    <w:rPr>
      <w:rFonts w:ascii="Times New Roman" w:eastAsia="MS Mincho" w:hAnsi="Times New Roman"/>
      <w:sz w:val="20"/>
      <w:lang w:val="en-GB"/>
    </w:rPr>
  </w:style>
  <w:style w:type="paragraph" w:styleId="TOC5">
    <w:name w:val="toc 5"/>
    <w:basedOn w:val="Normal"/>
    <w:next w:val="Normal"/>
    <w:autoRedefine/>
    <w:uiPriority w:val="99"/>
    <w:semiHidden/>
    <w:rsid w:val="00391EA1"/>
    <w:pPr>
      <w:tabs>
        <w:tab w:val="right" w:leader="dot" w:pos="7371"/>
      </w:tabs>
      <w:spacing w:after="60" w:line="240" w:lineRule="exact"/>
      <w:ind w:left="1701" w:right="567" w:hanging="340"/>
      <w:jc w:val="both"/>
    </w:pPr>
    <w:rPr>
      <w:rFonts w:ascii="Times New Roman" w:eastAsia="MS Mincho" w:hAnsi="Times New Roman"/>
      <w:sz w:val="20"/>
      <w:lang w:val="en-GB"/>
    </w:rPr>
  </w:style>
  <w:style w:type="paragraph" w:styleId="TOCHeading">
    <w:name w:val="TOC Heading"/>
    <w:basedOn w:val="Normal"/>
    <w:next w:val="Normal"/>
    <w:uiPriority w:val="99"/>
    <w:semiHidden/>
    <w:qFormat/>
    <w:rsid w:val="00391EA1"/>
    <w:pPr>
      <w:keepNext/>
      <w:spacing w:before="240" w:after="60"/>
    </w:pPr>
    <w:rPr>
      <w:rFonts w:ascii="Calibri Light" w:hAnsi="Calibri Light"/>
      <w:kern w:val="32"/>
      <w:sz w:val="32"/>
      <w:szCs w:val="32"/>
    </w:rPr>
  </w:style>
  <w:style w:type="table" w:customStyle="1" w:styleId="UGTable">
    <w:name w:val="UG_Table"/>
    <w:basedOn w:val="TableNormal"/>
    <w:uiPriority w:val="99"/>
    <w:rsid w:val="00391EA1"/>
    <w:pPr>
      <w:spacing w:after="0" w:line="240" w:lineRule="auto"/>
    </w:pPr>
    <w:rPr>
      <w:rFonts w:ascii="Times New Roman" w:eastAsia="MS Mincho" w:hAnsi="Times New Roman" w:cs="Times New Roman"/>
      <w:kern w:val="0"/>
      <w:sz w:val="20"/>
      <w:szCs w:val="20"/>
      <w:lang w:val="en-GB" w:eastAsia="en-GB"/>
      <w14:ligatures w14:val="none"/>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91EA1"/>
    <w:pPr>
      <w:spacing w:after="0" w:line="240" w:lineRule="auto"/>
    </w:pPr>
    <w:rPr>
      <w:rFonts w:ascii="Times New Roman" w:eastAsia="MS Mincho" w:hAnsi="Times New Roman" w:cs="Times New Roman"/>
      <w:kern w:val="0"/>
      <w:sz w:val="20"/>
      <w:szCs w:val="20"/>
      <w:lang w:val="en-GB" w:eastAsia="en-GB"/>
      <w14:ligatures w14:val="none"/>
    </w:rPr>
    <w:tblPr>
      <w:tblInd w:w="113" w:type="dxa"/>
      <w:tblBorders>
        <w:top w:val="single" w:sz="4" w:space="0" w:color="B9B9B9"/>
        <w:left w:val="single" w:sz="4" w:space="0" w:color="B9B9B9"/>
        <w:bottom w:val="single" w:sz="4" w:space="0" w:color="B9B9B9"/>
        <w:right w:val="single" w:sz="4" w:space="0" w:color="B9B9B9"/>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391EA1"/>
    <w:pPr>
      <w:spacing w:after="0" w:line="240" w:lineRule="auto"/>
    </w:pPr>
    <w:rPr>
      <w:rFonts w:ascii="Times New Roman" w:eastAsia="Times New Roman" w:hAnsi="Times New Roman" w:cs="Times New Roman"/>
      <w:color w:val="000000"/>
      <w:kern w:val="0"/>
      <w:sz w:val="18"/>
      <w:szCs w:val="20"/>
      <w14:ligatures w14:val="none"/>
    </w:rPr>
    <w:tblPr>
      <w:tblBorders>
        <w:top w:val="single" w:sz="8" w:space="0" w:color="9F9F9F"/>
        <w:left w:val="single" w:sz="8" w:space="0" w:color="9F9F9F"/>
        <w:bottom w:val="single" w:sz="8" w:space="0" w:color="9F9F9F"/>
        <w:right w:val="single" w:sz="8" w:space="0" w:color="9F9F9F"/>
        <w:insideH w:val="single" w:sz="8" w:space="0" w:color="9F9F9F"/>
        <w:insideV w:val="single" w:sz="8" w:space="0" w:color="9F9F9F"/>
      </w:tblBorders>
    </w:tblPr>
    <w:tblStylePr w:type="firstRow">
      <w:pPr>
        <w:wordWrap/>
        <w:spacing w:beforeLines="0" w:beforeAutospacing="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EA1"/>
    <w:pPr>
      <w:spacing w:after="0" w:line="240" w:lineRule="auto"/>
    </w:pPr>
    <w:rPr>
      <w:rFonts w:ascii="Times New Roman" w:eastAsia="Times New Roman" w:hAnsi="Times New Roman" w:cs="Times New Roman"/>
      <w:color w:val="000000"/>
      <w:kern w:val="0"/>
      <w:sz w:val="20"/>
      <w:szCs w:val="20"/>
      <w14:ligatures w14:val="none"/>
    </w:rPr>
    <w:tblPr>
      <w:tblInd w:w="-680" w:type="dxa"/>
      <w:tblBorders>
        <w:insideH w:val="single" w:sz="4" w:space="0" w:color="C6C6C6"/>
        <w:insideV w:val="single" w:sz="4" w:space="0" w:color="C6C6C6"/>
      </w:tblBorders>
      <w:tblCellMar>
        <w:top w:w="142" w:type="dxa"/>
        <w:bottom w:w="142" w:type="dxa"/>
      </w:tblCellMar>
    </w:tblPr>
    <w:trPr>
      <w:cantSplit/>
    </w:trPr>
  </w:style>
  <w:style w:type="table" w:customStyle="1" w:styleId="ECHRTableMemo">
    <w:name w:val="ECHR_Table_Memo"/>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right w:val="nil"/>
          <w:insideH w:val="nil"/>
          <w:insideV w:val="nil"/>
          <w:tl2br w:val="nil"/>
          <w:tr2bl w:val="nil"/>
        </w:tcBorders>
      </w:tcPr>
    </w:tblStylePr>
  </w:style>
  <w:style w:type="table" w:customStyle="1" w:styleId="ECHRDNTable">
    <w:name w:val="ECHR_DN_Table"/>
    <w:aliases w:val="DN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jc w:val="center"/>
      <w:tblBorders>
        <w:left w:val="single" w:sz="4" w:space="0" w:color="949494"/>
        <w:bottom w:val="single" w:sz="4" w:space="0" w:color="949494"/>
        <w:right w:val="single" w:sz="4" w:space="0" w:color="949494"/>
        <w:insideH w:val="single" w:sz="4" w:space="0" w:color="949494"/>
        <w:insideV w:val="single" w:sz="4" w:space="0" w:color="949494"/>
      </w:tblBorders>
      <w:tblCellMar>
        <w:top w:w="57" w:type="dxa"/>
        <w:bottom w:w="57" w:type="dxa"/>
      </w:tblCellMar>
    </w:tblPr>
    <w:trPr>
      <w:jc w:val="center"/>
    </w:trPr>
    <w:tcPr>
      <w:vAlign w:val="center"/>
    </w:tcPr>
    <w:tblStylePr w:type="firstRow">
      <w:pPr>
        <w:wordWrap/>
        <w:spacing w:beforeLines="0"/>
        <w:ind w:leftChars="0" w:left="0"/>
      </w:pPr>
      <w:rPr>
        <w:rFonts w:ascii="Times New Roman" w:hAnsi="Times New Roman"/>
        <w:b/>
        <w:i w:val="0"/>
        <w:color w:val="474747"/>
        <w:sz w:val="24"/>
      </w:rPr>
      <w:tblPr/>
      <w:tcPr>
        <w:tcBorders>
          <w:top w:val="single" w:sz="4" w:space="0" w:color="949494"/>
          <w:left w:val="single" w:sz="4" w:space="0" w:color="949494"/>
          <w:bottom w:val="nil"/>
          <w:right w:val="single" w:sz="4" w:space="0" w:color="949494"/>
          <w:insideH w:val="nil"/>
          <w:insideV w:val="nil"/>
          <w:tl2br w:val="nil"/>
          <w:tr2bl w:val="nil"/>
        </w:tcBorders>
        <w:shd w:val="clear" w:color="auto" w:fill="DFDFDF"/>
      </w:tcPr>
    </w:tblStylePr>
  </w:style>
  <w:style w:type="paragraph" w:styleId="TOAHeading">
    <w:name w:val="toa heading"/>
    <w:basedOn w:val="Normal"/>
    <w:next w:val="Normal"/>
    <w:uiPriority w:val="99"/>
    <w:semiHidden/>
    <w:rsid w:val="00391EA1"/>
    <w:pPr>
      <w:keepNext/>
      <w:keepLines/>
      <w:spacing w:before="240" w:after="0" w:line="240" w:lineRule="auto"/>
      <w:contextualSpacing/>
      <w:jc w:val="center"/>
    </w:pPr>
    <w:rPr>
      <w:rFonts w:ascii="Times New Roman" w:eastAsia="MS Gothic" w:hAnsi="Times New Roman"/>
      <w:b/>
      <w:bCs/>
      <w:color w:val="474747"/>
      <w:sz w:val="28"/>
      <w:szCs w:val="24"/>
      <w:lang w:val="en-GB"/>
    </w:rPr>
  </w:style>
  <w:style w:type="paragraph" w:styleId="Subtitle">
    <w:name w:val="Subtitle"/>
    <w:basedOn w:val="Normal"/>
    <w:next w:val="Normal"/>
    <w:link w:val="SubtitleChar"/>
    <w:uiPriority w:val="99"/>
    <w:qFormat/>
    <w:rsid w:val="00391EA1"/>
    <w:pPr>
      <w:spacing w:after="600" w:line="240" w:lineRule="auto"/>
      <w:jc w:val="both"/>
    </w:pPr>
    <w:rPr>
      <w:rFonts w:ascii="Times New Roman" w:eastAsia="MS Gothic" w:hAnsi="Times New Roman"/>
      <w:i/>
      <w:iCs/>
      <w:spacing w:val="13"/>
      <w:sz w:val="24"/>
      <w:szCs w:val="24"/>
      <w:lang w:val="x-none" w:eastAsia="x-none" w:bidi="en-US"/>
    </w:rPr>
  </w:style>
  <w:style w:type="character" w:customStyle="1" w:styleId="SubtitleChar">
    <w:name w:val="Subtitle Char"/>
    <w:basedOn w:val="DefaultParagraphFont"/>
    <w:link w:val="Subtitle"/>
    <w:uiPriority w:val="99"/>
    <w:rsid w:val="00391EA1"/>
    <w:rPr>
      <w:rFonts w:ascii="Times New Roman" w:eastAsia="MS Gothic" w:hAnsi="Times New Roman" w:cs="Times New Roman"/>
      <w:i/>
      <w:iCs/>
      <w:spacing w:val="13"/>
      <w:kern w:val="0"/>
      <w:sz w:val="24"/>
      <w:szCs w:val="24"/>
      <w:lang w:val="x-none" w:eastAsia="x-none" w:bidi="en-US"/>
      <w14:ligatures w14:val="none"/>
    </w:rPr>
  </w:style>
  <w:style w:type="numbering" w:styleId="111111">
    <w:name w:val="Outline List 2"/>
    <w:basedOn w:val="NoList"/>
    <w:uiPriority w:val="99"/>
    <w:semiHidden/>
    <w:unhideWhenUsed/>
    <w:rsid w:val="00391EA1"/>
    <w:pPr>
      <w:numPr>
        <w:numId w:val="4"/>
      </w:numPr>
    </w:pPr>
  </w:style>
  <w:style w:type="paragraph" w:customStyle="1" w:styleId="ECHRPara">
    <w:name w:val="ECHR_Para"/>
    <w:aliases w:val="Ju_Para"/>
    <w:basedOn w:val="Normal"/>
    <w:link w:val="ECHRParaChar"/>
    <w:uiPriority w:val="12"/>
    <w:qFormat/>
    <w:rsid w:val="00391EA1"/>
    <w:pPr>
      <w:spacing w:after="0" w:line="240" w:lineRule="auto"/>
      <w:ind w:firstLine="284"/>
      <w:jc w:val="both"/>
    </w:pPr>
    <w:rPr>
      <w:rFonts w:ascii="Times New Roman" w:eastAsia="MS Mincho" w:hAnsi="Times New Roman"/>
      <w:sz w:val="24"/>
      <w:szCs w:val="20"/>
      <w:lang w:val="en-GB" w:eastAsia="x-none"/>
    </w:rPr>
  </w:style>
  <w:style w:type="numbering" w:styleId="1ai">
    <w:name w:val="Outline List 1"/>
    <w:basedOn w:val="NoList"/>
    <w:uiPriority w:val="99"/>
    <w:semiHidden/>
    <w:unhideWhenUsed/>
    <w:rsid w:val="00391EA1"/>
    <w:pPr>
      <w:numPr>
        <w:numId w:val="5"/>
      </w:numPr>
    </w:pPr>
  </w:style>
  <w:style w:type="table" w:customStyle="1" w:styleId="ECHRTableSimpleBox">
    <w:name w:val="ECHR_Table_Simple_Box"/>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Borders>
        <w:top w:val="single" w:sz="4" w:space="0" w:color="9F9F9F"/>
        <w:left w:val="single" w:sz="4" w:space="0" w:color="9F9F9F"/>
        <w:bottom w:val="single" w:sz="4" w:space="0" w:color="9F9F9F"/>
        <w:right w:val="single" w:sz="4" w:space="0" w:color="9F9F9F"/>
      </w:tblBorders>
      <w:tblCellMar>
        <w:top w:w="113" w:type="dxa"/>
        <w:bottom w:w="113" w:type="dxa"/>
      </w:tblCellMar>
    </w:tblPr>
  </w:style>
  <w:style w:type="table" w:customStyle="1" w:styleId="ECHRTableNoLines">
    <w:name w:val="ECHR_Table_No_Lines"/>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CellMar>
        <w:top w:w="85" w:type="dxa"/>
        <w:left w:w="142" w:type="dxa"/>
        <w:bottom w:w="28" w:type="dxa"/>
        <w:right w:w="142" w:type="dxa"/>
      </w:tblCellMar>
    </w:tblPr>
    <w:tblStylePr w:type="firstRow">
      <w:rPr>
        <w:rFonts w:ascii="Times New Roman" w:hAnsi="Times New Roman"/>
        <w:b/>
        <w:i w:val="0"/>
        <w:color w:val="474747"/>
        <w:sz w:val="24"/>
      </w:rPr>
      <w:tblPr/>
      <w:tcPr>
        <w:tcBorders>
          <w:top w:val="single" w:sz="4" w:space="0" w:color="949494"/>
          <w:left w:val="single" w:sz="4" w:space="0" w:color="949494"/>
          <w:bottom w:val="single" w:sz="4" w:space="0" w:color="949494"/>
          <w:right w:val="single" w:sz="4" w:space="0" w:color="949494"/>
          <w:insideH w:val="nil"/>
          <w:insideV w:val="nil"/>
          <w:tl2br w:val="nil"/>
          <w:tr2bl w:val="nil"/>
        </w:tcBorders>
        <w:shd w:val="clear" w:color="auto" w:fill="DFDFDF"/>
      </w:tcPr>
    </w:tblStylePr>
    <w:tblStylePr w:type="firstCol">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tcPr>
    </w:tblStylePr>
  </w:style>
  <w:style w:type="numbering" w:styleId="ArticleSection">
    <w:name w:val="Outline List 3"/>
    <w:basedOn w:val="NoList"/>
    <w:uiPriority w:val="99"/>
    <w:semiHidden/>
    <w:unhideWhenUsed/>
    <w:rsid w:val="00391EA1"/>
    <w:pPr>
      <w:numPr>
        <w:numId w:val="6"/>
      </w:numPr>
    </w:pPr>
  </w:style>
  <w:style w:type="table" w:customStyle="1" w:styleId="ECHRTableForInternalUse">
    <w:name w:val="ECHR_Table_For_Internal_Use"/>
    <w:basedOn w:val="TableNormal"/>
    <w:uiPriority w:val="99"/>
    <w:rsid w:val="00391EA1"/>
    <w:pPr>
      <w:spacing w:after="0" w:line="240" w:lineRule="auto"/>
    </w:pPr>
    <w:rPr>
      <w:rFonts w:ascii="Times New Roman" w:eastAsia="Times New Roman" w:hAnsi="Times New Roman" w:cs="Times New Roman"/>
      <w:color w:val="636363"/>
      <w:kern w:val="0"/>
      <w:sz w:val="18"/>
      <w:szCs w:val="20"/>
      <w14:ligatures w14:val="none"/>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tblStylePr w:type="band1Vert">
      <w:tbl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l2br w:val="nil"/>
          <w:tr2bl w:val="nil"/>
        </w:tcBorders>
      </w:tcPr>
    </w:tblStylePr>
  </w:style>
  <w:style w:type="table" w:customStyle="1" w:styleId="ECHRListTable">
    <w:name w:val="ECHR_List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styleId="Bibliography">
    <w:name w:val="Bibliography"/>
    <w:basedOn w:val="Normal"/>
    <w:next w:val="Normal"/>
    <w:uiPriority w:val="99"/>
    <w:semiHidden/>
    <w:rsid w:val="00391EA1"/>
    <w:pPr>
      <w:spacing w:after="0" w:line="240" w:lineRule="auto"/>
      <w:jc w:val="both"/>
    </w:pPr>
    <w:rPr>
      <w:rFonts w:ascii="Times New Roman" w:eastAsia="MS Mincho" w:hAnsi="Times New Roman"/>
      <w:sz w:val="24"/>
      <w:lang w:val="en-GB"/>
    </w:rPr>
  </w:style>
  <w:style w:type="paragraph" w:styleId="BlockText">
    <w:name w:val="Block Text"/>
    <w:basedOn w:val="Normal"/>
    <w:uiPriority w:val="99"/>
    <w:semiHidden/>
    <w:rsid w:val="00391EA1"/>
    <w:pPr>
      <w:pBdr>
        <w:top w:val="single" w:sz="2" w:space="10" w:color="0072BC" w:shadow="1" w:frame="1"/>
        <w:left w:val="single" w:sz="2" w:space="10" w:color="0072BC" w:shadow="1" w:frame="1"/>
        <w:bottom w:val="single" w:sz="2" w:space="10" w:color="0072BC" w:shadow="1" w:frame="1"/>
        <w:right w:val="single" w:sz="2" w:space="10" w:color="0072BC" w:shadow="1" w:frame="1"/>
      </w:pBdr>
      <w:spacing w:after="0" w:line="240" w:lineRule="auto"/>
      <w:ind w:left="1152" w:right="1152"/>
      <w:jc w:val="both"/>
    </w:pPr>
    <w:rPr>
      <w:rFonts w:ascii="Times New Roman" w:eastAsia="MS Mincho" w:hAnsi="Times New Roman"/>
      <w:i/>
      <w:iCs/>
      <w:color w:val="0072BC"/>
      <w:sz w:val="24"/>
      <w:lang w:val="en-GB"/>
    </w:rPr>
  </w:style>
  <w:style w:type="table" w:customStyle="1" w:styleId="ECHRHeaderTable">
    <w:name w:val="ECHR_Header_Table"/>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680" w:type="dxa"/>
      <w:tblBorders>
        <w:bottom w:val="single" w:sz="6" w:space="0" w:color="949494"/>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391EA1"/>
    <w:pPr>
      <w:spacing w:after="120" w:line="240" w:lineRule="auto"/>
      <w:jc w:val="both"/>
    </w:pPr>
    <w:rPr>
      <w:rFonts w:ascii="Times New Roman" w:eastAsia="MS Mincho" w:hAnsi="Times New Roman"/>
      <w:sz w:val="24"/>
      <w:szCs w:val="20"/>
      <w:lang w:val="x-none" w:eastAsia="x-none"/>
    </w:rPr>
  </w:style>
  <w:style w:type="character" w:customStyle="1" w:styleId="BodyTextChar">
    <w:name w:val="Body Text Char"/>
    <w:basedOn w:val="DefaultParagraphFont"/>
    <w:link w:val="BodyText"/>
    <w:uiPriority w:val="99"/>
    <w:semiHidden/>
    <w:rsid w:val="00391EA1"/>
    <w:rPr>
      <w:rFonts w:ascii="Times New Roman" w:eastAsia="MS Mincho" w:hAnsi="Times New Roman" w:cs="Times New Roman"/>
      <w:kern w:val="0"/>
      <w:sz w:val="24"/>
      <w:szCs w:val="20"/>
      <w:lang w:val="x-none" w:eastAsia="x-none"/>
      <w14:ligatures w14:val="none"/>
    </w:rPr>
  </w:style>
  <w:style w:type="table" w:customStyle="1" w:styleId="ECHRTableOddBanded">
    <w:name w:val="ECHR_Table_Odd_Banded"/>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rFonts w:ascii="Times New Roman" w:hAnsi="Times New Roman"/>
        <w:b/>
        <w:i w:val="0"/>
        <w:color w:val="474747"/>
        <w:sz w:val="22"/>
      </w:rPr>
      <w:tblPr/>
      <w:tcPr>
        <w:tcBorders>
          <w:top w:val="single" w:sz="4" w:space="0" w:color="949494"/>
          <w:left w:val="single" w:sz="4" w:space="0" w:color="949494"/>
          <w:bottom w:val="single" w:sz="4" w:space="0" w:color="949494"/>
          <w:right w:val="single" w:sz="4" w:space="0" w:color="949494"/>
          <w:insideH w:val="nil"/>
          <w:insideV w:val="single" w:sz="4" w:space="0" w:color="949494"/>
          <w:tl2br w:val="nil"/>
          <w:tr2bl w:val="nil"/>
        </w:tcBorders>
        <w:shd w:val="clear" w:color="auto" w:fill="DFDFDF"/>
      </w:tcPr>
    </w:tblStylePr>
    <w:tblStylePr w:type="band1Vert">
      <w:tblPr/>
      <w:tcPr>
        <w:tcBorders>
          <w:top w:val="nil"/>
          <w:left w:val="nil"/>
          <w:bottom w:val="nil"/>
          <w:right w:val="nil"/>
          <w:insideH w:val="nil"/>
          <w:insideV w:val="nil"/>
          <w:tl2br w:val="nil"/>
          <w:tr2bl w:val="nil"/>
        </w:tcBorders>
        <w:shd w:val="clear" w:color="auto" w:fill="DFDFDF"/>
      </w:tcPr>
    </w:tblStylePr>
    <w:tblStylePr w:type="band1Horz">
      <w:rPr>
        <w:b/>
      </w:rPr>
      <w:tblPr/>
      <w:tcPr>
        <w:shd w:val="clear" w:color="auto" w:fill="DFDFDF"/>
      </w:tcPr>
    </w:tblStylePr>
  </w:style>
  <w:style w:type="paragraph" w:styleId="BodyText2">
    <w:name w:val="Body Text 2"/>
    <w:basedOn w:val="Normal"/>
    <w:link w:val="BodyText2Char"/>
    <w:uiPriority w:val="99"/>
    <w:semiHidden/>
    <w:rsid w:val="00391EA1"/>
    <w:pPr>
      <w:spacing w:after="120" w:line="480" w:lineRule="auto"/>
      <w:jc w:val="both"/>
    </w:pPr>
    <w:rPr>
      <w:rFonts w:ascii="Times New Roman" w:eastAsia="MS Mincho" w:hAnsi="Times New Roman"/>
      <w:sz w:val="24"/>
      <w:szCs w:val="20"/>
      <w:lang w:val="x-none" w:eastAsia="x-none"/>
    </w:rPr>
  </w:style>
  <w:style w:type="character" w:customStyle="1" w:styleId="BodyText2Char">
    <w:name w:val="Body Text 2 Char"/>
    <w:basedOn w:val="DefaultParagraphFont"/>
    <w:link w:val="BodyText2"/>
    <w:uiPriority w:val="99"/>
    <w:semiHidden/>
    <w:rsid w:val="00391EA1"/>
    <w:rPr>
      <w:rFonts w:ascii="Times New Roman" w:eastAsia="MS Mincho" w:hAnsi="Times New Roman" w:cs="Times New Roman"/>
      <w:kern w:val="0"/>
      <w:sz w:val="24"/>
      <w:szCs w:val="20"/>
      <w:lang w:val="x-none" w:eastAsia="x-none"/>
      <w14:ligatures w14:val="none"/>
    </w:rPr>
  </w:style>
  <w:style w:type="table" w:customStyle="1" w:styleId="ECHRHeaderTableReduced">
    <w:name w:val="ECHR_Header_Table_Reduced"/>
    <w:basedOn w:val="TableNormal"/>
    <w:uiPriority w:val="99"/>
    <w:rsid w:val="00391EA1"/>
    <w:pPr>
      <w:spacing w:after="0" w:line="240" w:lineRule="auto"/>
    </w:pPr>
    <w:rPr>
      <w:rFonts w:ascii="Times New Roman" w:eastAsia="Times New Roman" w:hAnsi="Times New Roman" w:cs="Times New Roman"/>
      <w:kern w:val="0"/>
      <w:sz w:val="20"/>
      <w:szCs w:val="20"/>
      <w14:ligatures w14:val="none"/>
    </w:rPr>
    <w:tblPr>
      <w:tblInd w:w="-680" w:type="dxa"/>
      <w:tblCellMar>
        <w:left w:w="0" w:type="dxa"/>
        <w:right w:w="0" w:type="dxa"/>
      </w:tblCellMar>
    </w:tblPr>
    <w:tcPr>
      <w:vAlign w:val="bottom"/>
    </w:tcPr>
    <w:tblStylePr w:type="firstRow">
      <w:tblPr/>
      <w:tcPr>
        <w:tcBorders>
          <w:top w:val="nil"/>
          <w:left w:val="nil"/>
          <w:bottom w:val="single" w:sz="6" w:space="0" w:color="949494"/>
          <w:right w:val="nil"/>
          <w:insideH w:val="nil"/>
          <w:insideV w:val="nil"/>
          <w:tl2br w:val="nil"/>
          <w:tr2bl w:val="nil"/>
        </w:tcBorders>
      </w:tcPr>
    </w:tblStylePr>
    <w:tblStylePr w:type="lastRow">
      <w:pPr>
        <w:jc w:val="right"/>
      </w:pPr>
      <w:tblPr/>
      <w:tcPr>
        <w:tcBorders>
          <w:top w:val="single" w:sz="6" w:space="0" w:color="949494"/>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391EA1"/>
    <w:pPr>
      <w:spacing w:after="0" w:line="240" w:lineRule="auto"/>
      <w:ind w:firstLine="284"/>
      <w:jc w:val="both"/>
    </w:pPr>
    <w:rPr>
      <w:rFonts w:ascii="Times New Roman" w:eastAsia="MS Mincho" w:hAnsi="Times New Roman"/>
      <w:b/>
      <w:sz w:val="24"/>
      <w:lang w:val="en-GB"/>
    </w:rPr>
  </w:style>
  <w:style w:type="character" w:styleId="PageNumber">
    <w:name w:val="page number"/>
    <w:uiPriority w:val="99"/>
    <w:semiHidden/>
    <w:rsid w:val="00391EA1"/>
    <w:rPr>
      <w:sz w:val="18"/>
    </w:rPr>
  </w:style>
  <w:style w:type="paragraph" w:styleId="ListBullet">
    <w:name w:val="List Bullet"/>
    <w:basedOn w:val="Normal"/>
    <w:uiPriority w:val="99"/>
    <w:semiHidden/>
    <w:rsid w:val="00391EA1"/>
    <w:pPr>
      <w:numPr>
        <w:numId w:val="3"/>
      </w:numPr>
      <w:spacing w:after="0" w:line="240" w:lineRule="auto"/>
      <w:jc w:val="both"/>
    </w:pPr>
    <w:rPr>
      <w:rFonts w:ascii="Times New Roman" w:eastAsia="MS Mincho" w:hAnsi="Times New Roman"/>
      <w:sz w:val="24"/>
      <w:lang w:val="en-GB"/>
    </w:rPr>
  </w:style>
  <w:style w:type="paragraph" w:styleId="ListBullet3">
    <w:name w:val="List Bullet 3"/>
    <w:basedOn w:val="Normal"/>
    <w:uiPriority w:val="99"/>
    <w:semiHidden/>
    <w:rsid w:val="00391EA1"/>
    <w:pPr>
      <w:numPr>
        <w:numId w:val="2"/>
      </w:numPr>
      <w:spacing w:after="0" w:line="240" w:lineRule="auto"/>
      <w:contextualSpacing/>
      <w:jc w:val="both"/>
    </w:pPr>
    <w:rPr>
      <w:rFonts w:ascii="Times New Roman" w:eastAsia="MS Mincho" w:hAnsi="Times New Roman"/>
      <w:sz w:val="24"/>
      <w:lang w:val="en-GB"/>
    </w:rPr>
  </w:style>
  <w:style w:type="paragraph" w:styleId="BodyText3">
    <w:name w:val="Body Text 3"/>
    <w:basedOn w:val="Normal"/>
    <w:link w:val="BodyText3Char"/>
    <w:uiPriority w:val="99"/>
    <w:semiHidden/>
    <w:rsid w:val="00391EA1"/>
    <w:pPr>
      <w:spacing w:after="120" w:line="240" w:lineRule="auto"/>
      <w:jc w:val="both"/>
    </w:pPr>
    <w:rPr>
      <w:rFonts w:ascii="Times New Roman" w:eastAsia="MS Mincho" w:hAnsi="Times New Roman"/>
      <w:sz w:val="16"/>
      <w:szCs w:val="16"/>
      <w:lang w:val="x-none" w:eastAsia="x-none"/>
    </w:rPr>
  </w:style>
  <w:style w:type="character" w:customStyle="1" w:styleId="BodyText3Char">
    <w:name w:val="Body Text 3 Char"/>
    <w:basedOn w:val="DefaultParagraphFont"/>
    <w:link w:val="BodyText3"/>
    <w:uiPriority w:val="99"/>
    <w:semiHidden/>
    <w:rsid w:val="00391EA1"/>
    <w:rPr>
      <w:rFonts w:ascii="Times New Roman" w:eastAsia="MS Mincho" w:hAnsi="Times New Roman" w:cs="Times New Roman"/>
      <w:kern w:val="0"/>
      <w:sz w:val="16"/>
      <w:szCs w:val="16"/>
      <w:lang w:val="x-none" w:eastAsia="x-none"/>
      <w14:ligatures w14:val="none"/>
    </w:rPr>
  </w:style>
  <w:style w:type="paragraph" w:styleId="BodyTextFirstIndent">
    <w:name w:val="Body Text First Indent"/>
    <w:basedOn w:val="BodyText"/>
    <w:link w:val="BodyTextFirstIndentChar"/>
    <w:uiPriority w:val="99"/>
    <w:semiHidden/>
    <w:rsid w:val="00391EA1"/>
    <w:pPr>
      <w:spacing w:after="0"/>
      <w:ind w:firstLine="360"/>
    </w:pPr>
  </w:style>
  <w:style w:type="character" w:customStyle="1" w:styleId="BodyTextFirstIndentChar">
    <w:name w:val="Body Text First Indent Char"/>
    <w:basedOn w:val="BodyTextChar"/>
    <w:link w:val="BodyTextFirstIndent"/>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
    <w:name w:val="Body Text Indent"/>
    <w:basedOn w:val="Normal"/>
    <w:link w:val="BodyTextIndentChar"/>
    <w:uiPriority w:val="99"/>
    <w:semiHidden/>
    <w:rsid w:val="00391EA1"/>
    <w:pPr>
      <w:spacing w:after="120" w:line="240" w:lineRule="auto"/>
      <w:ind w:left="283"/>
      <w:jc w:val="both"/>
    </w:pPr>
    <w:rPr>
      <w:rFonts w:ascii="Times New Roman" w:eastAsia="MS Mincho" w:hAnsi="Times New Roman"/>
      <w:sz w:val="24"/>
      <w:szCs w:val="20"/>
      <w:lang w:val="x-none" w:eastAsia="x-none"/>
    </w:rPr>
  </w:style>
  <w:style w:type="character" w:customStyle="1" w:styleId="BodyTextIndentChar">
    <w:name w:val="Body Text Indent Char"/>
    <w:basedOn w:val="DefaultParagraphFont"/>
    <w:link w:val="BodyTextIndent"/>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FirstIndent2">
    <w:name w:val="Body Text First Indent 2"/>
    <w:basedOn w:val="BodyTextIndent"/>
    <w:link w:val="BodyTextFirstIndent2Char"/>
    <w:uiPriority w:val="99"/>
    <w:semiHidden/>
    <w:rsid w:val="00391EA1"/>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2">
    <w:name w:val="Body Text Indent 2"/>
    <w:basedOn w:val="Normal"/>
    <w:link w:val="BodyTextIndent2Char"/>
    <w:uiPriority w:val="99"/>
    <w:semiHidden/>
    <w:rsid w:val="00391EA1"/>
    <w:pPr>
      <w:spacing w:after="120" w:line="480" w:lineRule="auto"/>
      <w:ind w:left="283"/>
      <w:jc w:val="both"/>
    </w:pPr>
    <w:rPr>
      <w:rFonts w:ascii="Times New Roman" w:eastAsia="MS Mincho" w:hAnsi="Times New Roman"/>
      <w:sz w:val="24"/>
      <w:szCs w:val="20"/>
      <w:lang w:val="x-none" w:eastAsia="x-none"/>
    </w:rPr>
  </w:style>
  <w:style w:type="character" w:customStyle="1" w:styleId="BodyTextIndent2Char">
    <w:name w:val="Body Text Indent 2 Char"/>
    <w:basedOn w:val="DefaultParagraphFont"/>
    <w:link w:val="BodyTextIndent2"/>
    <w:uiPriority w:val="99"/>
    <w:semiHidden/>
    <w:rsid w:val="00391EA1"/>
    <w:rPr>
      <w:rFonts w:ascii="Times New Roman" w:eastAsia="MS Mincho" w:hAnsi="Times New Roman" w:cs="Times New Roman"/>
      <w:kern w:val="0"/>
      <w:sz w:val="24"/>
      <w:szCs w:val="20"/>
      <w:lang w:val="x-none" w:eastAsia="x-none"/>
      <w14:ligatures w14:val="none"/>
    </w:rPr>
  </w:style>
  <w:style w:type="paragraph" w:styleId="BodyTextIndent3">
    <w:name w:val="Body Text Indent 3"/>
    <w:basedOn w:val="Normal"/>
    <w:link w:val="BodyTextIndent3Char"/>
    <w:uiPriority w:val="99"/>
    <w:semiHidden/>
    <w:rsid w:val="00391EA1"/>
    <w:pPr>
      <w:spacing w:after="120" w:line="240" w:lineRule="auto"/>
      <w:ind w:left="283"/>
      <w:jc w:val="both"/>
    </w:pPr>
    <w:rPr>
      <w:rFonts w:ascii="Times New Roman" w:eastAsia="MS Mincho" w:hAnsi="Times New Roman"/>
      <w:sz w:val="16"/>
      <w:szCs w:val="16"/>
      <w:lang w:val="x-none" w:eastAsia="x-none"/>
    </w:rPr>
  </w:style>
  <w:style w:type="character" w:customStyle="1" w:styleId="BodyTextIndent3Char">
    <w:name w:val="Body Text Indent 3 Char"/>
    <w:basedOn w:val="DefaultParagraphFont"/>
    <w:link w:val="BodyTextIndent3"/>
    <w:uiPriority w:val="99"/>
    <w:semiHidden/>
    <w:rsid w:val="00391EA1"/>
    <w:rPr>
      <w:rFonts w:ascii="Times New Roman" w:eastAsia="MS Mincho" w:hAnsi="Times New Roman" w:cs="Times New Roman"/>
      <w:kern w:val="0"/>
      <w:sz w:val="16"/>
      <w:szCs w:val="16"/>
      <w:lang w:val="x-none" w:eastAsia="x-none"/>
      <w14:ligatures w14:val="none"/>
    </w:rPr>
  </w:style>
  <w:style w:type="paragraph" w:styleId="Caption">
    <w:name w:val="caption"/>
    <w:basedOn w:val="Normal"/>
    <w:next w:val="Normal"/>
    <w:uiPriority w:val="99"/>
    <w:semiHidden/>
    <w:qFormat/>
    <w:rsid w:val="00391EA1"/>
    <w:pPr>
      <w:spacing w:line="240" w:lineRule="auto"/>
      <w:jc w:val="both"/>
    </w:pPr>
    <w:rPr>
      <w:rFonts w:ascii="Times New Roman" w:eastAsia="MS Mincho" w:hAnsi="Times New Roman"/>
      <w:b/>
      <w:bCs/>
      <w:color w:val="0072BC"/>
      <w:sz w:val="18"/>
      <w:szCs w:val="18"/>
      <w:lang w:val="en-GB"/>
    </w:rPr>
  </w:style>
  <w:style w:type="paragraph" w:styleId="Closing">
    <w:name w:val="Closing"/>
    <w:basedOn w:val="Normal"/>
    <w:link w:val="ClosingChar"/>
    <w:uiPriority w:val="99"/>
    <w:semiHidden/>
    <w:rsid w:val="00391EA1"/>
    <w:pPr>
      <w:spacing w:after="0" w:line="240" w:lineRule="auto"/>
      <w:ind w:left="4252"/>
      <w:jc w:val="both"/>
    </w:pPr>
    <w:rPr>
      <w:rFonts w:ascii="Times New Roman" w:eastAsia="MS Mincho" w:hAnsi="Times New Roman"/>
      <w:sz w:val="24"/>
      <w:szCs w:val="20"/>
      <w:lang w:val="x-none" w:eastAsia="x-none"/>
    </w:rPr>
  </w:style>
  <w:style w:type="character" w:customStyle="1" w:styleId="ClosingChar">
    <w:name w:val="Closing Char"/>
    <w:basedOn w:val="DefaultParagraphFont"/>
    <w:link w:val="Closing"/>
    <w:uiPriority w:val="99"/>
    <w:semiHidden/>
    <w:rsid w:val="00391EA1"/>
    <w:rPr>
      <w:rFonts w:ascii="Times New Roman" w:eastAsia="MS Mincho" w:hAnsi="Times New Roman" w:cs="Times New Roman"/>
      <w:kern w:val="0"/>
      <w:sz w:val="24"/>
      <w:szCs w:val="20"/>
      <w:lang w:val="x-none" w:eastAsia="x-none"/>
      <w14:ligatures w14:val="none"/>
    </w:rPr>
  </w:style>
  <w:style w:type="table" w:styleId="ColorfulGrid">
    <w:name w:val="Colorful Grid"/>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0072BC"/>
      </w:rPr>
      <w:tblPr/>
      <w:tcPr>
        <w:shd w:val="clear" w:color="auto" w:fill="000000"/>
      </w:tcPr>
    </w:tblStylePr>
    <w:tblStylePr w:type="lastCol">
      <w:rPr>
        <w:color w:val="0072BC"/>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BEE5FF"/>
    </w:tcPr>
    <w:tblStylePr w:type="firstRow">
      <w:rPr>
        <w:b/>
        <w:bCs/>
      </w:rPr>
      <w:tblPr/>
      <w:tcPr>
        <w:shd w:val="clear" w:color="auto" w:fill="7ECBFF"/>
      </w:tcPr>
    </w:tblStylePr>
    <w:tblStylePr w:type="lastRow">
      <w:rPr>
        <w:b/>
        <w:bCs/>
        <w:color w:val="000000"/>
      </w:rPr>
      <w:tblPr/>
      <w:tcPr>
        <w:shd w:val="clear" w:color="auto" w:fill="7ECBFF"/>
      </w:tcPr>
    </w:tblStylePr>
    <w:tblStylePr w:type="firstCol">
      <w:rPr>
        <w:color w:val="0072BC"/>
      </w:rPr>
      <w:tblPr/>
      <w:tcPr>
        <w:shd w:val="clear" w:color="auto" w:fill="00548C"/>
      </w:tcPr>
    </w:tblStylePr>
    <w:tblStylePr w:type="lastCol">
      <w:rPr>
        <w:color w:val="0072BC"/>
      </w:rPr>
      <w:tblPr/>
      <w:tcPr>
        <w:shd w:val="clear" w:color="auto" w:fill="00548C"/>
      </w:tcPr>
    </w:tblStylePr>
    <w:tblStylePr w:type="band1Vert">
      <w:tblPr/>
      <w:tcPr>
        <w:shd w:val="clear" w:color="auto" w:fill="5EBFFF"/>
      </w:tcPr>
    </w:tblStylePr>
    <w:tblStylePr w:type="band1Horz">
      <w:tblPr/>
      <w:tcPr>
        <w:shd w:val="clear" w:color="auto" w:fill="5EBFFF"/>
      </w:tcPr>
    </w:tblStylePr>
  </w:style>
  <w:style w:type="table" w:styleId="ColorfulGrid-Accent2">
    <w:name w:val="Colorful Grid Accent 2"/>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FFBFBF"/>
    </w:tcPr>
    <w:tblStylePr w:type="firstRow">
      <w:rPr>
        <w:b/>
        <w:bCs/>
      </w:rPr>
      <w:tblPr/>
      <w:tcPr>
        <w:shd w:val="clear" w:color="auto" w:fill="FF7F7F"/>
      </w:tcPr>
    </w:tblStylePr>
    <w:tblStylePr w:type="lastRow">
      <w:rPr>
        <w:b/>
        <w:bCs/>
        <w:color w:val="000000"/>
      </w:rPr>
      <w:tblPr/>
      <w:tcPr>
        <w:shd w:val="clear" w:color="auto" w:fill="FF7F7F"/>
      </w:tcPr>
    </w:tblStylePr>
    <w:tblStylePr w:type="firstCol">
      <w:rPr>
        <w:color w:val="0072BC"/>
      </w:rPr>
      <w:tblPr/>
      <w:tcPr>
        <w:shd w:val="clear" w:color="auto" w:fill="8F0000"/>
      </w:tcPr>
    </w:tblStylePr>
    <w:tblStylePr w:type="lastCol">
      <w:rPr>
        <w:color w:val="0072BC"/>
      </w:rPr>
      <w:tblPr/>
      <w:tcPr>
        <w:shd w:val="clear" w:color="auto" w:fill="8F0000"/>
      </w:tcPr>
    </w:tblStylePr>
    <w:tblStylePr w:type="band1Vert">
      <w:tblPr/>
      <w:tcPr>
        <w:shd w:val="clear" w:color="auto" w:fill="FF6060"/>
      </w:tcPr>
    </w:tblStylePr>
    <w:tblStylePr w:type="band1Horz">
      <w:tblPr/>
      <w:tcPr>
        <w:shd w:val="clear" w:color="auto" w:fill="FF6060"/>
      </w:tcPr>
    </w:tblStylePr>
  </w:style>
  <w:style w:type="table" w:styleId="ColorfulGrid-Accent3">
    <w:name w:val="Colorful Grid Accent 3"/>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4">
    <w:name w:val="Colorful Grid Accent 4"/>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EAEAEA"/>
    </w:tcPr>
    <w:tblStylePr w:type="firstRow">
      <w:rPr>
        <w:b/>
        <w:bCs/>
      </w:rPr>
      <w:tblPr/>
      <w:tcPr>
        <w:shd w:val="clear" w:color="auto" w:fill="D5D5D5"/>
      </w:tcPr>
    </w:tblStylePr>
    <w:tblStylePr w:type="lastRow">
      <w:rPr>
        <w:b/>
        <w:bCs/>
        <w:color w:val="000000"/>
      </w:rPr>
      <w:tblPr/>
      <w:tcPr>
        <w:shd w:val="clear" w:color="auto" w:fill="D5D5D5"/>
      </w:tcPr>
    </w:tblStylePr>
    <w:tblStylePr w:type="firstCol">
      <w:rPr>
        <w:color w:val="0072BC"/>
      </w:rPr>
      <w:tblPr/>
      <w:tcPr>
        <w:shd w:val="clear" w:color="auto" w:fill="707070"/>
      </w:tcPr>
    </w:tblStylePr>
    <w:tblStylePr w:type="lastCol">
      <w:rPr>
        <w:color w:val="0072BC"/>
      </w:rPr>
      <w:tblPr/>
      <w:tcPr>
        <w:shd w:val="clear" w:color="auto" w:fill="707070"/>
      </w:tcPr>
    </w:tblStylePr>
    <w:tblStylePr w:type="band1Vert">
      <w:tblPr/>
      <w:tcPr>
        <w:shd w:val="clear" w:color="auto" w:fill="CACACA"/>
      </w:tcPr>
    </w:tblStylePr>
    <w:tblStylePr w:type="band1Horz">
      <w:tblPr/>
      <w:tcPr>
        <w:shd w:val="clear" w:color="auto" w:fill="CACACA"/>
      </w:tcPr>
    </w:tblStylePr>
  </w:style>
  <w:style w:type="table" w:styleId="ColorfulGrid-Accent5">
    <w:name w:val="Colorful Grid Accent 5"/>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FDFDF"/>
    </w:tcPr>
    <w:tblStylePr w:type="firstRow">
      <w:rPr>
        <w:b/>
        <w:bCs/>
      </w:rPr>
      <w:tblPr/>
      <w:tcPr>
        <w:shd w:val="clear" w:color="auto" w:fill="BFBFBF"/>
      </w:tcPr>
    </w:tblStylePr>
    <w:tblStylePr w:type="lastRow">
      <w:rPr>
        <w:b/>
        <w:bCs/>
        <w:color w:val="000000"/>
      </w:rPr>
      <w:tblPr/>
      <w:tcPr>
        <w:shd w:val="clear" w:color="auto" w:fill="BFBFBF"/>
      </w:tcPr>
    </w:tblStylePr>
    <w:tblStylePr w:type="firstCol">
      <w:rPr>
        <w:color w:val="0072BC"/>
      </w:rPr>
      <w:tblPr/>
      <w:tcPr>
        <w:shd w:val="clear" w:color="auto" w:fill="474747"/>
      </w:tcPr>
    </w:tblStylePr>
    <w:tblStylePr w:type="lastCol">
      <w:rPr>
        <w:color w:val="0072BC"/>
      </w:rPr>
      <w:tblPr/>
      <w:tcPr>
        <w:shd w:val="clear" w:color="auto" w:fill="474747"/>
      </w:tcPr>
    </w:tblStylePr>
    <w:tblStylePr w:type="band1Vert">
      <w:tblPr/>
      <w:tcPr>
        <w:shd w:val="clear" w:color="auto" w:fill="AFAFAF"/>
      </w:tcPr>
    </w:tblStylePr>
    <w:tblStylePr w:type="band1Horz">
      <w:tblPr/>
      <w:tcPr>
        <w:shd w:val="clear" w:color="auto" w:fill="AFAFAF"/>
      </w:tcPr>
    </w:tblStylePr>
  </w:style>
  <w:style w:type="table" w:styleId="ColorfulGrid-Accent6">
    <w:name w:val="Colorful Grid Accent 6"/>
    <w:basedOn w:val="TableNormal"/>
    <w:uiPriority w:val="73"/>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insideH w:val="single" w:sz="4" w:space="0" w:color="0072BC"/>
      </w:tblBorders>
    </w:tblPr>
    <w:tcPr>
      <w:shd w:val="clear" w:color="auto" w:fill="DBDBDB"/>
    </w:tcPr>
    <w:tblStylePr w:type="firstRow">
      <w:rPr>
        <w:b/>
        <w:bCs/>
      </w:rPr>
      <w:tblPr/>
      <w:tcPr>
        <w:shd w:val="clear" w:color="auto" w:fill="B7B7B7"/>
      </w:tcPr>
    </w:tblStylePr>
    <w:tblStylePr w:type="lastRow">
      <w:rPr>
        <w:b/>
        <w:bCs/>
        <w:color w:val="000000"/>
      </w:rPr>
      <w:tblPr/>
      <w:tcPr>
        <w:shd w:val="clear" w:color="auto" w:fill="B7B7B7"/>
      </w:tcPr>
    </w:tblStylePr>
    <w:tblStylePr w:type="firstCol">
      <w:rPr>
        <w:color w:val="0072BC"/>
      </w:rPr>
      <w:tblPr/>
      <w:tcPr>
        <w:shd w:val="clear" w:color="auto" w:fill="393939"/>
      </w:tcPr>
    </w:tblStylePr>
    <w:tblStylePr w:type="lastCol">
      <w:rPr>
        <w:color w:val="0072BC"/>
      </w:rPr>
      <w:tblPr/>
      <w:tcPr>
        <w:shd w:val="clear" w:color="auto" w:fill="393939"/>
      </w:tcPr>
    </w:tblStylePr>
    <w:tblStylePr w:type="band1Vert">
      <w:tblPr/>
      <w:tcPr>
        <w:shd w:val="clear" w:color="auto" w:fill="A6A6A6"/>
      </w:tcPr>
    </w:tblStylePr>
    <w:tblStylePr w:type="band1Horz">
      <w:tblPr/>
      <w:tcPr>
        <w:shd w:val="clear" w:color="auto" w:fill="A6A6A6"/>
      </w:tcPr>
    </w:tblStylePr>
  </w:style>
  <w:style w:type="table" w:styleId="ColorfulList">
    <w:name w:val="Colorful List"/>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6E6E6"/>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DFF2F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cPr>
    </w:tblStylePr>
    <w:tblStylePr w:type="band1Horz">
      <w:tblPr/>
      <w:tcPr>
        <w:shd w:val="clear" w:color="auto" w:fill="BEE5FF"/>
      </w:tcPr>
    </w:tblStylePr>
  </w:style>
  <w:style w:type="table" w:styleId="ColorfulList-Accent2">
    <w:name w:val="Colorful List Accent 2"/>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FDFDF"/>
    </w:tcPr>
    <w:tblStylePr w:type="firstRow">
      <w:rPr>
        <w:b/>
        <w:bCs/>
        <w:color w:val="0072BC"/>
      </w:rPr>
      <w:tblPr/>
      <w:tcPr>
        <w:tcBorders>
          <w:bottom w:val="single" w:sz="12" w:space="0" w:color="0072BC"/>
        </w:tcBorders>
        <w:shd w:val="clear" w:color="auto" w:fill="990000"/>
      </w:tcPr>
    </w:tblStylePr>
    <w:tblStylePr w:type="lastRow">
      <w:rPr>
        <w:b/>
        <w:bCs/>
        <w:color w:val="990000"/>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cPr>
    </w:tblStylePr>
    <w:tblStylePr w:type="band1Horz">
      <w:tblPr/>
      <w:tcPr>
        <w:shd w:val="clear" w:color="auto" w:fill="FFBFBF"/>
      </w:tcPr>
    </w:tblStylePr>
  </w:style>
  <w:style w:type="table" w:styleId="ColorfulList-Accent3">
    <w:name w:val="Colorful List Accent 3"/>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787878"/>
      </w:tcPr>
    </w:tblStylePr>
    <w:tblStylePr w:type="lastRow">
      <w:rPr>
        <w:b/>
        <w:bCs/>
        <w:color w:val="787878"/>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4">
    <w:name w:val="Colorful List Accent 4"/>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F4F4F4"/>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cPr>
    </w:tblStylePr>
    <w:tblStylePr w:type="band1Horz">
      <w:tblPr/>
      <w:tcPr>
        <w:shd w:val="clear" w:color="auto" w:fill="EAEAEA"/>
      </w:tcPr>
    </w:tblStylePr>
  </w:style>
  <w:style w:type="table" w:styleId="ColorfulList-Accent5">
    <w:name w:val="Colorful List Accent 5"/>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FEFEF"/>
    </w:tcPr>
    <w:tblStylePr w:type="firstRow">
      <w:rPr>
        <w:b/>
        <w:bCs/>
        <w:color w:val="0072BC"/>
      </w:rPr>
      <w:tblPr/>
      <w:tcPr>
        <w:tcBorders>
          <w:bottom w:val="single" w:sz="12" w:space="0" w:color="0072BC"/>
        </w:tcBorders>
        <w:shd w:val="clear" w:color="auto" w:fill="3D3D3D"/>
      </w:tcPr>
    </w:tblStylePr>
    <w:tblStylePr w:type="lastRow">
      <w:rPr>
        <w:b/>
        <w:bCs/>
        <w:color w:val="3D3D3D"/>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cPr>
    </w:tblStylePr>
    <w:tblStylePr w:type="band1Horz">
      <w:tblPr/>
      <w:tcPr>
        <w:shd w:val="clear" w:color="auto" w:fill="DFDFDF"/>
      </w:tcPr>
    </w:tblStylePr>
  </w:style>
  <w:style w:type="table" w:styleId="ColorfulList-Accent6">
    <w:name w:val="Colorful List Accent 6"/>
    <w:basedOn w:val="TableNormal"/>
    <w:uiPriority w:val="72"/>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Pr>
    <w:tcPr>
      <w:shd w:val="clear" w:color="auto" w:fill="EDEDED"/>
    </w:tcPr>
    <w:tblStylePr w:type="firstRow">
      <w:rPr>
        <w:b/>
        <w:bCs/>
        <w:color w:val="0072BC"/>
      </w:rPr>
      <w:tblPr/>
      <w:tcPr>
        <w:tcBorders>
          <w:bottom w:val="single" w:sz="12" w:space="0" w:color="0072BC"/>
        </w:tcBorders>
        <w:shd w:val="clear" w:color="auto" w:fill="4C4C4C"/>
      </w:tcPr>
    </w:tblStylePr>
    <w:tblStylePr w:type="lastRow">
      <w:rPr>
        <w:b/>
        <w:bCs/>
        <w:color w:val="4C4C4C"/>
      </w:rPr>
      <w:tblPr/>
      <w:tcPr>
        <w:tcBorders>
          <w:top w:val="single" w:sz="12" w:space="0" w:color="000000"/>
        </w:tcBorders>
        <w:shd w:val="clear" w:color="auto" w:fill="0072BC"/>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cPr>
    </w:tblStylePr>
    <w:tblStylePr w:type="band1Horz">
      <w:tblPr/>
      <w:tcPr>
        <w:shd w:val="clear" w:color="auto" w:fill="DBDBDB"/>
      </w:tcPr>
    </w:tblStylePr>
  </w:style>
  <w:style w:type="table" w:styleId="ColorfulShading">
    <w:name w:val="Colorful Shading"/>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0000"/>
        <w:bottom w:val="single" w:sz="4" w:space="0" w:color="000000"/>
        <w:right w:val="single" w:sz="4" w:space="0" w:color="000000"/>
        <w:insideH w:val="single" w:sz="4" w:space="0" w:color="0072BC"/>
        <w:insideV w:val="single" w:sz="4" w:space="0" w:color="0072BC"/>
      </w:tblBorders>
    </w:tblPr>
    <w:tcPr>
      <w:shd w:val="clear" w:color="auto" w:fill="E6E6E6"/>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0000"/>
      </w:tcPr>
    </w:tblStylePr>
    <w:tblStylePr w:type="firstCol">
      <w:rPr>
        <w:color w:val="0072BC"/>
      </w:rPr>
      <w:tblPr/>
      <w:tcPr>
        <w:tcBorders>
          <w:top w:val="nil"/>
          <w:left w:val="nil"/>
          <w:bottom w:val="nil"/>
          <w:right w:val="nil"/>
          <w:insideH w:val="single" w:sz="4" w:space="0" w:color="000000"/>
          <w:insideV w:val="nil"/>
        </w:tcBorders>
        <w:shd w:val="clear" w:color="auto" w:fill="000000"/>
      </w:tcPr>
    </w:tblStylePr>
    <w:tblStylePr w:type="lastCol">
      <w:rPr>
        <w:color w:val="0072BC"/>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0072BC"/>
        <w:bottom w:val="single" w:sz="4" w:space="0" w:color="0072BC"/>
        <w:right w:val="single" w:sz="4" w:space="0" w:color="0072BC"/>
        <w:insideH w:val="single" w:sz="4" w:space="0" w:color="0072BC"/>
        <w:insideV w:val="single" w:sz="4" w:space="0" w:color="0072BC"/>
      </w:tblBorders>
    </w:tblPr>
    <w:tcPr>
      <w:shd w:val="clear" w:color="auto" w:fill="DFF2F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004470"/>
      </w:tcPr>
    </w:tblStylePr>
    <w:tblStylePr w:type="firstCol">
      <w:rPr>
        <w:color w:val="0072BC"/>
      </w:rPr>
      <w:tblPr/>
      <w:tcPr>
        <w:tcBorders>
          <w:top w:val="nil"/>
          <w:left w:val="nil"/>
          <w:bottom w:val="nil"/>
          <w:right w:val="nil"/>
          <w:insideH w:val="single" w:sz="4" w:space="0" w:color="004470"/>
          <w:insideV w:val="nil"/>
        </w:tcBorders>
        <w:shd w:val="clear" w:color="auto" w:fill="004470"/>
      </w:tcPr>
    </w:tblStylePr>
    <w:tblStylePr w:type="lastCol">
      <w:rPr>
        <w:color w:val="0072BC"/>
      </w:rPr>
      <w:tblPr/>
      <w:tcPr>
        <w:tcBorders>
          <w:top w:val="nil"/>
          <w:left w:val="nil"/>
          <w:bottom w:val="nil"/>
          <w:right w:val="nil"/>
          <w:insideH w:val="nil"/>
          <w:insideV w:val="nil"/>
        </w:tcBorders>
        <w:shd w:val="clear" w:color="auto" w:fill="004470"/>
      </w:tcPr>
    </w:tblStylePr>
    <w:tblStylePr w:type="band1Vert">
      <w:tblPr/>
      <w:tcPr>
        <w:shd w:val="clear" w:color="auto" w:fill="7ECBFF"/>
      </w:tcPr>
    </w:tblStylePr>
    <w:tblStylePr w:type="band1Horz">
      <w:tblPr/>
      <w:tcPr>
        <w:shd w:val="clear" w:color="auto" w:fill="5EBFF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C00000"/>
        <w:left w:val="single" w:sz="4" w:space="0" w:color="C00000"/>
        <w:bottom w:val="single" w:sz="4" w:space="0" w:color="C00000"/>
        <w:right w:val="single" w:sz="4" w:space="0" w:color="C00000"/>
        <w:insideH w:val="single" w:sz="4" w:space="0" w:color="0072BC"/>
        <w:insideV w:val="single" w:sz="4" w:space="0" w:color="0072BC"/>
      </w:tblBorders>
    </w:tblPr>
    <w:tcPr>
      <w:shd w:val="clear" w:color="auto" w:fill="FFDFDF"/>
    </w:tcPr>
    <w:tblStylePr w:type="firstRow">
      <w:rPr>
        <w:b/>
        <w:bCs/>
      </w:rPr>
      <w:tblPr/>
      <w:tcPr>
        <w:tcBorders>
          <w:top w:val="nil"/>
          <w:left w:val="nil"/>
          <w:bottom w:val="single" w:sz="24" w:space="0" w:color="C00000"/>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730000"/>
      </w:tcPr>
    </w:tblStylePr>
    <w:tblStylePr w:type="firstCol">
      <w:rPr>
        <w:color w:val="0072BC"/>
      </w:rPr>
      <w:tblPr/>
      <w:tcPr>
        <w:tcBorders>
          <w:top w:val="nil"/>
          <w:left w:val="nil"/>
          <w:bottom w:val="nil"/>
          <w:right w:val="nil"/>
          <w:insideH w:val="single" w:sz="4" w:space="0" w:color="730000"/>
          <w:insideV w:val="nil"/>
        </w:tcBorders>
        <w:shd w:val="clear" w:color="auto" w:fill="730000"/>
      </w:tcPr>
    </w:tblStylePr>
    <w:tblStylePr w:type="lastCol">
      <w:rPr>
        <w:color w:val="0072BC"/>
      </w:rPr>
      <w:tblPr/>
      <w:tcPr>
        <w:tcBorders>
          <w:top w:val="nil"/>
          <w:left w:val="nil"/>
          <w:bottom w:val="nil"/>
          <w:right w:val="nil"/>
          <w:insideH w:val="nil"/>
          <w:insideV w:val="nil"/>
        </w:tcBorders>
        <w:shd w:val="clear" w:color="auto" w:fill="730000"/>
      </w:tcPr>
    </w:tblStylePr>
    <w:tblStylePr w:type="band1Vert">
      <w:tblPr/>
      <w:tcPr>
        <w:shd w:val="clear" w:color="auto" w:fill="FF7F7F"/>
      </w:tcPr>
    </w:tblStylePr>
    <w:tblStylePr w:type="band1Horz">
      <w:tblPr/>
      <w:tcPr>
        <w:shd w:val="clear" w:color="auto" w:fill="FF6060"/>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969696"/>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969696"/>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style>
  <w:style w:type="table" w:styleId="ColorfulShading-Accent4">
    <w:name w:val="Colorful Shading Accent 4"/>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969696"/>
        <w:bottom w:val="single" w:sz="4" w:space="0" w:color="969696"/>
        <w:right w:val="single" w:sz="4" w:space="0" w:color="969696"/>
        <w:insideH w:val="single" w:sz="4" w:space="0" w:color="0072BC"/>
        <w:insideV w:val="single" w:sz="4" w:space="0" w:color="0072BC"/>
      </w:tblBorders>
    </w:tblPr>
    <w:tcPr>
      <w:shd w:val="clear" w:color="auto" w:fill="F4F4F4"/>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5A5A5A"/>
      </w:tcPr>
    </w:tblStylePr>
    <w:tblStylePr w:type="firstCol">
      <w:rPr>
        <w:color w:val="0072BC"/>
      </w:rPr>
      <w:tblPr/>
      <w:tcPr>
        <w:tcBorders>
          <w:top w:val="nil"/>
          <w:left w:val="nil"/>
          <w:bottom w:val="nil"/>
          <w:right w:val="nil"/>
          <w:insideH w:val="single" w:sz="4" w:space="0" w:color="5A5A5A"/>
          <w:insideV w:val="nil"/>
        </w:tcBorders>
        <w:shd w:val="clear" w:color="auto" w:fill="5A5A5A"/>
      </w:tcPr>
    </w:tblStylePr>
    <w:tblStylePr w:type="lastCol">
      <w:rPr>
        <w:color w:val="0072BC"/>
      </w:rPr>
      <w:tblPr/>
      <w:tcPr>
        <w:tcBorders>
          <w:top w:val="nil"/>
          <w:left w:val="nil"/>
          <w:bottom w:val="nil"/>
          <w:right w:val="nil"/>
          <w:insideH w:val="nil"/>
          <w:insideV w:val="nil"/>
        </w:tcBorders>
        <w:shd w:val="clear" w:color="auto" w:fill="5A5A5A"/>
      </w:tcPr>
    </w:tblStylePr>
    <w:tblStylePr w:type="band1Vert">
      <w:tblPr/>
      <w:tcPr>
        <w:shd w:val="clear" w:color="auto" w:fill="D5D5D5"/>
      </w:tcPr>
    </w:tblStylePr>
    <w:tblStylePr w:type="band1Horz">
      <w:tblPr/>
      <w:tcPr>
        <w:shd w:val="clear" w:color="auto" w:fill="CACACA"/>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4D4D4D"/>
        <w:left w:val="single" w:sz="4" w:space="0" w:color="5F5F5F"/>
        <w:bottom w:val="single" w:sz="4" w:space="0" w:color="5F5F5F"/>
        <w:right w:val="single" w:sz="4" w:space="0" w:color="5F5F5F"/>
        <w:insideH w:val="single" w:sz="4" w:space="0" w:color="0072BC"/>
        <w:insideV w:val="single" w:sz="4" w:space="0" w:color="0072BC"/>
      </w:tblBorders>
    </w:tblPr>
    <w:tcPr>
      <w:shd w:val="clear" w:color="auto" w:fill="EFEFEF"/>
    </w:tcPr>
    <w:tblStylePr w:type="firstRow">
      <w:rPr>
        <w:b/>
        <w:bCs/>
      </w:rPr>
      <w:tblPr/>
      <w:tcPr>
        <w:tcBorders>
          <w:top w:val="nil"/>
          <w:left w:val="nil"/>
          <w:bottom w:val="single" w:sz="24" w:space="0" w:color="4D4D4D"/>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393939"/>
      </w:tcPr>
    </w:tblStylePr>
    <w:tblStylePr w:type="firstCol">
      <w:rPr>
        <w:color w:val="0072BC"/>
      </w:rPr>
      <w:tblPr/>
      <w:tcPr>
        <w:tcBorders>
          <w:top w:val="nil"/>
          <w:left w:val="nil"/>
          <w:bottom w:val="nil"/>
          <w:right w:val="nil"/>
          <w:insideH w:val="single" w:sz="4" w:space="0" w:color="393939"/>
          <w:insideV w:val="nil"/>
        </w:tcBorders>
        <w:shd w:val="clear" w:color="auto" w:fill="393939"/>
      </w:tcPr>
    </w:tblStylePr>
    <w:tblStylePr w:type="lastCol">
      <w:rPr>
        <w:color w:val="0072BC"/>
      </w:rPr>
      <w:tblPr/>
      <w:tcPr>
        <w:tcBorders>
          <w:top w:val="nil"/>
          <w:left w:val="nil"/>
          <w:bottom w:val="nil"/>
          <w:right w:val="nil"/>
          <w:insideH w:val="nil"/>
          <w:insideV w:val="nil"/>
        </w:tcBorders>
        <w:shd w:val="clear" w:color="auto" w:fill="393939"/>
      </w:tcPr>
    </w:tblStylePr>
    <w:tblStylePr w:type="band1Vert">
      <w:tblPr/>
      <w:tcPr>
        <w:shd w:val="clear" w:color="auto" w:fill="BFBFBF"/>
      </w:tcPr>
    </w:tblStylePr>
    <w:tblStylePr w:type="band1Horz">
      <w:tblPr/>
      <w:tcPr>
        <w:shd w:val="clear" w:color="auto" w:fill="AFAFA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5F5F5F"/>
        <w:left w:val="single" w:sz="4" w:space="0" w:color="4D4D4D"/>
        <w:bottom w:val="single" w:sz="4" w:space="0" w:color="4D4D4D"/>
        <w:right w:val="single" w:sz="4" w:space="0" w:color="4D4D4D"/>
        <w:insideH w:val="single" w:sz="4" w:space="0" w:color="0072BC"/>
        <w:insideV w:val="single" w:sz="4" w:space="0" w:color="0072BC"/>
      </w:tblBorders>
    </w:tblPr>
    <w:tcPr>
      <w:shd w:val="clear" w:color="auto" w:fill="EDEDED"/>
    </w:tcPr>
    <w:tblStylePr w:type="firstRow">
      <w:rPr>
        <w:b/>
        <w:bCs/>
      </w:rPr>
      <w:tblPr/>
      <w:tcPr>
        <w:tcBorders>
          <w:top w:val="nil"/>
          <w:left w:val="nil"/>
          <w:bottom w:val="single" w:sz="24" w:space="0" w:color="5F5F5F"/>
          <w:right w:val="nil"/>
          <w:insideH w:val="nil"/>
          <w:insideV w:val="nil"/>
        </w:tcBorders>
        <w:shd w:val="clear" w:color="auto" w:fill="0072BC"/>
      </w:tcPr>
    </w:tblStylePr>
    <w:tblStylePr w:type="lastRow">
      <w:rPr>
        <w:b/>
        <w:bCs/>
        <w:color w:val="0072BC"/>
      </w:rPr>
      <w:tblPr/>
      <w:tcPr>
        <w:tcBorders>
          <w:top w:val="single" w:sz="6" w:space="0" w:color="0072BC"/>
        </w:tcBorders>
        <w:shd w:val="clear" w:color="auto" w:fill="2E2E2E"/>
      </w:tcPr>
    </w:tblStylePr>
    <w:tblStylePr w:type="firstCol">
      <w:rPr>
        <w:color w:val="0072BC"/>
      </w:rPr>
      <w:tblPr/>
      <w:tcPr>
        <w:tcBorders>
          <w:top w:val="nil"/>
          <w:left w:val="nil"/>
          <w:bottom w:val="nil"/>
          <w:right w:val="nil"/>
          <w:insideH w:val="single" w:sz="4" w:space="0" w:color="2E2E2E"/>
          <w:insideV w:val="nil"/>
        </w:tcBorders>
        <w:shd w:val="clear" w:color="auto" w:fill="2E2E2E"/>
      </w:tcPr>
    </w:tblStylePr>
    <w:tblStylePr w:type="lastCol">
      <w:rPr>
        <w:color w:val="0072BC"/>
      </w:rPr>
      <w:tblPr/>
      <w:tcPr>
        <w:tcBorders>
          <w:top w:val="nil"/>
          <w:left w:val="nil"/>
          <w:bottom w:val="nil"/>
          <w:right w:val="nil"/>
          <w:insideH w:val="nil"/>
          <w:insideV w:val="nil"/>
        </w:tcBorders>
        <w:shd w:val="clear" w:color="auto" w:fill="2E2E2E"/>
      </w:tcPr>
    </w:tblStylePr>
    <w:tblStylePr w:type="band1Vert">
      <w:tblPr/>
      <w:tcPr>
        <w:shd w:val="clear" w:color="auto" w:fill="B7B7B7"/>
      </w:tcPr>
    </w:tblStylePr>
    <w:tblStylePr w:type="band1Horz">
      <w:tblPr/>
      <w:tcPr>
        <w:shd w:val="clear" w:color="auto" w:fill="A6A6A6"/>
      </w:tcPr>
    </w:tblStylePr>
    <w:tblStylePr w:type="neCell">
      <w:rPr>
        <w:color w:val="000000"/>
      </w:rPr>
    </w:tblStylePr>
    <w:tblStylePr w:type="nwCell">
      <w:rPr>
        <w:color w:val="000000"/>
      </w:rPr>
    </w:tblStylePr>
  </w:style>
  <w:style w:type="character" w:styleId="CommentReference">
    <w:name w:val="annotation reference"/>
    <w:uiPriority w:val="99"/>
    <w:semiHidden/>
    <w:rsid w:val="00391EA1"/>
    <w:rPr>
      <w:sz w:val="16"/>
      <w:szCs w:val="16"/>
    </w:rPr>
  </w:style>
  <w:style w:type="paragraph" w:styleId="CommentText">
    <w:name w:val="annotation text"/>
    <w:basedOn w:val="Normal"/>
    <w:link w:val="CommentTextChar"/>
    <w:uiPriority w:val="99"/>
    <w:semiHidden/>
    <w:rsid w:val="00391EA1"/>
    <w:pPr>
      <w:spacing w:after="0" w:line="240" w:lineRule="auto"/>
      <w:jc w:val="both"/>
    </w:pPr>
    <w:rPr>
      <w:rFonts w:ascii="Times New Roman" w:eastAsia="MS Mincho" w:hAnsi="Times New Roman"/>
      <w:sz w:val="20"/>
      <w:szCs w:val="20"/>
      <w:lang w:val="x-none" w:eastAsia="x-none"/>
    </w:rPr>
  </w:style>
  <w:style w:type="character" w:customStyle="1" w:styleId="CommentTextChar">
    <w:name w:val="Comment Text Char"/>
    <w:basedOn w:val="DefaultParagraphFont"/>
    <w:link w:val="CommentText"/>
    <w:uiPriority w:val="99"/>
    <w:semiHidden/>
    <w:rsid w:val="00391EA1"/>
    <w:rPr>
      <w:rFonts w:ascii="Times New Roman" w:eastAsia="MS Mincho" w:hAnsi="Times New Roman" w:cs="Times New Roman"/>
      <w:kern w:val="0"/>
      <w:sz w:val="20"/>
      <w:szCs w:val="20"/>
      <w:lang w:val="x-none" w:eastAsia="x-none"/>
      <w14:ligatures w14:val="none"/>
    </w:rPr>
  </w:style>
  <w:style w:type="paragraph" w:styleId="CommentSubject">
    <w:name w:val="annotation subject"/>
    <w:basedOn w:val="CommentText"/>
    <w:next w:val="CommentText"/>
    <w:link w:val="CommentSubjectChar"/>
    <w:uiPriority w:val="99"/>
    <w:semiHidden/>
    <w:rsid w:val="00391EA1"/>
    <w:rPr>
      <w:b/>
      <w:bCs/>
    </w:rPr>
  </w:style>
  <w:style w:type="character" w:customStyle="1" w:styleId="CommentSubjectChar">
    <w:name w:val="Comment Subject Char"/>
    <w:basedOn w:val="CommentTextChar"/>
    <w:link w:val="CommentSubject"/>
    <w:uiPriority w:val="99"/>
    <w:semiHidden/>
    <w:rsid w:val="00391EA1"/>
    <w:rPr>
      <w:rFonts w:ascii="Times New Roman" w:eastAsia="MS Mincho" w:hAnsi="Times New Roman" w:cs="Times New Roman"/>
      <w:b/>
      <w:bCs/>
      <w:kern w:val="0"/>
      <w:sz w:val="20"/>
      <w:szCs w:val="20"/>
      <w:lang w:val="x-none" w:eastAsia="x-none"/>
      <w14:ligatures w14:val="none"/>
    </w:rPr>
  </w:style>
  <w:style w:type="table" w:styleId="DarkList">
    <w:name w:val="Dark List"/>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0000"/>
      </w:tcPr>
    </w:tblStylePr>
    <w:tblStylePr w:type="firstCol">
      <w:tblPr/>
      <w:tcPr>
        <w:tcBorders>
          <w:top w:val="nil"/>
          <w:left w:val="nil"/>
          <w:bottom w:val="nil"/>
          <w:right w:val="single" w:sz="18" w:space="0" w:color="0072BC"/>
          <w:insideH w:val="nil"/>
          <w:insideV w:val="nil"/>
        </w:tcBorders>
        <w:shd w:val="clear" w:color="auto" w:fill="000000"/>
      </w:tcPr>
    </w:tblStylePr>
    <w:tblStylePr w:type="lastCol">
      <w:tblPr/>
      <w:tcPr>
        <w:tcBorders>
          <w:top w:val="nil"/>
          <w:left w:val="single" w:sz="18" w:space="0" w:color="0072BC"/>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0072BC"/>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00385D"/>
      </w:tcPr>
    </w:tblStylePr>
    <w:tblStylePr w:type="firstCol">
      <w:tblPr/>
      <w:tcPr>
        <w:tcBorders>
          <w:top w:val="nil"/>
          <w:left w:val="nil"/>
          <w:bottom w:val="nil"/>
          <w:right w:val="single" w:sz="18" w:space="0" w:color="0072BC"/>
          <w:insideH w:val="nil"/>
          <w:insideV w:val="nil"/>
        </w:tcBorders>
        <w:shd w:val="clear" w:color="auto" w:fill="00548C"/>
      </w:tcPr>
    </w:tblStylePr>
    <w:tblStylePr w:type="lastCol">
      <w:tblPr/>
      <w:tcPr>
        <w:tcBorders>
          <w:top w:val="nil"/>
          <w:left w:val="single" w:sz="18" w:space="0" w:color="0072BC"/>
          <w:bottom w:val="nil"/>
          <w:right w:val="nil"/>
          <w:insideH w:val="nil"/>
          <w:insideV w:val="nil"/>
        </w:tcBorders>
        <w:shd w:val="clear" w:color="auto" w:fill="00548C"/>
      </w:tcPr>
    </w:tblStylePr>
    <w:tblStylePr w:type="band1Vert">
      <w:tblPr/>
      <w:tcPr>
        <w:tcBorders>
          <w:top w:val="nil"/>
          <w:left w:val="nil"/>
          <w:bottom w:val="nil"/>
          <w:right w:val="nil"/>
          <w:insideH w:val="nil"/>
          <w:insideV w:val="nil"/>
        </w:tcBorders>
        <w:shd w:val="clear" w:color="auto" w:fill="00548C"/>
      </w:tcPr>
    </w:tblStylePr>
    <w:tblStylePr w:type="band1Horz">
      <w:tblPr/>
      <w:tcPr>
        <w:tcBorders>
          <w:top w:val="nil"/>
          <w:left w:val="nil"/>
          <w:bottom w:val="nil"/>
          <w:right w:val="nil"/>
          <w:insideH w:val="nil"/>
          <w:insideV w:val="nil"/>
        </w:tcBorders>
        <w:shd w:val="clear" w:color="auto" w:fill="00548C"/>
      </w:tcPr>
    </w:tblStylePr>
  </w:style>
  <w:style w:type="table" w:styleId="DarkList-Accent2">
    <w:name w:val="Dark List Accent 2"/>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C00000"/>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5F0000"/>
      </w:tcPr>
    </w:tblStylePr>
    <w:tblStylePr w:type="firstCol">
      <w:tblPr/>
      <w:tcPr>
        <w:tcBorders>
          <w:top w:val="nil"/>
          <w:left w:val="nil"/>
          <w:bottom w:val="nil"/>
          <w:right w:val="single" w:sz="18" w:space="0" w:color="0072BC"/>
          <w:insideH w:val="nil"/>
          <w:insideV w:val="nil"/>
        </w:tcBorders>
        <w:shd w:val="clear" w:color="auto" w:fill="8F0000"/>
      </w:tcPr>
    </w:tblStylePr>
    <w:tblStylePr w:type="lastCol">
      <w:tblPr/>
      <w:tcPr>
        <w:tcBorders>
          <w:top w:val="nil"/>
          <w:left w:val="single" w:sz="18" w:space="0" w:color="0072BC"/>
          <w:bottom w:val="nil"/>
          <w:right w:val="nil"/>
          <w:insideH w:val="nil"/>
          <w:insideV w:val="nil"/>
        </w:tcBorders>
        <w:shd w:val="clear" w:color="auto" w:fill="8F0000"/>
      </w:tcPr>
    </w:tblStylePr>
    <w:tblStylePr w:type="band1Vert">
      <w:tblPr/>
      <w:tcPr>
        <w:tcBorders>
          <w:top w:val="nil"/>
          <w:left w:val="nil"/>
          <w:bottom w:val="nil"/>
          <w:right w:val="nil"/>
          <w:insideH w:val="nil"/>
          <w:insideV w:val="nil"/>
        </w:tcBorders>
        <w:shd w:val="clear" w:color="auto" w:fill="8F0000"/>
      </w:tcPr>
    </w:tblStylePr>
    <w:tblStylePr w:type="band1Horz">
      <w:tblPr/>
      <w:tcPr>
        <w:tcBorders>
          <w:top w:val="nil"/>
          <w:left w:val="nil"/>
          <w:bottom w:val="nil"/>
          <w:right w:val="nil"/>
          <w:insideH w:val="nil"/>
          <w:insideV w:val="nil"/>
        </w:tcBorders>
        <w:shd w:val="clear" w:color="auto" w:fill="8F0000"/>
      </w:tcPr>
    </w:tblStylePr>
  </w:style>
  <w:style w:type="table" w:styleId="DarkList-Accent3">
    <w:name w:val="Dark List Accent 3"/>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4">
    <w:name w:val="Dark List Accent 4"/>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969696"/>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4A4A4A"/>
      </w:tcPr>
    </w:tblStylePr>
    <w:tblStylePr w:type="firstCol">
      <w:tblPr/>
      <w:tcPr>
        <w:tcBorders>
          <w:top w:val="nil"/>
          <w:left w:val="nil"/>
          <w:bottom w:val="nil"/>
          <w:right w:val="single" w:sz="18" w:space="0" w:color="0072BC"/>
          <w:insideH w:val="nil"/>
          <w:insideV w:val="nil"/>
        </w:tcBorders>
        <w:shd w:val="clear" w:color="auto" w:fill="707070"/>
      </w:tcPr>
    </w:tblStylePr>
    <w:tblStylePr w:type="lastCol">
      <w:tblPr/>
      <w:tcPr>
        <w:tcBorders>
          <w:top w:val="nil"/>
          <w:left w:val="single" w:sz="18" w:space="0" w:color="0072BC"/>
          <w:bottom w:val="nil"/>
          <w:right w:val="nil"/>
          <w:insideH w:val="nil"/>
          <w:insideV w:val="nil"/>
        </w:tcBorders>
        <w:shd w:val="clear" w:color="auto" w:fill="707070"/>
      </w:tcPr>
    </w:tblStylePr>
    <w:tblStylePr w:type="band1Vert">
      <w:tblPr/>
      <w:tcPr>
        <w:tcBorders>
          <w:top w:val="nil"/>
          <w:left w:val="nil"/>
          <w:bottom w:val="nil"/>
          <w:right w:val="nil"/>
          <w:insideH w:val="nil"/>
          <w:insideV w:val="nil"/>
        </w:tcBorders>
        <w:shd w:val="clear" w:color="auto" w:fill="707070"/>
      </w:tcPr>
    </w:tblStylePr>
    <w:tblStylePr w:type="band1Horz">
      <w:tblPr/>
      <w:tcPr>
        <w:tcBorders>
          <w:top w:val="nil"/>
          <w:left w:val="nil"/>
          <w:bottom w:val="nil"/>
          <w:right w:val="nil"/>
          <w:insideH w:val="nil"/>
          <w:insideV w:val="nil"/>
        </w:tcBorders>
        <w:shd w:val="clear" w:color="auto" w:fill="707070"/>
      </w:tcPr>
    </w:tblStylePr>
  </w:style>
  <w:style w:type="table" w:styleId="DarkList-Accent5">
    <w:name w:val="Dark List Accent 5"/>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5F5F5F"/>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F2F2F"/>
      </w:tcPr>
    </w:tblStylePr>
    <w:tblStylePr w:type="firstCol">
      <w:tblPr/>
      <w:tcPr>
        <w:tcBorders>
          <w:top w:val="nil"/>
          <w:left w:val="nil"/>
          <w:bottom w:val="nil"/>
          <w:right w:val="single" w:sz="18" w:space="0" w:color="0072BC"/>
          <w:insideH w:val="nil"/>
          <w:insideV w:val="nil"/>
        </w:tcBorders>
        <w:shd w:val="clear" w:color="auto" w:fill="474747"/>
      </w:tcPr>
    </w:tblStylePr>
    <w:tblStylePr w:type="lastCol">
      <w:tblPr/>
      <w:tcPr>
        <w:tcBorders>
          <w:top w:val="nil"/>
          <w:left w:val="single" w:sz="18" w:space="0" w:color="0072BC"/>
          <w:bottom w:val="nil"/>
          <w:right w:val="nil"/>
          <w:insideH w:val="nil"/>
          <w:insideV w:val="nil"/>
        </w:tcBorders>
        <w:shd w:val="clear" w:color="auto" w:fill="474747"/>
      </w:tcPr>
    </w:tblStylePr>
    <w:tblStylePr w:type="band1Vert">
      <w:tblPr/>
      <w:tcPr>
        <w:tcBorders>
          <w:top w:val="nil"/>
          <w:left w:val="nil"/>
          <w:bottom w:val="nil"/>
          <w:right w:val="nil"/>
          <w:insideH w:val="nil"/>
          <w:insideV w:val="nil"/>
        </w:tcBorders>
        <w:shd w:val="clear" w:color="auto" w:fill="474747"/>
      </w:tcPr>
    </w:tblStylePr>
    <w:tblStylePr w:type="band1Horz">
      <w:tblPr/>
      <w:tcPr>
        <w:tcBorders>
          <w:top w:val="nil"/>
          <w:left w:val="nil"/>
          <w:bottom w:val="nil"/>
          <w:right w:val="nil"/>
          <w:insideH w:val="nil"/>
          <w:insideV w:val="nil"/>
        </w:tcBorders>
        <w:shd w:val="clear" w:color="auto" w:fill="474747"/>
      </w:tcPr>
    </w:tblStylePr>
  </w:style>
  <w:style w:type="table" w:styleId="DarkList-Accent6">
    <w:name w:val="Dark List Accent 6"/>
    <w:basedOn w:val="TableNormal"/>
    <w:uiPriority w:val="70"/>
    <w:rsid w:val="00391EA1"/>
    <w:pPr>
      <w:spacing w:after="0" w:line="240" w:lineRule="auto"/>
    </w:pPr>
    <w:rPr>
      <w:rFonts w:ascii="Times New Roman" w:eastAsia="Times New Roman" w:hAnsi="Times New Roman" w:cs="Times New Roman"/>
      <w:color w:val="0072BC"/>
      <w:kern w:val="0"/>
      <w:sz w:val="20"/>
      <w:szCs w:val="20"/>
      <w14:ligatures w14:val="none"/>
    </w:rPr>
    <w:tblPr>
      <w:tblStyleRowBandSize w:val="1"/>
      <w:tblStyleColBandSize w:val="1"/>
    </w:tblPr>
    <w:tcPr>
      <w:shd w:val="clear" w:color="auto" w:fill="4D4D4D"/>
    </w:tcPr>
    <w:tblStylePr w:type="firstRow">
      <w:rPr>
        <w:b/>
        <w:bCs/>
      </w:rPr>
      <w:tblPr/>
      <w:tcPr>
        <w:tcBorders>
          <w:top w:val="nil"/>
          <w:left w:val="nil"/>
          <w:bottom w:val="single" w:sz="18" w:space="0" w:color="0072BC"/>
          <w:right w:val="nil"/>
          <w:insideH w:val="nil"/>
          <w:insideV w:val="nil"/>
        </w:tcBorders>
        <w:shd w:val="clear" w:color="auto" w:fill="000000"/>
      </w:tcPr>
    </w:tblStylePr>
    <w:tblStylePr w:type="lastRow">
      <w:tblPr/>
      <w:tcPr>
        <w:tcBorders>
          <w:top w:val="single" w:sz="18" w:space="0" w:color="0072BC"/>
          <w:left w:val="nil"/>
          <w:bottom w:val="nil"/>
          <w:right w:val="nil"/>
          <w:insideH w:val="nil"/>
          <w:insideV w:val="nil"/>
        </w:tcBorders>
        <w:shd w:val="clear" w:color="auto" w:fill="262626"/>
      </w:tcPr>
    </w:tblStylePr>
    <w:tblStylePr w:type="firstCol">
      <w:tblPr/>
      <w:tcPr>
        <w:tcBorders>
          <w:top w:val="nil"/>
          <w:left w:val="nil"/>
          <w:bottom w:val="nil"/>
          <w:right w:val="single" w:sz="18" w:space="0" w:color="0072BC"/>
          <w:insideH w:val="nil"/>
          <w:insideV w:val="nil"/>
        </w:tcBorders>
        <w:shd w:val="clear" w:color="auto" w:fill="393939"/>
      </w:tcPr>
    </w:tblStylePr>
    <w:tblStylePr w:type="lastCol">
      <w:tblPr/>
      <w:tcPr>
        <w:tcBorders>
          <w:top w:val="nil"/>
          <w:left w:val="single" w:sz="18" w:space="0" w:color="0072BC"/>
          <w:bottom w:val="nil"/>
          <w:right w:val="nil"/>
          <w:insideH w:val="nil"/>
          <w:insideV w:val="nil"/>
        </w:tcBorders>
        <w:shd w:val="clear" w:color="auto" w:fill="393939"/>
      </w:tcPr>
    </w:tblStylePr>
    <w:tblStylePr w:type="band1Vert">
      <w:tblPr/>
      <w:tcPr>
        <w:tcBorders>
          <w:top w:val="nil"/>
          <w:left w:val="nil"/>
          <w:bottom w:val="nil"/>
          <w:right w:val="nil"/>
          <w:insideH w:val="nil"/>
          <w:insideV w:val="nil"/>
        </w:tcBorders>
        <w:shd w:val="clear" w:color="auto" w:fill="393939"/>
      </w:tcPr>
    </w:tblStylePr>
    <w:tblStylePr w:type="band1Horz">
      <w:tblPr/>
      <w:tcPr>
        <w:tcBorders>
          <w:top w:val="nil"/>
          <w:left w:val="nil"/>
          <w:bottom w:val="nil"/>
          <w:right w:val="nil"/>
          <w:insideH w:val="nil"/>
          <w:insideV w:val="nil"/>
        </w:tcBorders>
        <w:shd w:val="clear" w:color="auto" w:fill="393939"/>
      </w:tcPr>
    </w:tblStylePr>
  </w:style>
  <w:style w:type="paragraph" w:styleId="Date">
    <w:name w:val="Date"/>
    <w:basedOn w:val="Normal"/>
    <w:next w:val="Normal"/>
    <w:link w:val="Date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DateChar">
    <w:name w:val="Date Char"/>
    <w:basedOn w:val="DefaultParagraphFont"/>
    <w:link w:val="Date"/>
    <w:uiPriority w:val="99"/>
    <w:semiHidden/>
    <w:rsid w:val="00391EA1"/>
    <w:rPr>
      <w:rFonts w:ascii="Times New Roman" w:eastAsia="MS Mincho" w:hAnsi="Times New Roman" w:cs="Times New Roman"/>
      <w:kern w:val="0"/>
      <w:sz w:val="24"/>
      <w:szCs w:val="20"/>
      <w:lang w:val="x-none" w:eastAsia="x-none"/>
      <w14:ligatures w14:val="none"/>
    </w:rPr>
  </w:style>
  <w:style w:type="paragraph" w:styleId="DocumentMap">
    <w:name w:val="Document Map"/>
    <w:basedOn w:val="Normal"/>
    <w:link w:val="DocumentMapChar"/>
    <w:uiPriority w:val="99"/>
    <w:semiHidden/>
    <w:rsid w:val="00391EA1"/>
    <w:pPr>
      <w:spacing w:after="0" w:line="240" w:lineRule="auto"/>
      <w:jc w:val="both"/>
    </w:pPr>
    <w:rPr>
      <w:rFonts w:ascii="Tahoma" w:eastAsia="MS Mincho" w:hAnsi="Tahoma"/>
      <w:sz w:val="16"/>
      <w:szCs w:val="16"/>
      <w:lang w:val="x-none" w:eastAsia="x-none"/>
    </w:rPr>
  </w:style>
  <w:style w:type="character" w:customStyle="1" w:styleId="DocumentMapChar">
    <w:name w:val="Document Map Char"/>
    <w:basedOn w:val="DefaultParagraphFont"/>
    <w:link w:val="DocumentMap"/>
    <w:uiPriority w:val="99"/>
    <w:semiHidden/>
    <w:rsid w:val="00391EA1"/>
    <w:rPr>
      <w:rFonts w:ascii="Tahoma" w:eastAsia="MS Mincho" w:hAnsi="Tahoma" w:cs="Times New Roman"/>
      <w:kern w:val="0"/>
      <w:sz w:val="16"/>
      <w:szCs w:val="16"/>
      <w:lang w:val="x-none" w:eastAsia="x-none"/>
      <w14:ligatures w14:val="none"/>
    </w:rPr>
  </w:style>
  <w:style w:type="paragraph" w:styleId="E-mailSignature">
    <w:name w:val="E-mail Signature"/>
    <w:basedOn w:val="Normal"/>
    <w:link w:val="E-mailSignature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E-mailSignatureChar">
    <w:name w:val="E-mail Signature Char"/>
    <w:basedOn w:val="DefaultParagraphFont"/>
    <w:link w:val="E-mailSignature"/>
    <w:uiPriority w:val="99"/>
    <w:semiHidden/>
    <w:rsid w:val="00391EA1"/>
    <w:rPr>
      <w:rFonts w:ascii="Times New Roman" w:eastAsia="MS Mincho" w:hAnsi="Times New Roman" w:cs="Times New Roman"/>
      <w:kern w:val="0"/>
      <w:sz w:val="24"/>
      <w:szCs w:val="20"/>
      <w:lang w:val="x-none" w:eastAsia="x-none"/>
      <w14:ligatures w14:val="none"/>
    </w:rPr>
  </w:style>
  <w:style w:type="character" w:styleId="EndnoteReference">
    <w:name w:val="endnote reference"/>
    <w:uiPriority w:val="99"/>
    <w:semiHidden/>
    <w:rsid w:val="00391EA1"/>
    <w:rPr>
      <w:vertAlign w:val="superscript"/>
    </w:rPr>
  </w:style>
  <w:style w:type="paragraph" w:styleId="EndnoteText">
    <w:name w:val="endnote text"/>
    <w:basedOn w:val="Normal"/>
    <w:link w:val="EndnoteTextChar"/>
    <w:uiPriority w:val="99"/>
    <w:semiHidden/>
    <w:rsid w:val="00391EA1"/>
    <w:pPr>
      <w:spacing w:after="0" w:line="240" w:lineRule="auto"/>
      <w:jc w:val="both"/>
    </w:pPr>
    <w:rPr>
      <w:rFonts w:ascii="Times New Roman" w:eastAsia="MS Mincho" w:hAnsi="Times New Roman"/>
      <w:sz w:val="20"/>
      <w:szCs w:val="20"/>
      <w:lang w:val="en-GB" w:eastAsia="x-none"/>
    </w:rPr>
  </w:style>
  <w:style w:type="character" w:customStyle="1" w:styleId="EndnoteTextChar">
    <w:name w:val="Endnote Text Char"/>
    <w:basedOn w:val="DefaultParagraphFont"/>
    <w:link w:val="EndnoteText"/>
    <w:uiPriority w:val="99"/>
    <w:semiHidden/>
    <w:rsid w:val="00391EA1"/>
    <w:rPr>
      <w:rFonts w:ascii="Times New Roman" w:eastAsia="MS Mincho" w:hAnsi="Times New Roman" w:cs="Times New Roman"/>
      <w:kern w:val="0"/>
      <w:sz w:val="20"/>
      <w:szCs w:val="20"/>
      <w:lang w:val="en-GB" w:eastAsia="x-none"/>
      <w14:ligatures w14:val="none"/>
    </w:rPr>
  </w:style>
  <w:style w:type="paragraph" w:styleId="EnvelopeAddress">
    <w:name w:val="envelope address"/>
    <w:basedOn w:val="Normal"/>
    <w:uiPriority w:val="99"/>
    <w:semiHidden/>
    <w:rsid w:val="00391EA1"/>
    <w:pPr>
      <w:framePr w:w="7938" w:h="1985" w:hRule="exact" w:hSpace="141" w:wrap="auto" w:hAnchor="page" w:xAlign="center" w:yAlign="bottom"/>
      <w:spacing w:after="0" w:line="240" w:lineRule="auto"/>
      <w:ind w:left="2835"/>
      <w:jc w:val="both"/>
    </w:pPr>
    <w:rPr>
      <w:rFonts w:ascii="Times New Roman" w:eastAsia="MS Gothic" w:hAnsi="Times New Roman"/>
      <w:sz w:val="24"/>
      <w:szCs w:val="24"/>
      <w:lang w:val="en-GB"/>
    </w:rPr>
  </w:style>
  <w:style w:type="paragraph" w:styleId="EnvelopeReturn">
    <w:name w:val="envelope return"/>
    <w:basedOn w:val="Normal"/>
    <w:uiPriority w:val="99"/>
    <w:semiHidden/>
    <w:rsid w:val="00391EA1"/>
    <w:pPr>
      <w:spacing w:after="0" w:line="240" w:lineRule="auto"/>
      <w:jc w:val="both"/>
    </w:pPr>
    <w:rPr>
      <w:rFonts w:ascii="Times New Roman" w:eastAsia="MS Gothic" w:hAnsi="Times New Roman"/>
      <w:sz w:val="20"/>
      <w:szCs w:val="20"/>
      <w:lang w:val="en-GB"/>
    </w:rPr>
  </w:style>
  <w:style w:type="character" w:styleId="FollowedHyperlink">
    <w:name w:val="FollowedHyperlink"/>
    <w:uiPriority w:val="99"/>
    <w:semiHidden/>
    <w:rsid w:val="00391EA1"/>
    <w:rPr>
      <w:color w:val="7030A0"/>
      <w:u w:val="single"/>
    </w:rPr>
  </w:style>
  <w:style w:type="character" w:styleId="HTMLAcronym">
    <w:name w:val="HTML Acronym"/>
    <w:basedOn w:val="DefaultParagraphFont"/>
    <w:uiPriority w:val="99"/>
    <w:semiHidden/>
    <w:rsid w:val="00391EA1"/>
  </w:style>
  <w:style w:type="paragraph" w:styleId="HTMLAddress">
    <w:name w:val="HTML Address"/>
    <w:basedOn w:val="Normal"/>
    <w:link w:val="HTMLAddressChar"/>
    <w:uiPriority w:val="99"/>
    <w:semiHidden/>
    <w:rsid w:val="00391EA1"/>
    <w:pPr>
      <w:spacing w:after="0" w:line="240" w:lineRule="auto"/>
      <w:jc w:val="both"/>
    </w:pPr>
    <w:rPr>
      <w:rFonts w:ascii="Times New Roman" w:eastAsia="MS Mincho" w:hAnsi="Times New Roman"/>
      <w:i/>
      <w:iCs/>
      <w:sz w:val="24"/>
      <w:szCs w:val="20"/>
      <w:lang w:val="x-none" w:eastAsia="x-none"/>
    </w:rPr>
  </w:style>
  <w:style w:type="character" w:customStyle="1" w:styleId="HTMLAddressChar">
    <w:name w:val="HTML Address Char"/>
    <w:basedOn w:val="DefaultParagraphFont"/>
    <w:link w:val="HTMLAddress"/>
    <w:uiPriority w:val="99"/>
    <w:semiHidden/>
    <w:rsid w:val="00391EA1"/>
    <w:rPr>
      <w:rFonts w:ascii="Times New Roman" w:eastAsia="MS Mincho" w:hAnsi="Times New Roman" w:cs="Times New Roman"/>
      <w:i/>
      <w:iCs/>
      <w:kern w:val="0"/>
      <w:sz w:val="24"/>
      <w:szCs w:val="20"/>
      <w:lang w:val="x-none" w:eastAsia="x-none"/>
      <w14:ligatures w14:val="none"/>
    </w:rPr>
  </w:style>
  <w:style w:type="character" w:styleId="HTMLCite">
    <w:name w:val="HTML Cite"/>
    <w:uiPriority w:val="99"/>
    <w:semiHidden/>
    <w:rsid w:val="00391EA1"/>
    <w:rPr>
      <w:i/>
      <w:iCs/>
    </w:rPr>
  </w:style>
  <w:style w:type="character" w:styleId="HTMLCode">
    <w:name w:val="HTML Code"/>
    <w:uiPriority w:val="99"/>
    <w:semiHidden/>
    <w:rsid w:val="00391EA1"/>
    <w:rPr>
      <w:rFonts w:ascii="Consolas" w:hAnsi="Consolas" w:cs="Consolas"/>
      <w:sz w:val="20"/>
      <w:szCs w:val="20"/>
    </w:rPr>
  </w:style>
  <w:style w:type="character" w:styleId="HTMLDefinition">
    <w:name w:val="HTML Definition"/>
    <w:uiPriority w:val="99"/>
    <w:semiHidden/>
    <w:rsid w:val="00391EA1"/>
    <w:rPr>
      <w:i/>
      <w:iCs/>
    </w:rPr>
  </w:style>
  <w:style w:type="character" w:styleId="HTMLKeyboard">
    <w:name w:val="HTML Keyboard"/>
    <w:uiPriority w:val="99"/>
    <w:semiHidden/>
    <w:rsid w:val="00391EA1"/>
    <w:rPr>
      <w:rFonts w:ascii="Consolas" w:hAnsi="Consolas" w:cs="Consolas"/>
      <w:sz w:val="20"/>
      <w:szCs w:val="20"/>
    </w:rPr>
  </w:style>
  <w:style w:type="paragraph" w:styleId="HTMLPreformatted">
    <w:name w:val="HTML Preformatted"/>
    <w:basedOn w:val="Normal"/>
    <w:link w:val="HTMLPreformattedChar"/>
    <w:uiPriority w:val="99"/>
    <w:semiHidden/>
    <w:rsid w:val="00391EA1"/>
    <w:pPr>
      <w:spacing w:after="0" w:line="240" w:lineRule="auto"/>
      <w:jc w:val="both"/>
    </w:pPr>
    <w:rPr>
      <w:rFonts w:ascii="Consolas" w:eastAsia="MS Mincho" w:hAnsi="Consolas"/>
      <w:sz w:val="20"/>
      <w:szCs w:val="20"/>
      <w:lang w:val="x-none" w:eastAsia="x-none"/>
    </w:rPr>
  </w:style>
  <w:style w:type="character" w:customStyle="1" w:styleId="HTMLPreformattedChar">
    <w:name w:val="HTML Preformatted Char"/>
    <w:basedOn w:val="DefaultParagraphFont"/>
    <w:link w:val="HTMLPreformatted"/>
    <w:uiPriority w:val="99"/>
    <w:semiHidden/>
    <w:rsid w:val="00391EA1"/>
    <w:rPr>
      <w:rFonts w:ascii="Consolas" w:eastAsia="MS Mincho" w:hAnsi="Consolas" w:cs="Times New Roman"/>
      <w:kern w:val="0"/>
      <w:sz w:val="20"/>
      <w:szCs w:val="20"/>
      <w:lang w:val="x-none" w:eastAsia="x-none"/>
      <w14:ligatures w14:val="none"/>
    </w:rPr>
  </w:style>
  <w:style w:type="character" w:styleId="HTMLSample">
    <w:name w:val="HTML Sample"/>
    <w:uiPriority w:val="99"/>
    <w:semiHidden/>
    <w:rsid w:val="00391EA1"/>
    <w:rPr>
      <w:rFonts w:ascii="Consolas" w:hAnsi="Consolas" w:cs="Consolas"/>
      <w:sz w:val="24"/>
      <w:szCs w:val="24"/>
    </w:rPr>
  </w:style>
  <w:style w:type="character" w:styleId="HTMLTypewriter">
    <w:name w:val="HTML Typewriter"/>
    <w:uiPriority w:val="99"/>
    <w:semiHidden/>
    <w:rsid w:val="00391EA1"/>
    <w:rPr>
      <w:rFonts w:ascii="Consolas" w:hAnsi="Consolas" w:cs="Consolas"/>
      <w:sz w:val="20"/>
      <w:szCs w:val="20"/>
    </w:rPr>
  </w:style>
  <w:style w:type="character" w:styleId="HTMLVariable">
    <w:name w:val="HTML Variable"/>
    <w:uiPriority w:val="99"/>
    <w:semiHidden/>
    <w:rsid w:val="00391EA1"/>
    <w:rPr>
      <w:i/>
      <w:iCs/>
    </w:rPr>
  </w:style>
  <w:style w:type="paragraph" w:styleId="Index1">
    <w:name w:val="index 1"/>
    <w:basedOn w:val="Normal"/>
    <w:next w:val="Normal"/>
    <w:autoRedefine/>
    <w:uiPriority w:val="99"/>
    <w:semiHidden/>
    <w:rsid w:val="00391EA1"/>
    <w:pPr>
      <w:spacing w:after="0" w:line="240" w:lineRule="auto"/>
      <w:ind w:left="240" w:hanging="240"/>
      <w:jc w:val="both"/>
    </w:pPr>
    <w:rPr>
      <w:rFonts w:ascii="Times New Roman" w:eastAsia="MS Mincho" w:hAnsi="Times New Roman"/>
      <w:sz w:val="24"/>
      <w:lang w:val="en-GB"/>
    </w:rPr>
  </w:style>
  <w:style w:type="paragraph" w:styleId="Index2">
    <w:name w:val="index 2"/>
    <w:basedOn w:val="Normal"/>
    <w:next w:val="Normal"/>
    <w:autoRedefine/>
    <w:uiPriority w:val="99"/>
    <w:semiHidden/>
    <w:rsid w:val="00391EA1"/>
    <w:pPr>
      <w:spacing w:after="0" w:line="240" w:lineRule="auto"/>
      <w:ind w:left="480" w:hanging="240"/>
      <w:jc w:val="both"/>
    </w:pPr>
    <w:rPr>
      <w:rFonts w:ascii="Times New Roman" w:eastAsia="MS Mincho" w:hAnsi="Times New Roman"/>
      <w:sz w:val="24"/>
      <w:lang w:val="en-GB"/>
    </w:rPr>
  </w:style>
  <w:style w:type="paragraph" w:styleId="Index3">
    <w:name w:val="index 3"/>
    <w:basedOn w:val="Normal"/>
    <w:next w:val="Normal"/>
    <w:autoRedefine/>
    <w:uiPriority w:val="99"/>
    <w:semiHidden/>
    <w:rsid w:val="00391EA1"/>
    <w:pPr>
      <w:spacing w:after="0" w:line="240" w:lineRule="auto"/>
      <w:ind w:left="720" w:hanging="240"/>
      <w:jc w:val="both"/>
    </w:pPr>
    <w:rPr>
      <w:rFonts w:ascii="Times New Roman" w:eastAsia="MS Mincho" w:hAnsi="Times New Roman"/>
      <w:sz w:val="24"/>
      <w:lang w:val="en-GB"/>
    </w:rPr>
  </w:style>
  <w:style w:type="paragraph" w:styleId="Index4">
    <w:name w:val="index 4"/>
    <w:basedOn w:val="Normal"/>
    <w:next w:val="Normal"/>
    <w:autoRedefine/>
    <w:uiPriority w:val="99"/>
    <w:semiHidden/>
    <w:rsid w:val="00391EA1"/>
    <w:pPr>
      <w:spacing w:after="0" w:line="240" w:lineRule="auto"/>
      <w:ind w:left="960" w:hanging="240"/>
      <w:jc w:val="both"/>
    </w:pPr>
    <w:rPr>
      <w:rFonts w:ascii="Times New Roman" w:eastAsia="MS Mincho" w:hAnsi="Times New Roman"/>
      <w:sz w:val="24"/>
      <w:lang w:val="en-GB"/>
    </w:rPr>
  </w:style>
  <w:style w:type="paragraph" w:styleId="Index5">
    <w:name w:val="index 5"/>
    <w:basedOn w:val="Normal"/>
    <w:next w:val="Normal"/>
    <w:autoRedefine/>
    <w:uiPriority w:val="99"/>
    <w:semiHidden/>
    <w:rsid w:val="00391EA1"/>
    <w:pPr>
      <w:spacing w:after="0" w:line="240" w:lineRule="auto"/>
      <w:ind w:left="1200" w:hanging="240"/>
      <w:jc w:val="both"/>
    </w:pPr>
    <w:rPr>
      <w:rFonts w:ascii="Times New Roman" w:eastAsia="MS Mincho" w:hAnsi="Times New Roman"/>
      <w:sz w:val="24"/>
      <w:lang w:val="en-GB"/>
    </w:rPr>
  </w:style>
  <w:style w:type="paragraph" w:styleId="Index6">
    <w:name w:val="index 6"/>
    <w:basedOn w:val="Normal"/>
    <w:next w:val="Normal"/>
    <w:autoRedefine/>
    <w:uiPriority w:val="99"/>
    <w:semiHidden/>
    <w:rsid w:val="00391EA1"/>
    <w:pPr>
      <w:spacing w:after="0" w:line="240" w:lineRule="auto"/>
      <w:ind w:left="1440" w:hanging="240"/>
      <w:jc w:val="both"/>
    </w:pPr>
    <w:rPr>
      <w:rFonts w:ascii="Times New Roman" w:eastAsia="MS Mincho" w:hAnsi="Times New Roman"/>
      <w:sz w:val="24"/>
      <w:lang w:val="en-GB"/>
    </w:rPr>
  </w:style>
  <w:style w:type="paragraph" w:styleId="Index7">
    <w:name w:val="index 7"/>
    <w:basedOn w:val="Normal"/>
    <w:next w:val="Normal"/>
    <w:autoRedefine/>
    <w:uiPriority w:val="99"/>
    <w:semiHidden/>
    <w:rsid w:val="00391EA1"/>
    <w:pPr>
      <w:spacing w:after="0" w:line="240" w:lineRule="auto"/>
      <w:ind w:left="1680" w:hanging="240"/>
      <w:jc w:val="both"/>
    </w:pPr>
    <w:rPr>
      <w:rFonts w:ascii="Times New Roman" w:eastAsia="MS Mincho" w:hAnsi="Times New Roman"/>
      <w:sz w:val="24"/>
      <w:lang w:val="en-GB"/>
    </w:rPr>
  </w:style>
  <w:style w:type="paragraph" w:styleId="Index8">
    <w:name w:val="index 8"/>
    <w:basedOn w:val="Normal"/>
    <w:next w:val="Normal"/>
    <w:autoRedefine/>
    <w:uiPriority w:val="99"/>
    <w:semiHidden/>
    <w:rsid w:val="00391EA1"/>
    <w:pPr>
      <w:spacing w:after="0" w:line="240" w:lineRule="auto"/>
      <w:ind w:left="1920" w:hanging="240"/>
      <w:jc w:val="both"/>
    </w:pPr>
    <w:rPr>
      <w:rFonts w:ascii="Times New Roman" w:eastAsia="MS Mincho" w:hAnsi="Times New Roman"/>
      <w:sz w:val="24"/>
      <w:lang w:val="en-GB"/>
    </w:rPr>
  </w:style>
  <w:style w:type="paragraph" w:styleId="Index9">
    <w:name w:val="index 9"/>
    <w:basedOn w:val="Normal"/>
    <w:next w:val="Normal"/>
    <w:autoRedefine/>
    <w:uiPriority w:val="99"/>
    <w:semiHidden/>
    <w:rsid w:val="00391EA1"/>
    <w:pPr>
      <w:spacing w:after="0" w:line="240" w:lineRule="auto"/>
      <w:ind w:left="2160" w:hanging="240"/>
      <w:jc w:val="both"/>
    </w:pPr>
    <w:rPr>
      <w:rFonts w:ascii="Times New Roman" w:eastAsia="MS Mincho" w:hAnsi="Times New Roman"/>
      <w:sz w:val="24"/>
      <w:lang w:val="en-GB"/>
    </w:rPr>
  </w:style>
  <w:style w:type="paragraph" w:styleId="IndexHeading">
    <w:name w:val="index heading"/>
    <w:basedOn w:val="Normal"/>
    <w:next w:val="Index1"/>
    <w:uiPriority w:val="99"/>
    <w:semiHidden/>
    <w:rsid w:val="00391EA1"/>
    <w:pPr>
      <w:spacing w:after="0" w:line="240" w:lineRule="auto"/>
      <w:jc w:val="both"/>
    </w:pPr>
    <w:rPr>
      <w:rFonts w:ascii="Times New Roman" w:eastAsia="MS Gothic" w:hAnsi="Times New Roman"/>
      <w:b/>
      <w:bCs/>
      <w:sz w:val="24"/>
      <w:lang w:val="en-GB"/>
    </w:rPr>
  </w:style>
  <w:style w:type="table" w:styleId="LightGrid">
    <w:name w:val="Light Grid"/>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mes New Roman" w:eastAsia="MS Gothic" w:hAnsi="Times New Rom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blStylePr w:type="firstRow">
      <w:pPr>
        <w:spacing w:before="0" w:after="0" w:line="240" w:lineRule="auto"/>
      </w:pPr>
      <w:rPr>
        <w:rFonts w:ascii="Times New Roman" w:eastAsia="MS Gothic" w:hAnsi="Times New Roman" w:cs="Times New Roman"/>
        <w:b/>
        <w:bCs/>
      </w:rPr>
      <w:tblPr/>
      <w:tcPr>
        <w:tcBorders>
          <w:top w:val="single" w:sz="8" w:space="0" w:color="0072BC"/>
          <w:left w:val="single" w:sz="8" w:space="0" w:color="0072BC"/>
          <w:bottom w:val="single" w:sz="18" w:space="0" w:color="0072BC"/>
          <w:right w:val="single" w:sz="8" w:space="0" w:color="0072BC"/>
          <w:insideH w:val="nil"/>
          <w:insideV w:val="single" w:sz="8" w:space="0" w:color="0072BC"/>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0072BC"/>
          <w:left w:val="single" w:sz="8" w:space="0" w:color="0072BC"/>
          <w:bottom w:val="single" w:sz="8" w:space="0" w:color="0072BC"/>
          <w:right w:val="single" w:sz="8" w:space="0" w:color="0072BC"/>
          <w:insideH w:val="nil"/>
          <w:insideV w:val="single" w:sz="8" w:space="0" w:color="0072BC"/>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0072BC"/>
          <w:left w:val="single" w:sz="8" w:space="0" w:color="0072BC"/>
          <w:bottom w:val="single" w:sz="8" w:space="0" w:color="0072BC"/>
          <w:right w:val="single" w:sz="8" w:space="0" w:color="0072BC"/>
        </w:tcBorders>
      </w:tcPr>
    </w:tblStylePr>
    <w:tblStylePr w:type="band1Vert">
      <w:tblPr/>
      <w:tcPr>
        <w:tcBorders>
          <w:top w:val="single" w:sz="8" w:space="0" w:color="0072BC"/>
          <w:left w:val="single" w:sz="8" w:space="0" w:color="0072BC"/>
          <w:bottom w:val="single" w:sz="8" w:space="0" w:color="0072BC"/>
          <w:right w:val="single" w:sz="8" w:space="0" w:color="0072BC"/>
        </w:tcBorders>
        <w:shd w:val="clear" w:color="auto" w:fill="AFDFFF"/>
      </w:tcPr>
    </w:tblStylePr>
    <w:tblStylePr w:type="band1Horz">
      <w:tblPr/>
      <w:tcPr>
        <w:tcBorders>
          <w:top w:val="single" w:sz="8" w:space="0" w:color="0072BC"/>
          <w:left w:val="single" w:sz="8" w:space="0" w:color="0072BC"/>
          <w:bottom w:val="single" w:sz="8" w:space="0" w:color="0072BC"/>
          <w:right w:val="single" w:sz="8" w:space="0" w:color="0072BC"/>
          <w:insideV w:val="single" w:sz="8" w:space="0" w:color="0072BC"/>
        </w:tcBorders>
        <w:shd w:val="clear" w:color="auto" w:fill="AFDFFF"/>
      </w:tcPr>
    </w:tblStylePr>
    <w:tblStylePr w:type="band2Horz">
      <w:tblPr/>
      <w:tcPr>
        <w:tcBorders>
          <w:top w:val="single" w:sz="8" w:space="0" w:color="0072BC"/>
          <w:left w:val="single" w:sz="8" w:space="0" w:color="0072BC"/>
          <w:bottom w:val="single" w:sz="8" w:space="0" w:color="0072BC"/>
          <w:right w:val="single" w:sz="8" w:space="0" w:color="0072BC"/>
          <w:insideV w:val="single" w:sz="8" w:space="0" w:color="0072BC"/>
        </w:tcBorders>
      </w:tcPr>
    </w:tblStylePr>
  </w:style>
  <w:style w:type="table" w:styleId="LightGrid-Accent2">
    <w:name w:val="Light Grid Accent 2"/>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blStylePr w:type="firstRow">
      <w:pPr>
        <w:spacing w:before="0" w:after="0" w:line="240" w:lineRule="auto"/>
      </w:pPr>
      <w:rPr>
        <w:rFonts w:ascii="Times New Roman" w:eastAsia="MS Gothic" w:hAnsi="Times New Roman" w:cs="Times New Roman"/>
        <w:b/>
        <w:bCs/>
      </w:rPr>
      <w:tblPr/>
      <w:tcPr>
        <w:tcBorders>
          <w:top w:val="single" w:sz="8" w:space="0" w:color="C00000"/>
          <w:left w:val="single" w:sz="8" w:space="0" w:color="C00000"/>
          <w:bottom w:val="single" w:sz="18" w:space="0" w:color="C00000"/>
          <w:right w:val="single" w:sz="8" w:space="0" w:color="C00000"/>
          <w:insideH w:val="nil"/>
          <w:insideV w:val="single" w:sz="8" w:space="0" w:color="C00000"/>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C00000"/>
          <w:left w:val="single" w:sz="8" w:space="0" w:color="C00000"/>
          <w:bottom w:val="single" w:sz="8" w:space="0" w:color="C00000"/>
          <w:right w:val="single" w:sz="8" w:space="0" w:color="C00000"/>
          <w:insideH w:val="nil"/>
          <w:insideV w:val="single" w:sz="8" w:space="0" w:color="C00000"/>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C00000"/>
          <w:left w:val="single" w:sz="8" w:space="0" w:color="C00000"/>
          <w:bottom w:val="single" w:sz="8" w:space="0" w:color="C00000"/>
          <w:right w:val="single" w:sz="8" w:space="0" w:color="C00000"/>
        </w:tcBorders>
      </w:tcPr>
    </w:tblStylePr>
    <w:tblStylePr w:type="band1Vert">
      <w:tblPr/>
      <w:tcPr>
        <w:tcBorders>
          <w:top w:val="single" w:sz="8" w:space="0" w:color="C00000"/>
          <w:left w:val="single" w:sz="8" w:space="0" w:color="C00000"/>
          <w:bottom w:val="single" w:sz="8" w:space="0" w:color="C00000"/>
          <w:right w:val="single" w:sz="8" w:space="0" w:color="C00000"/>
        </w:tcBorders>
        <w:shd w:val="clear" w:color="auto" w:fill="FFB0B0"/>
      </w:tcPr>
    </w:tblStylePr>
    <w:tblStylePr w:type="band1Horz">
      <w:tblPr/>
      <w:tcPr>
        <w:tcBorders>
          <w:top w:val="single" w:sz="8" w:space="0" w:color="C00000"/>
          <w:left w:val="single" w:sz="8" w:space="0" w:color="C00000"/>
          <w:bottom w:val="single" w:sz="8" w:space="0" w:color="C00000"/>
          <w:right w:val="single" w:sz="8" w:space="0" w:color="C00000"/>
          <w:insideV w:val="single" w:sz="8" w:space="0" w:color="C00000"/>
        </w:tcBorders>
        <w:shd w:val="clear" w:color="auto" w:fill="FFB0B0"/>
      </w:tcPr>
    </w:tblStylePr>
    <w:tblStylePr w:type="band2Horz">
      <w:tblPr/>
      <w:tcPr>
        <w:tcBorders>
          <w:top w:val="single" w:sz="8" w:space="0" w:color="C00000"/>
          <w:left w:val="single" w:sz="8" w:space="0" w:color="C00000"/>
          <w:bottom w:val="single" w:sz="8" w:space="0" w:color="C00000"/>
          <w:right w:val="single" w:sz="8" w:space="0" w:color="C00000"/>
          <w:insideV w:val="single" w:sz="8" w:space="0" w:color="C00000"/>
        </w:tcBorders>
      </w:tcPr>
    </w:tblStylePr>
  </w:style>
  <w:style w:type="table" w:styleId="LightGrid-Accent3">
    <w:name w:val="Light Grid Accent 3"/>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4">
    <w:name w:val="Light Grid Accent 4"/>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blStylePr w:type="firstRow">
      <w:pPr>
        <w:spacing w:before="0" w:after="0" w:line="240" w:lineRule="auto"/>
      </w:pPr>
      <w:rPr>
        <w:rFonts w:ascii="Times New Roman" w:eastAsia="MS Gothic" w:hAnsi="Times New Roman" w:cs="Times New Roman"/>
        <w:b/>
        <w:bCs/>
      </w:rPr>
      <w:tblPr/>
      <w:tcPr>
        <w:tcBorders>
          <w:top w:val="single" w:sz="8" w:space="0" w:color="969696"/>
          <w:left w:val="single" w:sz="8" w:space="0" w:color="969696"/>
          <w:bottom w:val="single" w:sz="18" w:space="0" w:color="969696"/>
          <w:right w:val="single" w:sz="8" w:space="0" w:color="969696"/>
          <w:insideH w:val="nil"/>
          <w:insideV w:val="single" w:sz="8" w:space="0" w:color="969696"/>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969696"/>
          <w:left w:val="single" w:sz="8" w:space="0" w:color="969696"/>
          <w:bottom w:val="single" w:sz="8" w:space="0" w:color="969696"/>
          <w:right w:val="single" w:sz="8" w:space="0" w:color="969696"/>
          <w:insideH w:val="nil"/>
          <w:insideV w:val="single" w:sz="8" w:space="0" w:color="969696"/>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969696"/>
          <w:left w:val="single" w:sz="8" w:space="0" w:color="969696"/>
          <w:bottom w:val="single" w:sz="8" w:space="0" w:color="969696"/>
          <w:right w:val="single" w:sz="8" w:space="0" w:color="969696"/>
        </w:tcBorders>
      </w:tcPr>
    </w:tblStylePr>
    <w:tblStylePr w:type="band1Vert">
      <w:tblPr/>
      <w:tcPr>
        <w:tcBorders>
          <w:top w:val="single" w:sz="8" w:space="0" w:color="969696"/>
          <w:left w:val="single" w:sz="8" w:space="0" w:color="969696"/>
          <w:bottom w:val="single" w:sz="8" w:space="0" w:color="969696"/>
          <w:right w:val="single" w:sz="8" w:space="0" w:color="969696"/>
        </w:tcBorders>
        <w:shd w:val="clear" w:color="auto" w:fill="E5E5E5"/>
      </w:tcPr>
    </w:tblStylePr>
    <w:tblStylePr w:type="band1Horz">
      <w:tblPr/>
      <w:tcPr>
        <w:tcBorders>
          <w:top w:val="single" w:sz="8" w:space="0" w:color="969696"/>
          <w:left w:val="single" w:sz="8" w:space="0" w:color="969696"/>
          <w:bottom w:val="single" w:sz="8" w:space="0" w:color="969696"/>
          <w:right w:val="single" w:sz="8" w:space="0" w:color="969696"/>
          <w:insideV w:val="single" w:sz="8" w:space="0" w:color="969696"/>
        </w:tcBorders>
        <w:shd w:val="clear" w:color="auto" w:fill="E5E5E5"/>
      </w:tcPr>
    </w:tblStylePr>
    <w:tblStylePr w:type="band2Horz">
      <w:tblPr/>
      <w:tcPr>
        <w:tcBorders>
          <w:top w:val="single" w:sz="8" w:space="0" w:color="969696"/>
          <w:left w:val="single" w:sz="8" w:space="0" w:color="969696"/>
          <w:bottom w:val="single" w:sz="8" w:space="0" w:color="969696"/>
          <w:right w:val="single" w:sz="8" w:space="0" w:color="969696"/>
          <w:insideV w:val="single" w:sz="8" w:space="0" w:color="969696"/>
        </w:tcBorders>
      </w:tcPr>
    </w:tblStylePr>
  </w:style>
  <w:style w:type="table" w:styleId="LightGrid-Accent5">
    <w:name w:val="Light Grid Accent 5"/>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blStylePr w:type="firstRow">
      <w:pPr>
        <w:spacing w:before="0" w:after="0" w:line="240" w:lineRule="auto"/>
      </w:pPr>
      <w:rPr>
        <w:rFonts w:ascii="Times New Roman" w:eastAsia="MS Gothic" w:hAnsi="Times New Roman" w:cs="Times New Roman"/>
        <w:b/>
        <w:bCs/>
      </w:rPr>
      <w:tblPr/>
      <w:tcPr>
        <w:tcBorders>
          <w:top w:val="single" w:sz="8" w:space="0" w:color="5F5F5F"/>
          <w:left w:val="single" w:sz="8" w:space="0" w:color="5F5F5F"/>
          <w:bottom w:val="single" w:sz="18" w:space="0" w:color="5F5F5F"/>
          <w:right w:val="single" w:sz="8" w:space="0" w:color="5F5F5F"/>
          <w:insideH w:val="nil"/>
          <w:insideV w:val="single" w:sz="8" w:space="0" w:color="5F5F5F"/>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5F5F5F"/>
          <w:left w:val="single" w:sz="8" w:space="0" w:color="5F5F5F"/>
          <w:bottom w:val="single" w:sz="8" w:space="0" w:color="5F5F5F"/>
          <w:right w:val="single" w:sz="8" w:space="0" w:color="5F5F5F"/>
          <w:insideH w:val="nil"/>
          <w:insideV w:val="single" w:sz="8" w:space="0" w:color="5F5F5F"/>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5F5F5F"/>
          <w:left w:val="single" w:sz="8" w:space="0" w:color="5F5F5F"/>
          <w:bottom w:val="single" w:sz="8" w:space="0" w:color="5F5F5F"/>
          <w:right w:val="single" w:sz="8" w:space="0" w:color="5F5F5F"/>
        </w:tcBorders>
      </w:tcPr>
    </w:tblStylePr>
    <w:tblStylePr w:type="band1Vert">
      <w:tblPr/>
      <w:tcPr>
        <w:tcBorders>
          <w:top w:val="single" w:sz="8" w:space="0" w:color="5F5F5F"/>
          <w:left w:val="single" w:sz="8" w:space="0" w:color="5F5F5F"/>
          <w:bottom w:val="single" w:sz="8" w:space="0" w:color="5F5F5F"/>
          <w:right w:val="single" w:sz="8" w:space="0" w:color="5F5F5F"/>
        </w:tcBorders>
        <w:shd w:val="clear" w:color="auto" w:fill="D7D7D7"/>
      </w:tcPr>
    </w:tblStylePr>
    <w:tblStylePr w:type="band1Horz">
      <w:tblPr/>
      <w:tcPr>
        <w:tcBorders>
          <w:top w:val="single" w:sz="8" w:space="0" w:color="5F5F5F"/>
          <w:left w:val="single" w:sz="8" w:space="0" w:color="5F5F5F"/>
          <w:bottom w:val="single" w:sz="8" w:space="0" w:color="5F5F5F"/>
          <w:right w:val="single" w:sz="8" w:space="0" w:color="5F5F5F"/>
          <w:insideV w:val="single" w:sz="8" w:space="0" w:color="5F5F5F"/>
        </w:tcBorders>
        <w:shd w:val="clear" w:color="auto" w:fill="D7D7D7"/>
      </w:tcPr>
    </w:tblStylePr>
    <w:tblStylePr w:type="band2Horz">
      <w:tblPr/>
      <w:tcPr>
        <w:tcBorders>
          <w:top w:val="single" w:sz="8" w:space="0" w:color="5F5F5F"/>
          <w:left w:val="single" w:sz="8" w:space="0" w:color="5F5F5F"/>
          <w:bottom w:val="single" w:sz="8" w:space="0" w:color="5F5F5F"/>
          <w:right w:val="single" w:sz="8" w:space="0" w:color="5F5F5F"/>
          <w:insideV w:val="single" w:sz="8" w:space="0" w:color="5F5F5F"/>
        </w:tcBorders>
      </w:tcPr>
    </w:tblStylePr>
  </w:style>
  <w:style w:type="table" w:styleId="LightGrid-Accent6">
    <w:name w:val="Light Grid Accent 6"/>
    <w:basedOn w:val="TableNormal"/>
    <w:uiPriority w:val="62"/>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blStylePr w:type="firstRow">
      <w:pPr>
        <w:spacing w:before="0" w:after="0" w:line="240" w:lineRule="auto"/>
      </w:pPr>
      <w:rPr>
        <w:rFonts w:ascii="Times New Roman" w:eastAsia="MS Gothic" w:hAnsi="Times New Roman" w:cs="Times New Roman"/>
        <w:b/>
        <w:bCs/>
      </w:rPr>
      <w:tblPr/>
      <w:tcPr>
        <w:tcBorders>
          <w:top w:val="single" w:sz="8" w:space="0" w:color="4D4D4D"/>
          <w:left w:val="single" w:sz="8" w:space="0" w:color="4D4D4D"/>
          <w:bottom w:val="single" w:sz="18" w:space="0" w:color="4D4D4D"/>
          <w:right w:val="single" w:sz="8" w:space="0" w:color="4D4D4D"/>
          <w:insideH w:val="nil"/>
          <w:insideV w:val="single" w:sz="8" w:space="0" w:color="4D4D4D"/>
        </w:tcBorders>
      </w:tcPr>
    </w:tblStylePr>
    <w:tblStylePr w:type="lastRow">
      <w:pPr>
        <w:spacing w:before="0" w:after="0" w:line="240" w:lineRule="auto"/>
      </w:pPr>
      <w:rPr>
        <w:rFonts w:ascii="Times New Roman" w:eastAsia="MS Gothic" w:hAnsi="Times New Roman" w:cs="Times New Roman"/>
        <w:b/>
        <w:bCs/>
      </w:rPr>
      <w:tblPr/>
      <w:tcPr>
        <w:tcBorders>
          <w:top w:val="double" w:sz="6" w:space="0" w:color="4D4D4D"/>
          <w:left w:val="single" w:sz="8" w:space="0" w:color="4D4D4D"/>
          <w:bottom w:val="single" w:sz="8" w:space="0" w:color="4D4D4D"/>
          <w:right w:val="single" w:sz="8" w:space="0" w:color="4D4D4D"/>
          <w:insideH w:val="nil"/>
          <w:insideV w:val="single" w:sz="8" w:space="0" w:color="4D4D4D"/>
        </w:tcBorders>
      </w:tcPr>
    </w:tblStylePr>
    <w:tblStylePr w:type="firstCol">
      <w:rPr>
        <w:rFonts w:ascii="Times New Roman" w:eastAsia="MS Gothic" w:hAnsi="Times New Roman" w:cs="Times New Roman"/>
        <w:b/>
        <w:bCs/>
      </w:rPr>
    </w:tblStylePr>
    <w:tblStylePr w:type="lastCol">
      <w:rPr>
        <w:rFonts w:ascii="Times New Roman" w:eastAsia="MS Gothic" w:hAnsi="Times New Roman" w:cs="Times New Roman"/>
        <w:b/>
        <w:bCs/>
      </w:rPr>
      <w:tblPr/>
      <w:tcPr>
        <w:tcBorders>
          <w:top w:val="single" w:sz="8" w:space="0" w:color="4D4D4D"/>
          <w:left w:val="single" w:sz="8" w:space="0" w:color="4D4D4D"/>
          <w:bottom w:val="single" w:sz="8" w:space="0" w:color="4D4D4D"/>
          <w:right w:val="single" w:sz="8" w:space="0" w:color="4D4D4D"/>
        </w:tcBorders>
      </w:tcPr>
    </w:tblStylePr>
    <w:tblStylePr w:type="band1Vert">
      <w:tblPr/>
      <w:tcPr>
        <w:tcBorders>
          <w:top w:val="single" w:sz="8" w:space="0" w:color="4D4D4D"/>
          <w:left w:val="single" w:sz="8" w:space="0" w:color="4D4D4D"/>
          <w:bottom w:val="single" w:sz="8" w:space="0" w:color="4D4D4D"/>
          <w:right w:val="single" w:sz="8" w:space="0" w:color="4D4D4D"/>
        </w:tcBorders>
        <w:shd w:val="clear" w:color="auto" w:fill="D3D3D3"/>
      </w:tcPr>
    </w:tblStylePr>
    <w:tblStylePr w:type="band1Horz">
      <w:tblPr/>
      <w:tcPr>
        <w:tcBorders>
          <w:top w:val="single" w:sz="8" w:space="0" w:color="4D4D4D"/>
          <w:left w:val="single" w:sz="8" w:space="0" w:color="4D4D4D"/>
          <w:bottom w:val="single" w:sz="8" w:space="0" w:color="4D4D4D"/>
          <w:right w:val="single" w:sz="8" w:space="0" w:color="4D4D4D"/>
          <w:insideV w:val="single" w:sz="8" w:space="0" w:color="4D4D4D"/>
        </w:tcBorders>
        <w:shd w:val="clear" w:color="auto" w:fill="D3D3D3"/>
      </w:tcPr>
    </w:tblStylePr>
    <w:tblStylePr w:type="band2Horz">
      <w:tblPr/>
      <w:tcPr>
        <w:tcBorders>
          <w:top w:val="single" w:sz="8" w:space="0" w:color="4D4D4D"/>
          <w:left w:val="single" w:sz="8" w:space="0" w:color="4D4D4D"/>
          <w:bottom w:val="single" w:sz="8" w:space="0" w:color="4D4D4D"/>
          <w:right w:val="single" w:sz="8" w:space="0" w:color="4D4D4D"/>
          <w:insideV w:val="single" w:sz="8" w:space="0" w:color="4D4D4D"/>
        </w:tcBorders>
      </w:tcPr>
    </w:tblStylePr>
  </w:style>
  <w:style w:type="table" w:styleId="LightList">
    <w:name w:val="Light List"/>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0072BC"/>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pPr>
        <w:spacing w:before="0" w:after="0" w:line="240" w:lineRule="auto"/>
      </w:pPr>
      <w:rPr>
        <w:b/>
        <w:bCs/>
        <w:color w:val="0072BC"/>
      </w:rPr>
      <w:tblPr/>
      <w:tcPr>
        <w:shd w:val="clear" w:color="auto" w:fill="0072BC"/>
      </w:tcPr>
    </w:tblStylePr>
    <w:tblStylePr w:type="lastRow">
      <w:pPr>
        <w:spacing w:before="0" w:after="0" w:line="240" w:lineRule="auto"/>
      </w:pPr>
      <w:rPr>
        <w:b/>
        <w:bCs/>
      </w:rPr>
      <w:tblPr/>
      <w:tcPr>
        <w:tcBorders>
          <w:top w:val="double" w:sz="6" w:space="0" w:color="0072BC"/>
          <w:left w:val="single" w:sz="8" w:space="0" w:color="0072BC"/>
          <w:bottom w:val="single" w:sz="8" w:space="0" w:color="0072BC"/>
          <w:right w:val="single" w:sz="8" w:space="0" w:color="0072BC"/>
        </w:tcBorders>
      </w:tcPr>
    </w:tblStylePr>
    <w:tblStylePr w:type="firstCol">
      <w:rPr>
        <w:b/>
        <w:bCs/>
      </w:rPr>
    </w:tblStylePr>
    <w:tblStylePr w:type="lastCol">
      <w:rPr>
        <w:b/>
        <w:bCs/>
      </w:rPr>
    </w:tblStylePr>
    <w:tblStylePr w:type="band1Vert">
      <w:tblPr/>
      <w:tcPr>
        <w:tcBorders>
          <w:top w:val="single" w:sz="8" w:space="0" w:color="0072BC"/>
          <w:left w:val="single" w:sz="8" w:space="0" w:color="0072BC"/>
          <w:bottom w:val="single" w:sz="8" w:space="0" w:color="0072BC"/>
          <w:right w:val="single" w:sz="8" w:space="0" w:color="0072BC"/>
        </w:tcBorders>
      </w:tcPr>
    </w:tblStylePr>
    <w:tblStylePr w:type="band1Horz">
      <w:tblPr/>
      <w:tcPr>
        <w:tcBorders>
          <w:top w:val="single" w:sz="8" w:space="0" w:color="0072BC"/>
          <w:left w:val="single" w:sz="8" w:space="0" w:color="0072BC"/>
          <w:bottom w:val="single" w:sz="8" w:space="0" w:color="0072BC"/>
          <w:right w:val="single" w:sz="8" w:space="0" w:color="0072BC"/>
        </w:tcBorders>
      </w:tcPr>
    </w:tblStylePr>
  </w:style>
  <w:style w:type="table" w:styleId="LightList-Accent2">
    <w:name w:val="Light List Accent 2"/>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pPr>
        <w:spacing w:before="0" w:after="0" w:line="240" w:lineRule="auto"/>
      </w:pPr>
      <w:rPr>
        <w:b/>
        <w:bCs/>
        <w:color w:val="0072BC"/>
      </w:rPr>
      <w:tblPr/>
      <w:tcPr>
        <w:shd w:val="clear" w:color="auto" w:fill="C00000"/>
      </w:tcPr>
    </w:tblStylePr>
    <w:tblStylePr w:type="lastRow">
      <w:pPr>
        <w:spacing w:before="0" w:after="0" w:line="240" w:lineRule="auto"/>
      </w:pPr>
      <w:rPr>
        <w:b/>
        <w:bCs/>
      </w:rPr>
      <w:tblPr/>
      <w:tcPr>
        <w:tcBorders>
          <w:top w:val="double" w:sz="6" w:space="0" w:color="C00000"/>
          <w:left w:val="single" w:sz="8" w:space="0" w:color="C00000"/>
          <w:bottom w:val="single" w:sz="8" w:space="0" w:color="C00000"/>
          <w:right w:val="single" w:sz="8" w:space="0" w:color="C00000"/>
        </w:tcBorders>
      </w:tcPr>
    </w:tblStylePr>
    <w:tblStylePr w:type="firstCol">
      <w:rPr>
        <w:b/>
        <w:bCs/>
      </w:rPr>
    </w:tblStylePr>
    <w:tblStylePr w:type="lastCol">
      <w:rPr>
        <w:b/>
        <w:bCs/>
      </w:rPr>
    </w:tblStylePr>
    <w:tblStylePr w:type="band1Vert">
      <w:tblPr/>
      <w:tcPr>
        <w:tcBorders>
          <w:top w:val="single" w:sz="8" w:space="0" w:color="C00000"/>
          <w:left w:val="single" w:sz="8" w:space="0" w:color="C00000"/>
          <w:bottom w:val="single" w:sz="8" w:space="0" w:color="C00000"/>
          <w:right w:val="single" w:sz="8" w:space="0" w:color="C00000"/>
        </w:tcBorders>
      </w:tcPr>
    </w:tblStylePr>
    <w:tblStylePr w:type="band1Horz">
      <w:tblPr/>
      <w:tcPr>
        <w:tcBorders>
          <w:top w:val="single" w:sz="8" w:space="0" w:color="C00000"/>
          <w:left w:val="single" w:sz="8" w:space="0" w:color="C00000"/>
          <w:bottom w:val="single" w:sz="8" w:space="0" w:color="C00000"/>
          <w:right w:val="single" w:sz="8" w:space="0" w:color="C00000"/>
        </w:tcBorders>
      </w:tcPr>
    </w:tblStylePr>
  </w:style>
  <w:style w:type="table" w:styleId="LightList-Accent3">
    <w:name w:val="Light List Accent 3"/>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4">
    <w:name w:val="Light List Accent 4"/>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pPr>
        <w:spacing w:before="0" w:after="0" w:line="240" w:lineRule="auto"/>
      </w:pPr>
      <w:rPr>
        <w:b/>
        <w:bCs/>
        <w:color w:val="0072BC"/>
      </w:rPr>
      <w:tblPr/>
      <w:tcPr>
        <w:shd w:val="clear" w:color="auto" w:fill="969696"/>
      </w:tcPr>
    </w:tblStylePr>
    <w:tblStylePr w:type="lastRow">
      <w:pPr>
        <w:spacing w:before="0" w:after="0" w:line="240" w:lineRule="auto"/>
      </w:pPr>
      <w:rPr>
        <w:b/>
        <w:bCs/>
      </w:rPr>
      <w:tblPr/>
      <w:tcPr>
        <w:tcBorders>
          <w:top w:val="double" w:sz="6" w:space="0" w:color="969696"/>
          <w:left w:val="single" w:sz="8" w:space="0" w:color="969696"/>
          <w:bottom w:val="single" w:sz="8" w:space="0" w:color="969696"/>
          <w:right w:val="single" w:sz="8" w:space="0" w:color="969696"/>
        </w:tcBorders>
      </w:tcPr>
    </w:tblStylePr>
    <w:tblStylePr w:type="firstCol">
      <w:rPr>
        <w:b/>
        <w:bCs/>
      </w:rPr>
    </w:tblStylePr>
    <w:tblStylePr w:type="lastCol">
      <w:rPr>
        <w:b/>
        <w:bCs/>
      </w:rPr>
    </w:tblStylePr>
    <w:tblStylePr w:type="band1Vert">
      <w:tblPr/>
      <w:tcPr>
        <w:tcBorders>
          <w:top w:val="single" w:sz="8" w:space="0" w:color="969696"/>
          <w:left w:val="single" w:sz="8" w:space="0" w:color="969696"/>
          <w:bottom w:val="single" w:sz="8" w:space="0" w:color="969696"/>
          <w:right w:val="single" w:sz="8" w:space="0" w:color="969696"/>
        </w:tcBorders>
      </w:tcPr>
    </w:tblStylePr>
    <w:tblStylePr w:type="band1Horz">
      <w:tblPr/>
      <w:tcPr>
        <w:tcBorders>
          <w:top w:val="single" w:sz="8" w:space="0" w:color="969696"/>
          <w:left w:val="single" w:sz="8" w:space="0" w:color="969696"/>
          <w:bottom w:val="single" w:sz="8" w:space="0" w:color="969696"/>
          <w:right w:val="single" w:sz="8" w:space="0" w:color="969696"/>
        </w:tcBorders>
      </w:tcPr>
    </w:tblStylePr>
  </w:style>
  <w:style w:type="table" w:styleId="LightList-Accent5">
    <w:name w:val="Light List Accent 5"/>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pPr>
        <w:spacing w:before="0" w:after="0" w:line="240" w:lineRule="auto"/>
      </w:pPr>
      <w:rPr>
        <w:b/>
        <w:bCs/>
        <w:color w:val="0072BC"/>
      </w:rPr>
      <w:tblPr/>
      <w:tcPr>
        <w:shd w:val="clear" w:color="auto" w:fill="5F5F5F"/>
      </w:tcPr>
    </w:tblStylePr>
    <w:tblStylePr w:type="lastRow">
      <w:pPr>
        <w:spacing w:before="0" w:after="0" w:line="240" w:lineRule="auto"/>
      </w:pPr>
      <w:rPr>
        <w:b/>
        <w:bCs/>
      </w:rPr>
      <w:tblPr/>
      <w:tcPr>
        <w:tcBorders>
          <w:top w:val="double" w:sz="6" w:space="0" w:color="5F5F5F"/>
          <w:left w:val="single" w:sz="8" w:space="0" w:color="5F5F5F"/>
          <w:bottom w:val="single" w:sz="8" w:space="0" w:color="5F5F5F"/>
          <w:right w:val="single" w:sz="8" w:space="0" w:color="5F5F5F"/>
        </w:tcBorders>
      </w:tcPr>
    </w:tblStylePr>
    <w:tblStylePr w:type="firstCol">
      <w:rPr>
        <w:b/>
        <w:bCs/>
      </w:rPr>
    </w:tblStylePr>
    <w:tblStylePr w:type="lastCol">
      <w:rPr>
        <w:b/>
        <w:bCs/>
      </w:rPr>
    </w:tblStylePr>
    <w:tblStylePr w:type="band1Vert">
      <w:tblPr/>
      <w:tcPr>
        <w:tcBorders>
          <w:top w:val="single" w:sz="8" w:space="0" w:color="5F5F5F"/>
          <w:left w:val="single" w:sz="8" w:space="0" w:color="5F5F5F"/>
          <w:bottom w:val="single" w:sz="8" w:space="0" w:color="5F5F5F"/>
          <w:right w:val="single" w:sz="8" w:space="0" w:color="5F5F5F"/>
        </w:tcBorders>
      </w:tcPr>
    </w:tblStylePr>
    <w:tblStylePr w:type="band1Horz">
      <w:tblPr/>
      <w:tcPr>
        <w:tcBorders>
          <w:top w:val="single" w:sz="8" w:space="0" w:color="5F5F5F"/>
          <w:left w:val="single" w:sz="8" w:space="0" w:color="5F5F5F"/>
          <w:bottom w:val="single" w:sz="8" w:space="0" w:color="5F5F5F"/>
          <w:right w:val="single" w:sz="8" w:space="0" w:color="5F5F5F"/>
        </w:tcBorders>
      </w:tcPr>
    </w:tblStylePr>
  </w:style>
  <w:style w:type="table" w:styleId="LightList-Accent6">
    <w:name w:val="Light List Accent 6"/>
    <w:basedOn w:val="TableNormal"/>
    <w:uiPriority w:val="61"/>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pPr>
        <w:spacing w:before="0" w:after="0" w:line="240" w:lineRule="auto"/>
      </w:pPr>
      <w:rPr>
        <w:b/>
        <w:bCs/>
        <w:color w:val="0072BC"/>
      </w:rPr>
      <w:tblPr/>
      <w:tcPr>
        <w:shd w:val="clear" w:color="auto" w:fill="4D4D4D"/>
      </w:tcPr>
    </w:tblStylePr>
    <w:tblStylePr w:type="lastRow">
      <w:pPr>
        <w:spacing w:before="0" w:after="0" w:line="240" w:lineRule="auto"/>
      </w:pPr>
      <w:rPr>
        <w:b/>
        <w:bCs/>
      </w:rPr>
      <w:tblPr/>
      <w:tcPr>
        <w:tcBorders>
          <w:top w:val="double" w:sz="6" w:space="0" w:color="4D4D4D"/>
          <w:left w:val="single" w:sz="8" w:space="0" w:color="4D4D4D"/>
          <w:bottom w:val="single" w:sz="8" w:space="0" w:color="4D4D4D"/>
          <w:right w:val="single" w:sz="8" w:space="0" w:color="4D4D4D"/>
        </w:tcBorders>
      </w:tcPr>
    </w:tblStylePr>
    <w:tblStylePr w:type="firstCol">
      <w:rPr>
        <w:b/>
        <w:bCs/>
      </w:rPr>
    </w:tblStylePr>
    <w:tblStylePr w:type="lastCol">
      <w:rPr>
        <w:b/>
        <w:bCs/>
      </w:rPr>
    </w:tblStylePr>
    <w:tblStylePr w:type="band1Vert">
      <w:tblPr/>
      <w:tcPr>
        <w:tcBorders>
          <w:top w:val="single" w:sz="8" w:space="0" w:color="4D4D4D"/>
          <w:left w:val="single" w:sz="8" w:space="0" w:color="4D4D4D"/>
          <w:bottom w:val="single" w:sz="8" w:space="0" w:color="4D4D4D"/>
          <w:right w:val="single" w:sz="8" w:space="0" w:color="4D4D4D"/>
        </w:tcBorders>
      </w:tcPr>
    </w:tblStylePr>
    <w:tblStylePr w:type="band1Horz">
      <w:tblPr/>
      <w:tcPr>
        <w:tcBorders>
          <w:top w:val="single" w:sz="8" w:space="0" w:color="4D4D4D"/>
          <w:left w:val="single" w:sz="8" w:space="0" w:color="4D4D4D"/>
          <w:bottom w:val="single" w:sz="8" w:space="0" w:color="4D4D4D"/>
          <w:right w:val="single" w:sz="8" w:space="0" w:color="4D4D4D"/>
        </w:tcBorders>
      </w:tcPr>
    </w:tblStylePr>
  </w:style>
  <w:style w:type="table" w:styleId="LightShading">
    <w:name w:val="Light Shading"/>
    <w:basedOn w:val="TableNormal"/>
    <w:uiPriority w:val="60"/>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91EA1"/>
    <w:pPr>
      <w:spacing w:after="0" w:line="240" w:lineRule="auto"/>
    </w:pPr>
    <w:rPr>
      <w:rFonts w:ascii="Times New Roman" w:eastAsia="Times New Roman" w:hAnsi="Times New Roman" w:cs="Times New Roman"/>
      <w:color w:val="00548C"/>
      <w:kern w:val="0"/>
      <w:sz w:val="20"/>
      <w:szCs w:val="20"/>
      <w14:ligatures w14:val="none"/>
    </w:rPr>
    <w:tblPr>
      <w:tblStyleRowBandSize w:val="1"/>
      <w:tblStyleColBandSize w:val="1"/>
      <w:tblBorders>
        <w:top w:val="single" w:sz="8" w:space="0" w:color="0072BC"/>
        <w:bottom w:val="single" w:sz="8" w:space="0" w:color="0072BC"/>
      </w:tblBorders>
    </w:tblPr>
    <w:tblStylePr w:type="fir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lastRow">
      <w:pPr>
        <w:spacing w:before="0" w:after="0" w:line="240" w:lineRule="auto"/>
      </w:pPr>
      <w:rPr>
        <w:b/>
        <w:bCs/>
      </w:rPr>
      <w:tblPr/>
      <w:tcPr>
        <w:tcBorders>
          <w:top w:val="single" w:sz="8" w:space="0" w:color="0072BC"/>
          <w:left w:val="nil"/>
          <w:bottom w:val="single" w:sz="8" w:space="0" w:color="0072B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cPr>
    </w:tblStylePr>
    <w:tblStylePr w:type="band1Horz">
      <w:tblPr/>
      <w:tcPr>
        <w:tcBorders>
          <w:left w:val="nil"/>
          <w:right w:val="nil"/>
          <w:insideH w:val="nil"/>
          <w:insideV w:val="nil"/>
        </w:tcBorders>
        <w:shd w:val="clear" w:color="auto" w:fill="AFDFFF"/>
      </w:tcPr>
    </w:tblStylePr>
  </w:style>
  <w:style w:type="table" w:styleId="LightShading-Accent2">
    <w:name w:val="Light Shading Accent 2"/>
    <w:basedOn w:val="TableNormal"/>
    <w:uiPriority w:val="60"/>
    <w:rsid w:val="00391EA1"/>
    <w:pPr>
      <w:spacing w:after="0" w:line="240" w:lineRule="auto"/>
    </w:pPr>
    <w:rPr>
      <w:rFonts w:ascii="Times New Roman" w:eastAsia="Times New Roman" w:hAnsi="Times New Roman" w:cs="Times New Roman"/>
      <w:color w:val="8F0000"/>
      <w:kern w:val="0"/>
      <w:sz w:val="20"/>
      <w:szCs w:val="20"/>
      <w14:ligatures w14:val="none"/>
    </w:rPr>
    <w:tblPr>
      <w:tblStyleRowBandSize w:val="1"/>
      <w:tblStyleColBandSize w:val="1"/>
      <w:tblBorders>
        <w:top w:val="single" w:sz="8" w:space="0" w:color="C00000"/>
        <w:bottom w:val="single" w:sz="8" w:space="0" w:color="C00000"/>
      </w:tblBorders>
    </w:tblPr>
    <w:tblStylePr w:type="fir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lastRow">
      <w:pPr>
        <w:spacing w:before="0" w:after="0" w:line="240" w:lineRule="auto"/>
      </w:pPr>
      <w:rPr>
        <w:b/>
        <w:bCs/>
      </w:rPr>
      <w:tblPr/>
      <w:tcPr>
        <w:tcBorders>
          <w:top w:val="single" w:sz="8" w:space="0" w:color="C00000"/>
          <w:left w:val="nil"/>
          <w:bottom w:val="single" w:sz="8" w:space="0" w:color="C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cPr>
    </w:tblStylePr>
    <w:tblStylePr w:type="band1Horz">
      <w:tblPr/>
      <w:tcPr>
        <w:tcBorders>
          <w:left w:val="nil"/>
          <w:right w:val="nil"/>
          <w:insideH w:val="nil"/>
          <w:insideV w:val="nil"/>
        </w:tcBorders>
        <w:shd w:val="clear" w:color="auto" w:fill="FFB0B0"/>
      </w:tcPr>
    </w:tblStylePr>
  </w:style>
  <w:style w:type="table" w:styleId="LightShading-Accent3">
    <w:name w:val="Light Shading Accent 3"/>
    <w:basedOn w:val="TableNormal"/>
    <w:uiPriority w:val="60"/>
    <w:rsid w:val="00391EA1"/>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4">
    <w:name w:val="Light Shading Accent 4"/>
    <w:basedOn w:val="TableNormal"/>
    <w:uiPriority w:val="60"/>
    <w:rsid w:val="00391EA1"/>
    <w:pPr>
      <w:spacing w:after="0" w:line="240" w:lineRule="auto"/>
    </w:pPr>
    <w:rPr>
      <w:rFonts w:ascii="Times New Roman" w:eastAsia="Times New Roman" w:hAnsi="Times New Roman" w:cs="Times New Roman"/>
      <w:color w:val="707070"/>
      <w:kern w:val="0"/>
      <w:sz w:val="20"/>
      <w:szCs w:val="20"/>
      <w14:ligatures w14:val="none"/>
    </w:rPr>
    <w:tblPr>
      <w:tblStyleRowBandSize w:val="1"/>
      <w:tblStyleColBandSize w:val="1"/>
      <w:tblBorders>
        <w:top w:val="single" w:sz="8" w:space="0" w:color="969696"/>
        <w:bottom w:val="single" w:sz="8" w:space="0" w:color="969696"/>
      </w:tblBorders>
    </w:tblPr>
    <w:tblStylePr w:type="fir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lastRow">
      <w:pPr>
        <w:spacing w:before="0" w:after="0" w:line="240" w:lineRule="auto"/>
      </w:pPr>
      <w:rPr>
        <w:b/>
        <w:bCs/>
      </w:rPr>
      <w:tblPr/>
      <w:tcPr>
        <w:tcBorders>
          <w:top w:val="single" w:sz="8" w:space="0" w:color="969696"/>
          <w:left w:val="nil"/>
          <w:bottom w:val="single" w:sz="8" w:space="0" w:color="96969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cPr>
    </w:tblStylePr>
    <w:tblStylePr w:type="band1Horz">
      <w:tblPr/>
      <w:tcPr>
        <w:tcBorders>
          <w:left w:val="nil"/>
          <w:right w:val="nil"/>
          <w:insideH w:val="nil"/>
          <w:insideV w:val="nil"/>
        </w:tcBorders>
        <w:shd w:val="clear" w:color="auto" w:fill="E5E5E5"/>
      </w:tcPr>
    </w:tblStylePr>
  </w:style>
  <w:style w:type="table" w:styleId="LightShading-Accent5">
    <w:name w:val="Light Shading Accent 5"/>
    <w:basedOn w:val="TableNormal"/>
    <w:uiPriority w:val="60"/>
    <w:rsid w:val="00391EA1"/>
    <w:pPr>
      <w:spacing w:after="0" w:line="240" w:lineRule="auto"/>
    </w:pPr>
    <w:rPr>
      <w:rFonts w:ascii="Times New Roman" w:eastAsia="Times New Roman" w:hAnsi="Times New Roman" w:cs="Times New Roman"/>
      <w:color w:val="474747"/>
      <w:kern w:val="0"/>
      <w:sz w:val="20"/>
      <w:szCs w:val="20"/>
      <w14:ligatures w14:val="none"/>
    </w:rPr>
    <w:tblPr>
      <w:tblStyleRowBandSize w:val="1"/>
      <w:tblStyleColBandSize w:val="1"/>
      <w:tblBorders>
        <w:top w:val="single" w:sz="8" w:space="0" w:color="5F5F5F"/>
        <w:bottom w:val="single" w:sz="8" w:space="0" w:color="5F5F5F"/>
      </w:tblBorders>
    </w:tblPr>
    <w:tblStylePr w:type="fir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lastRow">
      <w:pPr>
        <w:spacing w:before="0" w:after="0" w:line="240" w:lineRule="auto"/>
      </w:pPr>
      <w:rPr>
        <w:b/>
        <w:bCs/>
      </w:rPr>
      <w:tblPr/>
      <w:tcPr>
        <w:tcBorders>
          <w:top w:val="single" w:sz="8" w:space="0" w:color="5F5F5F"/>
          <w:left w:val="nil"/>
          <w:bottom w:val="single" w:sz="8" w:space="0" w:color="5F5F5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cPr>
    </w:tblStylePr>
    <w:tblStylePr w:type="band1Horz">
      <w:tblPr/>
      <w:tcPr>
        <w:tcBorders>
          <w:left w:val="nil"/>
          <w:right w:val="nil"/>
          <w:insideH w:val="nil"/>
          <w:insideV w:val="nil"/>
        </w:tcBorders>
        <w:shd w:val="clear" w:color="auto" w:fill="D7D7D7"/>
      </w:tcPr>
    </w:tblStylePr>
  </w:style>
  <w:style w:type="table" w:styleId="LightShading-Accent6">
    <w:name w:val="Light Shading Accent 6"/>
    <w:basedOn w:val="TableNormal"/>
    <w:uiPriority w:val="60"/>
    <w:rsid w:val="00391EA1"/>
    <w:pPr>
      <w:spacing w:after="0" w:line="240" w:lineRule="auto"/>
    </w:pPr>
    <w:rPr>
      <w:rFonts w:ascii="Times New Roman" w:eastAsia="Times New Roman" w:hAnsi="Times New Roman" w:cs="Times New Roman"/>
      <w:color w:val="393939"/>
      <w:kern w:val="0"/>
      <w:sz w:val="20"/>
      <w:szCs w:val="20"/>
      <w14:ligatures w14:val="none"/>
    </w:rPr>
    <w:tblPr>
      <w:tblStyleRowBandSize w:val="1"/>
      <w:tblStyleColBandSize w:val="1"/>
      <w:tblBorders>
        <w:top w:val="single" w:sz="8" w:space="0" w:color="4D4D4D"/>
        <w:bottom w:val="single" w:sz="8" w:space="0" w:color="4D4D4D"/>
      </w:tblBorders>
    </w:tblPr>
    <w:tblStylePr w:type="fir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lastRow">
      <w:pPr>
        <w:spacing w:before="0" w:after="0" w:line="240" w:lineRule="auto"/>
      </w:pPr>
      <w:rPr>
        <w:b/>
        <w:bCs/>
      </w:rPr>
      <w:tblPr/>
      <w:tcPr>
        <w:tcBorders>
          <w:top w:val="single" w:sz="8" w:space="0" w:color="4D4D4D"/>
          <w:left w:val="nil"/>
          <w:bottom w:val="single" w:sz="8" w:space="0" w:color="4D4D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cPr>
    </w:tblStylePr>
    <w:tblStylePr w:type="band1Horz">
      <w:tblPr/>
      <w:tcPr>
        <w:tcBorders>
          <w:left w:val="nil"/>
          <w:right w:val="nil"/>
          <w:insideH w:val="nil"/>
          <w:insideV w:val="nil"/>
        </w:tcBorders>
        <w:shd w:val="clear" w:color="auto" w:fill="D3D3D3"/>
      </w:tcPr>
    </w:tblStylePr>
  </w:style>
  <w:style w:type="character" w:styleId="LineNumber">
    <w:name w:val="line number"/>
    <w:basedOn w:val="DefaultParagraphFont"/>
    <w:uiPriority w:val="99"/>
    <w:semiHidden/>
    <w:rsid w:val="00391EA1"/>
  </w:style>
  <w:style w:type="paragraph" w:styleId="List">
    <w:name w:val="List"/>
    <w:basedOn w:val="Normal"/>
    <w:uiPriority w:val="99"/>
    <w:semiHidden/>
    <w:rsid w:val="00391EA1"/>
    <w:pPr>
      <w:spacing w:after="0" w:line="240" w:lineRule="auto"/>
      <w:ind w:left="283" w:hanging="283"/>
      <w:contextualSpacing/>
      <w:jc w:val="both"/>
    </w:pPr>
    <w:rPr>
      <w:rFonts w:ascii="Times New Roman" w:eastAsia="MS Mincho" w:hAnsi="Times New Roman"/>
      <w:sz w:val="24"/>
      <w:lang w:val="en-GB"/>
    </w:rPr>
  </w:style>
  <w:style w:type="paragraph" w:styleId="List2">
    <w:name w:val="List 2"/>
    <w:basedOn w:val="Normal"/>
    <w:uiPriority w:val="99"/>
    <w:semiHidden/>
    <w:rsid w:val="00391EA1"/>
    <w:pPr>
      <w:spacing w:after="0" w:line="240" w:lineRule="auto"/>
      <w:ind w:left="566" w:hanging="283"/>
      <w:contextualSpacing/>
      <w:jc w:val="both"/>
    </w:pPr>
    <w:rPr>
      <w:rFonts w:ascii="Times New Roman" w:eastAsia="MS Mincho" w:hAnsi="Times New Roman"/>
      <w:sz w:val="24"/>
      <w:lang w:val="en-GB"/>
    </w:rPr>
  </w:style>
  <w:style w:type="paragraph" w:styleId="List3">
    <w:name w:val="List 3"/>
    <w:basedOn w:val="Normal"/>
    <w:uiPriority w:val="99"/>
    <w:semiHidden/>
    <w:rsid w:val="00391EA1"/>
    <w:pPr>
      <w:spacing w:after="0" w:line="240" w:lineRule="auto"/>
      <w:ind w:left="849" w:hanging="283"/>
      <w:contextualSpacing/>
      <w:jc w:val="both"/>
    </w:pPr>
    <w:rPr>
      <w:rFonts w:ascii="Times New Roman" w:eastAsia="MS Mincho" w:hAnsi="Times New Roman"/>
      <w:sz w:val="24"/>
      <w:lang w:val="en-GB"/>
    </w:rPr>
  </w:style>
  <w:style w:type="paragraph" w:styleId="List4">
    <w:name w:val="List 4"/>
    <w:basedOn w:val="Normal"/>
    <w:uiPriority w:val="99"/>
    <w:semiHidden/>
    <w:rsid w:val="00391EA1"/>
    <w:pPr>
      <w:spacing w:after="0" w:line="240" w:lineRule="auto"/>
      <w:ind w:left="1132" w:hanging="283"/>
      <w:contextualSpacing/>
      <w:jc w:val="both"/>
    </w:pPr>
    <w:rPr>
      <w:rFonts w:ascii="Times New Roman" w:eastAsia="MS Mincho" w:hAnsi="Times New Roman"/>
      <w:sz w:val="24"/>
      <w:lang w:val="en-GB"/>
    </w:rPr>
  </w:style>
  <w:style w:type="paragraph" w:styleId="List5">
    <w:name w:val="List 5"/>
    <w:basedOn w:val="Normal"/>
    <w:uiPriority w:val="99"/>
    <w:semiHidden/>
    <w:rsid w:val="00391EA1"/>
    <w:pPr>
      <w:spacing w:after="0" w:line="240" w:lineRule="auto"/>
      <w:ind w:left="1415" w:hanging="283"/>
      <w:contextualSpacing/>
      <w:jc w:val="both"/>
    </w:pPr>
    <w:rPr>
      <w:rFonts w:ascii="Times New Roman" w:eastAsia="MS Mincho" w:hAnsi="Times New Roman"/>
      <w:sz w:val="24"/>
      <w:lang w:val="en-GB"/>
    </w:rPr>
  </w:style>
  <w:style w:type="paragraph" w:styleId="ListBullet2">
    <w:name w:val="List Bullet 2"/>
    <w:basedOn w:val="Normal"/>
    <w:uiPriority w:val="99"/>
    <w:semiHidden/>
    <w:rsid w:val="00391EA1"/>
    <w:pPr>
      <w:numPr>
        <w:numId w:val="7"/>
      </w:numPr>
      <w:spacing w:after="0" w:line="240" w:lineRule="auto"/>
      <w:contextualSpacing/>
      <w:jc w:val="both"/>
    </w:pPr>
    <w:rPr>
      <w:rFonts w:ascii="Times New Roman" w:eastAsia="MS Mincho" w:hAnsi="Times New Roman"/>
      <w:sz w:val="24"/>
      <w:lang w:val="en-GB"/>
    </w:rPr>
  </w:style>
  <w:style w:type="paragraph" w:styleId="ListBullet4">
    <w:name w:val="List Bullet 4"/>
    <w:basedOn w:val="Normal"/>
    <w:uiPriority w:val="99"/>
    <w:semiHidden/>
    <w:rsid w:val="00391EA1"/>
    <w:pPr>
      <w:numPr>
        <w:numId w:val="8"/>
      </w:numPr>
      <w:spacing w:after="0" w:line="240" w:lineRule="auto"/>
      <w:contextualSpacing/>
      <w:jc w:val="both"/>
    </w:pPr>
    <w:rPr>
      <w:rFonts w:ascii="Times New Roman" w:eastAsia="MS Mincho" w:hAnsi="Times New Roman"/>
      <w:sz w:val="24"/>
      <w:lang w:val="en-GB"/>
    </w:rPr>
  </w:style>
  <w:style w:type="paragraph" w:styleId="ListBullet5">
    <w:name w:val="List Bullet 5"/>
    <w:basedOn w:val="Normal"/>
    <w:uiPriority w:val="99"/>
    <w:semiHidden/>
    <w:rsid w:val="00391EA1"/>
    <w:pPr>
      <w:numPr>
        <w:numId w:val="9"/>
      </w:numPr>
      <w:spacing w:after="0" w:line="240" w:lineRule="auto"/>
      <w:contextualSpacing/>
      <w:jc w:val="both"/>
    </w:pPr>
    <w:rPr>
      <w:rFonts w:ascii="Times New Roman" w:eastAsia="MS Mincho" w:hAnsi="Times New Roman"/>
      <w:sz w:val="24"/>
      <w:lang w:val="en-GB"/>
    </w:rPr>
  </w:style>
  <w:style w:type="paragraph" w:styleId="ListContinue">
    <w:name w:val="List Continue"/>
    <w:basedOn w:val="Normal"/>
    <w:uiPriority w:val="99"/>
    <w:semiHidden/>
    <w:rsid w:val="00391EA1"/>
    <w:pPr>
      <w:spacing w:after="120" w:line="240" w:lineRule="auto"/>
      <w:ind w:left="283"/>
      <w:contextualSpacing/>
      <w:jc w:val="both"/>
    </w:pPr>
    <w:rPr>
      <w:rFonts w:ascii="Times New Roman" w:eastAsia="MS Mincho" w:hAnsi="Times New Roman"/>
      <w:sz w:val="24"/>
      <w:lang w:val="en-GB"/>
    </w:rPr>
  </w:style>
  <w:style w:type="paragraph" w:styleId="ListContinue2">
    <w:name w:val="List Continue 2"/>
    <w:basedOn w:val="Normal"/>
    <w:uiPriority w:val="99"/>
    <w:semiHidden/>
    <w:rsid w:val="00391EA1"/>
    <w:pPr>
      <w:spacing w:after="120" w:line="240" w:lineRule="auto"/>
      <w:ind w:left="566"/>
      <w:contextualSpacing/>
      <w:jc w:val="both"/>
    </w:pPr>
    <w:rPr>
      <w:rFonts w:ascii="Times New Roman" w:eastAsia="MS Mincho" w:hAnsi="Times New Roman"/>
      <w:sz w:val="24"/>
      <w:lang w:val="en-GB"/>
    </w:rPr>
  </w:style>
  <w:style w:type="paragraph" w:styleId="ListContinue3">
    <w:name w:val="List Continue 3"/>
    <w:basedOn w:val="Normal"/>
    <w:uiPriority w:val="99"/>
    <w:semiHidden/>
    <w:rsid w:val="00391EA1"/>
    <w:pPr>
      <w:spacing w:after="120" w:line="240" w:lineRule="auto"/>
      <w:ind w:left="849"/>
      <w:contextualSpacing/>
      <w:jc w:val="both"/>
    </w:pPr>
    <w:rPr>
      <w:rFonts w:ascii="Times New Roman" w:eastAsia="MS Mincho" w:hAnsi="Times New Roman"/>
      <w:sz w:val="24"/>
      <w:lang w:val="en-GB"/>
    </w:rPr>
  </w:style>
  <w:style w:type="paragraph" w:styleId="ListContinue4">
    <w:name w:val="List Continue 4"/>
    <w:basedOn w:val="Normal"/>
    <w:uiPriority w:val="99"/>
    <w:semiHidden/>
    <w:rsid w:val="00391EA1"/>
    <w:pPr>
      <w:spacing w:after="120" w:line="240" w:lineRule="auto"/>
      <w:ind w:left="1132"/>
      <w:contextualSpacing/>
      <w:jc w:val="both"/>
    </w:pPr>
    <w:rPr>
      <w:rFonts w:ascii="Times New Roman" w:eastAsia="MS Mincho" w:hAnsi="Times New Roman"/>
      <w:sz w:val="24"/>
      <w:lang w:val="en-GB"/>
    </w:rPr>
  </w:style>
  <w:style w:type="paragraph" w:styleId="ListContinue5">
    <w:name w:val="List Continue 5"/>
    <w:basedOn w:val="Normal"/>
    <w:uiPriority w:val="99"/>
    <w:semiHidden/>
    <w:rsid w:val="00391EA1"/>
    <w:pPr>
      <w:spacing w:after="120" w:line="240" w:lineRule="auto"/>
      <w:ind w:left="1415"/>
      <w:contextualSpacing/>
      <w:jc w:val="both"/>
    </w:pPr>
    <w:rPr>
      <w:rFonts w:ascii="Times New Roman" w:eastAsia="MS Mincho" w:hAnsi="Times New Roman"/>
      <w:sz w:val="24"/>
      <w:lang w:val="en-GB"/>
    </w:rPr>
  </w:style>
  <w:style w:type="paragraph" w:styleId="ListNumber">
    <w:name w:val="List Number"/>
    <w:basedOn w:val="Normal"/>
    <w:uiPriority w:val="99"/>
    <w:semiHidden/>
    <w:rsid w:val="00391EA1"/>
    <w:pPr>
      <w:numPr>
        <w:numId w:val="10"/>
      </w:numPr>
      <w:spacing w:after="0" w:line="240" w:lineRule="auto"/>
      <w:contextualSpacing/>
      <w:jc w:val="both"/>
    </w:pPr>
    <w:rPr>
      <w:rFonts w:ascii="Times New Roman" w:eastAsia="MS Mincho" w:hAnsi="Times New Roman"/>
      <w:sz w:val="24"/>
      <w:lang w:val="en-GB"/>
    </w:rPr>
  </w:style>
  <w:style w:type="paragraph" w:styleId="ListNumber2">
    <w:name w:val="List Number 2"/>
    <w:basedOn w:val="Normal"/>
    <w:uiPriority w:val="99"/>
    <w:semiHidden/>
    <w:rsid w:val="00391EA1"/>
    <w:pPr>
      <w:numPr>
        <w:numId w:val="11"/>
      </w:numPr>
      <w:spacing w:after="0" w:line="240" w:lineRule="auto"/>
      <w:contextualSpacing/>
      <w:jc w:val="both"/>
    </w:pPr>
    <w:rPr>
      <w:rFonts w:ascii="Times New Roman" w:eastAsia="MS Mincho" w:hAnsi="Times New Roman"/>
      <w:sz w:val="24"/>
      <w:lang w:val="en-GB"/>
    </w:rPr>
  </w:style>
  <w:style w:type="paragraph" w:styleId="ListNumber3">
    <w:name w:val="List Number 3"/>
    <w:basedOn w:val="Normal"/>
    <w:uiPriority w:val="99"/>
    <w:semiHidden/>
    <w:rsid w:val="00391EA1"/>
    <w:pPr>
      <w:numPr>
        <w:numId w:val="12"/>
      </w:numPr>
      <w:spacing w:after="0" w:line="240" w:lineRule="auto"/>
      <w:contextualSpacing/>
      <w:jc w:val="both"/>
    </w:pPr>
    <w:rPr>
      <w:rFonts w:ascii="Times New Roman" w:eastAsia="MS Mincho" w:hAnsi="Times New Roman"/>
      <w:sz w:val="24"/>
      <w:lang w:val="en-GB"/>
    </w:rPr>
  </w:style>
  <w:style w:type="paragraph" w:styleId="ListNumber4">
    <w:name w:val="List Number 4"/>
    <w:basedOn w:val="Normal"/>
    <w:uiPriority w:val="99"/>
    <w:semiHidden/>
    <w:rsid w:val="00391EA1"/>
    <w:pPr>
      <w:numPr>
        <w:numId w:val="13"/>
      </w:numPr>
      <w:spacing w:after="0" w:line="240" w:lineRule="auto"/>
      <w:contextualSpacing/>
      <w:jc w:val="both"/>
    </w:pPr>
    <w:rPr>
      <w:rFonts w:ascii="Times New Roman" w:eastAsia="MS Mincho" w:hAnsi="Times New Roman"/>
      <w:sz w:val="24"/>
      <w:lang w:val="en-GB"/>
    </w:rPr>
  </w:style>
  <w:style w:type="paragraph" w:styleId="ListNumber5">
    <w:name w:val="List Number 5"/>
    <w:basedOn w:val="Normal"/>
    <w:uiPriority w:val="99"/>
    <w:semiHidden/>
    <w:rsid w:val="00391EA1"/>
    <w:pPr>
      <w:numPr>
        <w:numId w:val="14"/>
      </w:numPr>
      <w:spacing w:after="0" w:line="240" w:lineRule="auto"/>
      <w:contextualSpacing/>
      <w:jc w:val="both"/>
    </w:pPr>
    <w:rPr>
      <w:rFonts w:ascii="Times New Roman" w:eastAsia="MS Mincho" w:hAnsi="Times New Roman"/>
      <w:sz w:val="24"/>
      <w:lang w:val="en-GB"/>
    </w:rPr>
  </w:style>
  <w:style w:type="paragraph" w:styleId="MacroText">
    <w:name w:val="macro"/>
    <w:link w:val="MacroTextChar"/>
    <w:uiPriority w:val="99"/>
    <w:semiHidden/>
    <w:rsid w:val="00391EA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MS Mincho" w:hAnsi="Consolas" w:cs="Consolas"/>
      <w:kern w:val="0"/>
      <w:sz w:val="20"/>
      <w:szCs w:val="20"/>
      <w14:ligatures w14:val="none"/>
    </w:rPr>
  </w:style>
  <w:style w:type="character" w:customStyle="1" w:styleId="MacroTextChar">
    <w:name w:val="Macro Text Char"/>
    <w:basedOn w:val="DefaultParagraphFont"/>
    <w:link w:val="MacroText"/>
    <w:uiPriority w:val="99"/>
    <w:semiHidden/>
    <w:rsid w:val="00391EA1"/>
    <w:rPr>
      <w:rFonts w:ascii="Consolas" w:eastAsia="MS Mincho" w:hAnsi="Consolas" w:cs="Consolas"/>
      <w:kern w:val="0"/>
      <w:sz w:val="20"/>
      <w:szCs w:val="20"/>
      <w14:ligatures w14:val="none"/>
    </w:rPr>
  </w:style>
  <w:style w:type="table" w:styleId="MediumGrid1">
    <w:name w:val="Medium Grid 1"/>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insideV w:val="single" w:sz="8" w:space="0" w:color="0D9FFF"/>
      </w:tblBorders>
    </w:tblPr>
    <w:tcPr>
      <w:shd w:val="clear" w:color="auto" w:fill="AFDFFF"/>
    </w:tcPr>
    <w:tblStylePr w:type="firstRow">
      <w:rPr>
        <w:b/>
        <w:bCs/>
      </w:rPr>
    </w:tblStylePr>
    <w:tblStylePr w:type="lastRow">
      <w:rPr>
        <w:b/>
        <w:bCs/>
      </w:rPr>
      <w:tblPr/>
      <w:tcPr>
        <w:tcBorders>
          <w:top w:val="single" w:sz="18" w:space="0" w:color="0D9FFF"/>
        </w:tcBorders>
      </w:tcPr>
    </w:tblStylePr>
    <w:tblStylePr w:type="firstCol">
      <w:rPr>
        <w:b/>
        <w:bCs/>
      </w:rPr>
    </w:tblStylePr>
    <w:tblStylePr w:type="lastCol">
      <w:rPr>
        <w:b/>
        <w:bCs/>
      </w:rPr>
    </w:tblStylePr>
    <w:tblStylePr w:type="band1Vert">
      <w:tblPr/>
      <w:tcPr>
        <w:shd w:val="clear" w:color="auto" w:fill="5EBFFF"/>
      </w:tcPr>
    </w:tblStylePr>
    <w:tblStylePr w:type="band1Horz">
      <w:tblPr/>
      <w:tcPr>
        <w:shd w:val="clear" w:color="auto" w:fill="5EBFFF"/>
      </w:tcPr>
    </w:tblStylePr>
  </w:style>
  <w:style w:type="table" w:styleId="MediumGrid1-Accent2">
    <w:name w:val="Medium Grid 1 Accent 2"/>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insideV w:val="single" w:sz="8" w:space="0" w:color="FF1010"/>
      </w:tblBorders>
    </w:tblPr>
    <w:tcPr>
      <w:shd w:val="clear" w:color="auto" w:fill="FFB0B0"/>
    </w:tcPr>
    <w:tblStylePr w:type="firstRow">
      <w:rPr>
        <w:b/>
        <w:bCs/>
      </w:rPr>
    </w:tblStylePr>
    <w:tblStylePr w:type="lastRow">
      <w:rPr>
        <w:b/>
        <w:bCs/>
      </w:rPr>
      <w:tblPr/>
      <w:tcPr>
        <w:tcBorders>
          <w:top w:val="single" w:sz="18" w:space="0" w:color="FF1010"/>
        </w:tcBorders>
      </w:tcPr>
    </w:tblStylePr>
    <w:tblStylePr w:type="firstCol">
      <w:rPr>
        <w:b/>
        <w:bCs/>
      </w:rPr>
    </w:tblStylePr>
    <w:tblStylePr w:type="lastCol">
      <w:rPr>
        <w:b/>
        <w:bCs/>
      </w:rPr>
    </w:tblStylePr>
    <w:tblStylePr w:type="band1Vert">
      <w:tblPr/>
      <w:tcPr>
        <w:shd w:val="clear" w:color="auto" w:fill="FF6060"/>
      </w:tcPr>
    </w:tblStylePr>
    <w:tblStylePr w:type="band1Horz">
      <w:tblPr/>
      <w:tcPr>
        <w:shd w:val="clear" w:color="auto" w:fill="FF6060"/>
      </w:tcPr>
    </w:tblStylePr>
  </w:style>
  <w:style w:type="table" w:styleId="MediumGrid1-Accent3">
    <w:name w:val="Medium Grid 1 Accent 3"/>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4">
    <w:name w:val="Medium Grid 1 Accent 4"/>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insideV w:val="single" w:sz="8" w:space="0" w:color="B0B0B0"/>
      </w:tblBorders>
    </w:tblPr>
    <w:tcPr>
      <w:shd w:val="clear" w:color="auto" w:fill="E5E5E5"/>
    </w:tcPr>
    <w:tblStylePr w:type="firstRow">
      <w:rPr>
        <w:b/>
        <w:bCs/>
      </w:rPr>
    </w:tblStylePr>
    <w:tblStylePr w:type="lastRow">
      <w:rPr>
        <w:b/>
        <w:bCs/>
      </w:rPr>
      <w:tblPr/>
      <w:tcPr>
        <w:tcBorders>
          <w:top w:val="single" w:sz="18" w:space="0" w:color="B0B0B0"/>
        </w:tcBorders>
      </w:tcPr>
    </w:tblStylePr>
    <w:tblStylePr w:type="firstCol">
      <w:rPr>
        <w:b/>
        <w:bCs/>
      </w:rPr>
    </w:tblStylePr>
    <w:tblStylePr w:type="lastCol">
      <w:rPr>
        <w:b/>
        <w:bCs/>
      </w:rPr>
    </w:tblStylePr>
    <w:tblStylePr w:type="band1Vert">
      <w:tblPr/>
      <w:tcPr>
        <w:shd w:val="clear" w:color="auto" w:fill="CACACA"/>
      </w:tcPr>
    </w:tblStylePr>
    <w:tblStylePr w:type="band1Horz">
      <w:tblPr/>
      <w:tcPr>
        <w:shd w:val="clear" w:color="auto" w:fill="CACACA"/>
      </w:tcPr>
    </w:tblStylePr>
  </w:style>
  <w:style w:type="table" w:styleId="MediumGrid1-Accent5">
    <w:name w:val="Medium Grid 1 Accent 5"/>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Pr>
    <w:tcPr>
      <w:shd w:val="clear" w:color="auto" w:fill="D7D7D7"/>
    </w:tcPr>
    <w:tblStylePr w:type="firstRow">
      <w:rPr>
        <w:b/>
        <w:bCs/>
      </w:rPr>
    </w:tblStylePr>
    <w:tblStylePr w:type="lastRow">
      <w:rPr>
        <w:b/>
        <w:bCs/>
      </w:rPr>
      <w:tblPr/>
      <w:tcPr>
        <w:tcBorders>
          <w:top w:val="single" w:sz="18" w:space="0" w:color="878787"/>
        </w:tcBorders>
      </w:tcPr>
    </w:tblStylePr>
    <w:tblStylePr w:type="firstCol">
      <w:rPr>
        <w:b/>
        <w:bCs/>
      </w:rPr>
    </w:tblStylePr>
    <w:tblStylePr w:type="lastCol">
      <w:rPr>
        <w:b/>
        <w:bCs/>
      </w:rPr>
    </w:tblStylePr>
    <w:tblStylePr w:type="band1Vert">
      <w:tblPr/>
      <w:tcPr>
        <w:shd w:val="clear" w:color="auto" w:fill="AFAFAF"/>
      </w:tcPr>
    </w:tblStylePr>
    <w:tblStylePr w:type="band1Horz">
      <w:tblPr/>
      <w:tcPr>
        <w:shd w:val="clear" w:color="auto" w:fill="AFAFAF"/>
      </w:tcPr>
    </w:tblStylePr>
  </w:style>
  <w:style w:type="table" w:styleId="MediumGrid1-Accent6">
    <w:name w:val="Medium Grid 1 Accent 6"/>
    <w:basedOn w:val="TableNormal"/>
    <w:uiPriority w:val="67"/>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insideV w:val="single" w:sz="8" w:space="0" w:color="797979"/>
      </w:tblBorders>
    </w:tblPr>
    <w:tcPr>
      <w:shd w:val="clear" w:color="auto" w:fill="D3D3D3"/>
    </w:tcPr>
    <w:tblStylePr w:type="firstRow">
      <w:rPr>
        <w:b/>
        <w:bCs/>
      </w:rPr>
    </w:tblStylePr>
    <w:tblStylePr w:type="lastRow">
      <w:rPr>
        <w:b/>
        <w:bCs/>
      </w:rPr>
      <w:tblPr/>
      <w:tcPr>
        <w:tcBorders>
          <w:top w:val="single" w:sz="18" w:space="0" w:color="797979"/>
        </w:tcBorders>
      </w:tcPr>
    </w:tblStylePr>
    <w:tblStylePr w:type="firstCol">
      <w:rPr>
        <w:b/>
        <w:bCs/>
      </w:rPr>
    </w:tblStylePr>
    <w:tblStylePr w:type="lastCol">
      <w:rPr>
        <w:b/>
        <w:bCs/>
      </w:rPr>
    </w:tblStylePr>
    <w:tblStylePr w:type="band1Vert">
      <w:tblPr/>
      <w:tcPr>
        <w:shd w:val="clear" w:color="auto" w:fill="A6A6A6"/>
      </w:tcPr>
    </w:tblStylePr>
    <w:tblStylePr w:type="band1Horz">
      <w:tblPr/>
      <w:tcPr>
        <w:shd w:val="clear" w:color="auto" w:fill="A6A6A6"/>
      </w:tcPr>
    </w:tblStylePr>
  </w:style>
  <w:style w:type="table" w:styleId="MediumGrid2">
    <w:name w:val="Medium Grid 2"/>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0072BC"/>
      </w:tcPr>
    </w:tblStylePr>
  </w:style>
  <w:style w:type="table" w:styleId="MediumGrid2-Accent1">
    <w:name w:val="Medium Grid 2 Accent 1"/>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8" w:space="0" w:color="0072BC"/>
        <w:insideV w:val="single" w:sz="8" w:space="0" w:color="0072BC"/>
      </w:tblBorders>
    </w:tblPr>
    <w:tcPr>
      <w:shd w:val="clear" w:color="auto" w:fill="AFDFFF"/>
    </w:tcPr>
    <w:tblStylePr w:type="firstRow">
      <w:rPr>
        <w:b/>
        <w:bCs/>
        <w:color w:val="000000"/>
      </w:rPr>
      <w:tblPr/>
      <w:tcPr>
        <w:shd w:val="clear" w:color="auto" w:fill="DFF2F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BEE5FF"/>
      </w:tcPr>
    </w:tblStylePr>
    <w:tblStylePr w:type="band1Vert">
      <w:tblPr/>
      <w:tcPr>
        <w:shd w:val="clear" w:color="auto" w:fill="5EBFFF"/>
      </w:tcPr>
    </w:tblStylePr>
    <w:tblStylePr w:type="band1Horz">
      <w:tblPr/>
      <w:tcPr>
        <w:tcBorders>
          <w:insideH w:val="single" w:sz="6" w:space="0" w:color="0072BC"/>
          <w:insideV w:val="single" w:sz="6" w:space="0" w:color="0072BC"/>
        </w:tcBorders>
        <w:shd w:val="clear" w:color="auto" w:fill="5EBFFF"/>
      </w:tcPr>
    </w:tblStylePr>
    <w:tblStylePr w:type="nwCell">
      <w:tblPr/>
      <w:tcPr>
        <w:shd w:val="clear" w:color="auto" w:fill="0072BC"/>
      </w:tcPr>
    </w:tblStylePr>
  </w:style>
  <w:style w:type="table" w:styleId="MediumGrid2-Accent2">
    <w:name w:val="Medium Grid 2 Accent 2"/>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Pr>
    <w:tcPr>
      <w:shd w:val="clear" w:color="auto" w:fill="FFB0B0"/>
    </w:tcPr>
    <w:tblStylePr w:type="firstRow">
      <w:rPr>
        <w:b/>
        <w:bCs/>
        <w:color w:val="000000"/>
      </w:rPr>
      <w:tblPr/>
      <w:tcPr>
        <w:shd w:val="clear" w:color="auto" w:fill="FFDFD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FFBFBF"/>
      </w:tcPr>
    </w:tblStylePr>
    <w:tblStylePr w:type="band1Vert">
      <w:tblPr/>
      <w:tcPr>
        <w:shd w:val="clear" w:color="auto" w:fill="FF6060"/>
      </w:tcPr>
    </w:tblStylePr>
    <w:tblStylePr w:type="band1Horz">
      <w:tblPr/>
      <w:tcPr>
        <w:tcBorders>
          <w:insideH w:val="single" w:sz="6" w:space="0" w:color="C00000"/>
          <w:insideV w:val="single" w:sz="6" w:space="0" w:color="C00000"/>
        </w:tcBorders>
        <w:shd w:val="clear" w:color="auto" w:fill="FF6060"/>
      </w:tcPr>
    </w:tblStylePr>
    <w:tblStylePr w:type="nwCell">
      <w:tblPr/>
      <w:tcPr>
        <w:shd w:val="clear" w:color="auto" w:fill="0072BC"/>
      </w:tcPr>
    </w:tblStylePr>
  </w:style>
  <w:style w:type="table" w:styleId="MediumGrid2-Accent3">
    <w:name w:val="Medium Grid 2 Accent 3"/>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4">
    <w:name w:val="Medium Grid 2 Accent 4"/>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insideH w:val="single" w:sz="8" w:space="0" w:color="969696"/>
        <w:insideV w:val="single" w:sz="8" w:space="0" w:color="969696"/>
      </w:tblBorders>
    </w:tblPr>
    <w:tcPr>
      <w:shd w:val="clear" w:color="auto" w:fill="E5E5E5"/>
    </w:tcPr>
    <w:tblStylePr w:type="firstRow">
      <w:rPr>
        <w:b/>
        <w:bCs/>
        <w:color w:val="000000"/>
      </w:rPr>
      <w:tblPr/>
      <w:tcPr>
        <w:shd w:val="clear" w:color="auto" w:fill="F4F4F4"/>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EAEAEA"/>
      </w:tcPr>
    </w:tblStylePr>
    <w:tblStylePr w:type="band1Vert">
      <w:tblPr/>
      <w:tcPr>
        <w:shd w:val="clear" w:color="auto" w:fill="CACACA"/>
      </w:tcPr>
    </w:tblStylePr>
    <w:tblStylePr w:type="band1Horz">
      <w:tblPr/>
      <w:tcPr>
        <w:tcBorders>
          <w:insideH w:val="single" w:sz="6" w:space="0" w:color="969696"/>
          <w:insideV w:val="single" w:sz="6" w:space="0" w:color="969696"/>
        </w:tcBorders>
        <w:shd w:val="clear" w:color="auto" w:fill="CACACA"/>
      </w:tcPr>
    </w:tblStylePr>
    <w:tblStylePr w:type="nwCell">
      <w:tblPr/>
      <w:tcPr>
        <w:shd w:val="clear" w:color="auto" w:fill="0072BC"/>
      </w:tcPr>
    </w:tblStylePr>
  </w:style>
  <w:style w:type="table" w:styleId="MediumGrid2-Accent5">
    <w:name w:val="Medium Grid 2 Accent 5"/>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insideH w:val="single" w:sz="8" w:space="0" w:color="5F5F5F"/>
        <w:insideV w:val="single" w:sz="8" w:space="0" w:color="5F5F5F"/>
      </w:tblBorders>
    </w:tblPr>
    <w:tcPr>
      <w:shd w:val="clear" w:color="auto" w:fill="D7D7D7"/>
    </w:tcPr>
    <w:tblStylePr w:type="firstRow">
      <w:rPr>
        <w:b/>
        <w:bCs/>
        <w:color w:val="000000"/>
      </w:rPr>
      <w:tblPr/>
      <w:tcPr>
        <w:shd w:val="clear" w:color="auto" w:fill="EFEFEF"/>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FDFDF"/>
      </w:tcPr>
    </w:tblStylePr>
    <w:tblStylePr w:type="band1Vert">
      <w:tblPr/>
      <w:tcPr>
        <w:shd w:val="clear" w:color="auto" w:fill="AFAFAF"/>
      </w:tcPr>
    </w:tblStylePr>
    <w:tblStylePr w:type="band1Horz">
      <w:tblPr/>
      <w:tcPr>
        <w:tcBorders>
          <w:insideH w:val="single" w:sz="6" w:space="0" w:color="5F5F5F"/>
          <w:insideV w:val="single" w:sz="6" w:space="0" w:color="5F5F5F"/>
        </w:tcBorders>
        <w:shd w:val="clear" w:color="auto" w:fill="AFAFAF"/>
      </w:tcPr>
    </w:tblStylePr>
    <w:tblStylePr w:type="nwCell">
      <w:tblPr/>
      <w:tcPr>
        <w:shd w:val="clear" w:color="auto" w:fill="0072BC"/>
      </w:tcPr>
    </w:tblStylePr>
  </w:style>
  <w:style w:type="table" w:styleId="MediumGrid2-Accent6">
    <w:name w:val="Medium Grid 2 Accent 6"/>
    <w:basedOn w:val="TableNormal"/>
    <w:uiPriority w:val="68"/>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insideH w:val="single" w:sz="8" w:space="0" w:color="4D4D4D"/>
        <w:insideV w:val="single" w:sz="8" w:space="0" w:color="4D4D4D"/>
      </w:tblBorders>
    </w:tblPr>
    <w:tcPr>
      <w:shd w:val="clear" w:color="auto" w:fill="D3D3D3"/>
    </w:tcPr>
    <w:tblStylePr w:type="firstRow">
      <w:rPr>
        <w:b/>
        <w:bCs/>
        <w:color w:val="000000"/>
      </w:rPr>
      <w:tblPr/>
      <w:tcPr>
        <w:shd w:val="clear" w:color="auto" w:fill="EDEDED"/>
      </w:tcPr>
    </w:tblStylePr>
    <w:tblStylePr w:type="lastRow">
      <w:rPr>
        <w:b/>
        <w:bCs/>
        <w:color w:val="000000"/>
      </w:rPr>
      <w:tblPr/>
      <w:tcPr>
        <w:tcBorders>
          <w:top w:val="single" w:sz="12" w:space="0" w:color="000000"/>
          <w:left w:val="nil"/>
          <w:bottom w:val="nil"/>
          <w:right w:val="nil"/>
          <w:insideH w:val="nil"/>
          <w:insideV w:val="nil"/>
        </w:tcBorders>
        <w:shd w:val="clear" w:color="auto" w:fill="0072BC"/>
      </w:tcPr>
    </w:tblStylePr>
    <w:tblStylePr w:type="firstCol">
      <w:rPr>
        <w:b/>
        <w:bCs/>
        <w:color w:val="000000"/>
      </w:rPr>
      <w:tblPr/>
      <w:tcPr>
        <w:tcBorders>
          <w:top w:val="nil"/>
          <w:left w:val="nil"/>
          <w:bottom w:val="nil"/>
          <w:right w:val="nil"/>
          <w:insideH w:val="nil"/>
          <w:insideV w:val="nil"/>
        </w:tcBorders>
        <w:shd w:val="clear" w:color="auto" w:fill="0072BC"/>
      </w:tcPr>
    </w:tblStylePr>
    <w:tblStylePr w:type="lastCol">
      <w:rPr>
        <w:b w:val="0"/>
        <w:bCs w:val="0"/>
        <w:color w:val="000000"/>
      </w:rPr>
      <w:tblPr/>
      <w:tcPr>
        <w:tcBorders>
          <w:top w:val="nil"/>
          <w:left w:val="nil"/>
          <w:bottom w:val="nil"/>
          <w:right w:val="nil"/>
          <w:insideH w:val="nil"/>
          <w:insideV w:val="nil"/>
        </w:tcBorders>
        <w:shd w:val="clear" w:color="auto" w:fill="DBDBDB"/>
      </w:tcPr>
    </w:tblStylePr>
    <w:tblStylePr w:type="band1Vert">
      <w:tblPr/>
      <w:tcPr>
        <w:shd w:val="clear" w:color="auto" w:fill="A6A6A6"/>
      </w:tcPr>
    </w:tblStylePr>
    <w:tblStylePr w:type="band1Horz">
      <w:tblPr/>
      <w:tcPr>
        <w:tcBorders>
          <w:insideH w:val="single" w:sz="6" w:space="0" w:color="4D4D4D"/>
          <w:insideV w:val="single" w:sz="6" w:space="0" w:color="4D4D4D"/>
        </w:tcBorders>
        <w:shd w:val="clear" w:color="auto" w:fill="A6A6A6"/>
      </w:tcPr>
    </w:tblStylePr>
    <w:tblStylePr w:type="nwCell">
      <w:tblPr/>
      <w:tcPr>
        <w:shd w:val="clear" w:color="auto" w:fill="0072BC"/>
      </w:tcPr>
    </w:tblStylePr>
  </w:style>
  <w:style w:type="table" w:styleId="MediumGrid3">
    <w:name w:val="Medium Grid 3"/>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C0C0C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80808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808080"/>
      </w:tcPr>
    </w:tblStylePr>
  </w:style>
  <w:style w:type="table" w:styleId="MediumGrid3-Accent1">
    <w:name w:val="Medium Grid 3 Accent 1"/>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AFDFFF"/>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0072BC"/>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0072BC"/>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0072BC"/>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0072BC"/>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5EBFF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5EBFFF"/>
      </w:tcPr>
    </w:tblStylePr>
  </w:style>
  <w:style w:type="table" w:styleId="MediumGrid3-Accent2">
    <w:name w:val="Medium Grid 3 Accent 2"/>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FFB0B0"/>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C00000"/>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C00000"/>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C00000"/>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C00000"/>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FF6060"/>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FF6060"/>
      </w:tcPr>
    </w:tblStylePr>
  </w:style>
  <w:style w:type="table" w:styleId="MediumGrid3-Accent3">
    <w:name w:val="Medium Grid 3 Accent 3"/>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4">
    <w:name w:val="Medium Grid 3 Accent 4"/>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E5E5E5"/>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969696"/>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969696"/>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969696"/>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969696"/>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CACACA"/>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CACACA"/>
      </w:tcPr>
    </w:tblStylePr>
  </w:style>
  <w:style w:type="table" w:styleId="MediumGrid3-Accent5">
    <w:name w:val="Medium Grid 3 Accent 5"/>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7D7D7"/>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5F5F5F"/>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5F5F5F"/>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5F5F5F"/>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5F5F5F"/>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FAFAF"/>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FAFAF"/>
      </w:tcPr>
    </w:tblStylePr>
  </w:style>
  <w:style w:type="table" w:styleId="MediumGrid3-Accent6">
    <w:name w:val="Medium Grid 3 Accent 6"/>
    <w:basedOn w:val="TableNormal"/>
    <w:uiPriority w:val="69"/>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insideH w:val="single" w:sz="6" w:space="0" w:color="0072BC"/>
        <w:insideV w:val="single" w:sz="6" w:space="0" w:color="0072BC"/>
      </w:tblBorders>
    </w:tblPr>
    <w:tcPr>
      <w:shd w:val="clear" w:color="auto" w:fill="D3D3D3"/>
    </w:tcPr>
    <w:tblStylePr w:type="firstRow">
      <w:rPr>
        <w:b/>
        <w:bCs/>
        <w:i w:val="0"/>
        <w:iCs w:val="0"/>
        <w:color w:val="0072BC"/>
      </w:rPr>
      <w:tblPr/>
      <w:tcPr>
        <w:tcBorders>
          <w:top w:val="single" w:sz="8" w:space="0" w:color="0072BC"/>
          <w:left w:val="single" w:sz="8" w:space="0" w:color="0072BC"/>
          <w:bottom w:val="single" w:sz="24" w:space="0" w:color="0072BC"/>
          <w:right w:val="single" w:sz="8" w:space="0" w:color="0072BC"/>
          <w:insideH w:val="nil"/>
          <w:insideV w:val="single" w:sz="8" w:space="0" w:color="0072BC"/>
        </w:tcBorders>
        <w:shd w:val="clear" w:color="auto" w:fill="4D4D4D"/>
      </w:tcPr>
    </w:tblStylePr>
    <w:tblStylePr w:type="lastRow">
      <w:rPr>
        <w:b/>
        <w:bCs/>
        <w:i w:val="0"/>
        <w:iCs w:val="0"/>
        <w:color w:val="0072BC"/>
      </w:rPr>
      <w:tblPr/>
      <w:tcPr>
        <w:tcBorders>
          <w:top w:val="single" w:sz="24" w:space="0" w:color="0072BC"/>
          <w:left w:val="single" w:sz="8" w:space="0" w:color="0072BC"/>
          <w:bottom w:val="single" w:sz="8" w:space="0" w:color="0072BC"/>
          <w:right w:val="single" w:sz="8" w:space="0" w:color="0072BC"/>
          <w:insideH w:val="nil"/>
          <w:insideV w:val="single" w:sz="8" w:space="0" w:color="0072BC"/>
        </w:tcBorders>
        <w:shd w:val="clear" w:color="auto" w:fill="4D4D4D"/>
      </w:tcPr>
    </w:tblStylePr>
    <w:tblStylePr w:type="firstCol">
      <w:rPr>
        <w:b/>
        <w:bCs/>
        <w:i w:val="0"/>
        <w:iCs w:val="0"/>
        <w:color w:val="0072BC"/>
      </w:rPr>
      <w:tblPr/>
      <w:tcPr>
        <w:tcBorders>
          <w:left w:val="single" w:sz="8" w:space="0" w:color="0072BC"/>
          <w:right w:val="single" w:sz="24" w:space="0" w:color="0072BC"/>
          <w:insideH w:val="nil"/>
          <w:insideV w:val="nil"/>
        </w:tcBorders>
        <w:shd w:val="clear" w:color="auto" w:fill="4D4D4D"/>
      </w:tcPr>
    </w:tblStylePr>
    <w:tblStylePr w:type="lastCol">
      <w:rPr>
        <w:b/>
        <w:bCs/>
        <w:i w:val="0"/>
        <w:iCs w:val="0"/>
        <w:color w:val="0072BC"/>
      </w:rPr>
      <w:tblPr/>
      <w:tcPr>
        <w:tcBorders>
          <w:top w:val="nil"/>
          <w:left w:val="single" w:sz="24" w:space="0" w:color="0072BC"/>
          <w:bottom w:val="nil"/>
          <w:right w:val="nil"/>
          <w:insideH w:val="nil"/>
          <w:insideV w:val="nil"/>
        </w:tcBorders>
        <w:shd w:val="clear" w:color="auto" w:fill="4D4D4D"/>
      </w:tcPr>
    </w:tblStylePr>
    <w:tblStylePr w:type="band1Vert">
      <w:tblPr/>
      <w:tcPr>
        <w:tcBorders>
          <w:top w:val="single" w:sz="8" w:space="0" w:color="0072BC"/>
          <w:left w:val="single" w:sz="8" w:space="0" w:color="0072BC"/>
          <w:bottom w:val="single" w:sz="8" w:space="0" w:color="0072BC"/>
          <w:right w:val="single" w:sz="8" w:space="0" w:color="0072BC"/>
          <w:insideH w:val="nil"/>
          <w:insideV w:val="nil"/>
        </w:tcBorders>
        <w:shd w:val="clear" w:color="auto" w:fill="A6A6A6"/>
      </w:tcPr>
    </w:tblStylePr>
    <w:tblStylePr w:type="band1Horz">
      <w:tblPr/>
      <w:tcPr>
        <w:tcBorders>
          <w:top w:val="single" w:sz="8" w:space="0" w:color="0072BC"/>
          <w:left w:val="single" w:sz="8" w:space="0" w:color="0072BC"/>
          <w:bottom w:val="single" w:sz="8" w:space="0" w:color="0072BC"/>
          <w:right w:val="single" w:sz="8" w:space="0" w:color="0072BC"/>
          <w:insideH w:val="single" w:sz="8" w:space="0" w:color="0072BC"/>
          <w:insideV w:val="single" w:sz="8" w:space="0" w:color="0072BC"/>
        </w:tcBorders>
        <w:shd w:val="clear" w:color="auto" w:fill="A6A6A6"/>
      </w:tcPr>
    </w:tblStylePr>
  </w:style>
  <w:style w:type="table" w:styleId="MediumList1">
    <w:name w:val="Medium List 1"/>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0000"/>
        <w:bottom w:val="single" w:sz="8" w:space="0" w:color="000000"/>
      </w:tblBorders>
    </w:tblPr>
    <w:tblStylePr w:type="firstRow">
      <w:rPr>
        <w:rFonts w:ascii="Times New Roman" w:eastAsia="MS Gothic" w:hAnsi="Times New Roman" w:cs="Times New Roman"/>
      </w:rPr>
      <w:tblPr/>
      <w:tcPr>
        <w:tcBorders>
          <w:top w:val="nil"/>
          <w:bottom w:val="single" w:sz="8" w:space="0" w:color="000000"/>
        </w:tcBorders>
      </w:tcPr>
    </w:tblStylePr>
    <w:tblStylePr w:type="lastRow">
      <w:rPr>
        <w:b/>
        <w:bCs/>
        <w:color w:val="C6C6C6"/>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0072BC"/>
        <w:bottom w:val="single" w:sz="8" w:space="0" w:color="0072BC"/>
      </w:tblBorders>
    </w:tblPr>
    <w:tblStylePr w:type="firstRow">
      <w:rPr>
        <w:rFonts w:ascii="Times New Roman" w:eastAsia="MS Gothic" w:hAnsi="Times New Roman" w:cs="Times New Roman"/>
      </w:rPr>
      <w:tblPr/>
      <w:tcPr>
        <w:tcBorders>
          <w:top w:val="nil"/>
          <w:bottom w:val="single" w:sz="8" w:space="0" w:color="0072BC"/>
        </w:tcBorders>
      </w:tcPr>
    </w:tblStylePr>
    <w:tblStylePr w:type="lastRow">
      <w:rPr>
        <w:b/>
        <w:bCs/>
        <w:color w:val="C6C6C6"/>
      </w:rPr>
      <w:tblPr/>
      <w:tcPr>
        <w:tcBorders>
          <w:top w:val="single" w:sz="8" w:space="0" w:color="0072BC"/>
          <w:bottom w:val="single" w:sz="8" w:space="0" w:color="0072BC"/>
        </w:tcBorders>
      </w:tcPr>
    </w:tblStylePr>
    <w:tblStylePr w:type="firstCol">
      <w:rPr>
        <w:b/>
        <w:bCs/>
      </w:rPr>
    </w:tblStylePr>
    <w:tblStylePr w:type="lastCol">
      <w:rPr>
        <w:b/>
        <w:bCs/>
      </w:rPr>
      <w:tblPr/>
      <w:tcPr>
        <w:tcBorders>
          <w:top w:val="single" w:sz="8" w:space="0" w:color="0072BC"/>
          <w:bottom w:val="single" w:sz="8" w:space="0" w:color="0072BC"/>
        </w:tcBorders>
      </w:tcPr>
    </w:tblStylePr>
    <w:tblStylePr w:type="band1Vert">
      <w:tblPr/>
      <w:tcPr>
        <w:shd w:val="clear" w:color="auto" w:fill="AFDFFF"/>
      </w:tcPr>
    </w:tblStylePr>
    <w:tblStylePr w:type="band1Horz">
      <w:tblPr/>
      <w:tcPr>
        <w:shd w:val="clear" w:color="auto" w:fill="AFDFFF"/>
      </w:tcPr>
    </w:tblStylePr>
  </w:style>
  <w:style w:type="table" w:styleId="MediumList1-Accent2">
    <w:name w:val="Medium List 1 Accent 2"/>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C00000"/>
        <w:bottom w:val="single" w:sz="8" w:space="0" w:color="C00000"/>
      </w:tblBorders>
    </w:tblPr>
    <w:tblStylePr w:type="firstRow">
      <w:rPr>
        <w:rFonts w:ascii="Times New Roman" w:eastAsia="MS Gothic" w:hAnsi="Times New Roman" w:cs="Times New Roman"/>
      </w:rPr>
      <w:tblPr/>
      <w:tcPr>
        <w:tcBorders>
          <w:top w:val="nil"/>
          <w:bottom w:val="single" w:sz="8" w:space="0" w:color="C00000"/>
        </w:tcBorders>
      </w:tcPr>
    </w:tblStylePr>
    <w:tblStylePr w:type="lastRow">
      <w:rPr>
        <w:b/>
        <w:bCs/>
        <w:color w:val="C6C6C6"/>
      </w:rPr>
      <w:tblPr/>
      <w:tcPr>
        <w:tcBorders>
          <w:top w:val="single" w:sz="8" w:space="0" w:color="C00000"/>
          <w:bottom w:val="single" w:sz="8" w:space="0" w:color="C00000"/>
        </w:tcBorders>
      </w:tcPr>
    </w:tblStylePr>
    <w:tblStylePr w:type="firstCol">
      <w:rPr>
        <w:b/>
        <w:bCs/>
      </w:rPr>
    </w:tblStylePr>
    <w:tblStylePr w:type="lastCol">
      <w:rPr>
        <w:b/>
        <w:bCs/>
      </w:rPr>
      <w:tblPr/>
      <w:tcPr>
        <w:tcBorders>
          <w:top w:val="single" w:sz="8" w:space="0" w:color="C00000"/>
          <w:bottom w:val="single" w:sz="8" w:space="0" w:color="C00000"/>
        </w:tcBorders>
      </w:tcPr>
    </w:tblStylePr>
    <w:tblStylePr w:type="band1Vert">
      <w:tblPr/>
      <w:tcPr>
        <w:shd w:val="clear" w:color="auto" w:fill="FFB0B0"/>
      </w:tcPr>
    </w:tblStylePr>
    <w:tblStylePr w:type="band1Horz">
      <w:tblPr/>
      <w:tcPr>
        <w:shd w:val="clear" w:color="auto" w:fill="FFB0B0"/>
      </w:tcPr>
    </w:tblStylePr>
  </w:style>
  <w:style w:type="table" w:styleId="MediumList1-Accent3">
    <w:name w:val="Medium List 1 Accent 3"/>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4">
    <w:name w:val="Medium List 1 Accent 4"/>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969696"/>
        <w:bottom w:val="single" w:sz="8" w:space="0" w:color="969696"/>
      </w:tblBorders>
    </w:tblPr>
    <w:tblStylePr w:type="firstRow">
      <w:rPr>
        <w:rFonts w:ascii="Times New Roman" w:eastAsia="MS Gothic" w:hAnsi="Times New Roman" w:cs="Times New Roman"/>
      </w:rPr>
      <w:tblPr/>
      <w:tcPr>
        <w:tcBorders>
          <w:top w:val="nil"/>
          <w:bottom w:val="single" w:sz="8" w:space="0" w:color="969696"/>
        </w:tcBorders>
      </w:tcPr>
    </w:tblStylePr>
    <w:tblStylePr w:type="lastRow">
      <w:rPr>
        <w:b/>
        <w:bCs/>
        <w:color w:val="C6C6C6"/>
      </w:rPr>
      <w:tblPr/>
      <w:tcPr>
        <w:tcBorders>
          <w:top w:val="single" w:sz="8" w:space="0" w:color="969696"/>
          <w:bottom w:val="single" w:sz="8" w:space="0" w:color="969696"/>
        </w:tcBorders>
      </w:tcPr>
    </w:tblStylePr>
    <w:tblStylePr w:type="firstCol">
      <w:rPr>
        <w:b/>
        <w:bCs/>
      </w:rPr>
    </w:tblStylePr>
    <w:tblStylePr w:type="lastCol">
      <w:rPr>
        <w:b/>
        <w:bCs/>
      </w:rPr>
      <w:tblPr/>
      <w:tcPr>
        <w:tcBorders>
          <w:top w:val="single" w:sz="8" w:space="0" w:color="969696"/>
          <w:bottom w:val="single" w:sz="8" w:space="0" w:color="969696"/>
        </w:tcBorders>
      </w:tcPr>
    </w:tblStylePr>
    <w:tblStylePr w:type="band1Vert">
      <w:tblPr/>
      <w:tcPr>
        <w:shd w:val="clear" w:color="auto" w:fill="E5E5E5"/>
      </w:tcPr>
    </w:tblStylePr>
    <w:tblStylePr w:type="band1Horz">
      <w:tblPr/>
      <w:tcPr>
        <w:shd w:val="clear" w:color="auto" w:fill="E5E5E5"/>
      </w:tcPr>
    </w:tblStylePr>
  </w:style>
  <w:style w:type="table" w:styleId="MediumList1-Accent5">
    <w:name w:val="Medium List 1 Accent 5"/>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5F5F5F"/>
        <w:bottom w:val="single" w:sz="8" w:space="0" w:color="5F5F5F"/>
      </w:tblBorders>
    </w:tblPr>
    <w:tblStylePr w:type="firstRow">
      <w:rPr>
        <w:rFonts w:ascii="Times New Roman" w:eastAsia="MS Gothic" w:hAnsi="Times New Roman" w:cs="Times New Roman"/>
      </w:rPr>
      <w:tblPr/>
      <w:tcPr>
        <w:tcBorders>
          <w:top w:val="nil"/>
          <w:bottom w:val="single" w:sz="8" w:space="0" w:color="5F5F5F"/>
        </w:tcBorders>
      </w:tcPr>
    </w:tblStylePr>
    <w:tblStylePr w:type="lastRow">
      <w:rPr>
        <w:b/>
        <w:bCs/>
        <w:color w:val="C6C6C6"/>
      </w:rPr>
      <w:tblPr/>
      <w:tcPr>
        <w:tcBorders>
          <w:top w:val="single" w:sz="8" w:space="0" w:color="5F5F5F"/>
          <w:bottom w:val="single" w:sz="8" w:space="0" w:color="5F5F5F"/>
        </w:tcBorders>
      </w:tcPr>
    </w:tblStylePr>
    <w:tblStylePr w:type="firstCol">
      <w:rPr>
        <w:b/>
        <w:bCs/>
      </w:rPr>
    </w:tblStylePr>
    <w:tblStylePr w:type="lastCol">
      <w:rPr>
        <w:b/>
        <w:bCs/>
      </w:rPr>
      <w:tblPr/>
      <w:tcPr>
        <w:tcBorders>
          <w:top w:val="single" w:sz="8" w:space="0" w:color="5F5F5F"/>
          <w:bottom w:val="single" w:sz="8" w:space="0" w:color="5F5F5F"/>
        </w:tcBorders>
      </w:tcPr>
    </w:tblStylePr>
    <w:tblStylePr w:type="band1Vert">
      <w:tblPr/>
      <w:tcPr>
        <w:shd w:val="clear" w:color="auto" w:fill="D7D7D7"/>
      </w:tcPr>
    </w:tblStylePr>
    <w:tblStylePr w:type="band1Horz">
      <w:tblPr/>
      <w:tcPr>
        <w:shd w:val="clear" w:color="auto" w:fill="D7D7D7"/>
      </w:tcPr>
    </w:tblStylePr>
  </w:style>
  <w:style w:type="table" w:styleId="MediumList1-Accent6">
    <w:name w:val="Medium List 1 Accent 6"/>
    <w:basedOn w:val="TableNormal"/>
    <w:uiPriority w:val="65"/>
    <w:rsid w:val="00391EA1"/>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8" w:space="0" w:color="4D4D4D"/>
        <w:bottom w:val="single" w:sz="8" w:space="0" w:color="4D4D4D"/>
      </w:tblBorders>
    </w:tblPr>
    <w:tblStylePr w:type="firstRow">
      <w:rPr>
        <w:rFonts w:ascii="Times New Roman" w:eastAsia="MS Gothic" w:hAnsi="Times New Roman" w:cs="Times New Roman"/>
      </w:rPr>
      <w:tblPr/>
      <w:tcPr>
        <w:tcBorders>
          <w:top w:val="nil"/>
          <w:bottom w:val="single" w:sz="8" w:space="0" w:color="4D4D4D"/>
        </w:tcBorders>
      </w:tcPr>
    </w:tblStylePr>
    <w:tblStylePr w:type="lastRow">
      <w:rPr>
        <w:b/>
        <w:bCs/>
        <w:color w:val="C6C6C6"/>
      </w:rPr>
      <w:tblPr/>
      <w:tcPr>
        <w:tcBorders>
          <w:top w:val="single" w:sz="8" w:space="0" w:color="4D4D4D"/>
          <w:bottom w:val="single" w:sz="8" w:space="0" w:color="4D4D4D"/>
        </w:tcBorders>
      </w:tcPr>
    </w:tblStylePr>
    <w:tblStylePr w:type="firstCol">
      <w:rPr>
        <w:b/>
        <w:bCs/>
      </w:rPr>
    </w:tblStylePr>
    <w:tblStylePr w:type="lastCol">
      <w:rPr>
        <w:b/>
        <w:bCs/>
      </w:rPr>
      <w:tblPr/>
      <w:tcPr>
        <w:tcBorders>
          <w:top w:val="single" w:sz="8" w:space="0" w:color="4D4D4D"/>
          <w:bottom w:val="single" w:sz="8" w:space="0" w:color="4D4D4D"/>
        </w:tcBorders>
      </w:tcPr>
    </w:tblStylePr>
    <w:tblStylePr w:type="band1Vert">
      <w:tblPr/>
      <w:tcPr>
        <w:shd w:val="clear" w:color="auto" w:fill="D3D3D3"/>
      </w:tcPr>
    </w:tblStylePr>
    <w:tblStylePr w:type="band1Horz">
      <w:tblPr/>
      <w:tcPr>
        <w:shd w:val="clear" w:color="auto" w:fill="D3D3D3"/>
      </w:tcPr>
    </w:tblStylePr>
  </w:style>
  <w:style w:type="table" w:styleId="MediumList2">
    <w:name w:val="Medium List 2"/>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0072BC"/>
      </w:tcPr>
    </w:tblStylePr>
    <w:tblStylePr w:type="lastRow">
      <w:tblPr/>
      <w:tcPr>
        <w:tcBorders>
          <w:top w:val="single" w:sz="8" w:space="0" w:color="0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000000"/>
          <w:insideH w:val="nil"/>
          <w:insideV w:val="nil"/>
        </w:tcBorders>
        <w:shd w:val="clear" w:color="auto" w:fill="0072BC"/>
      </w:tcPr>
    </w:tblStylePr>
    <w:tblStylePr w:type="lastCol">
      <w:tblPr/>
      <w:tcPr>
        <w:tcBorders>
          <w:top w:val="nil"/>
          <w:left w:val="single" w:sz="8" w:space="0" w:color="0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0072BC"/>
      </w:tcPr>
    </w:tblStylePr>
    <w:tblStylePr w:type="swCell">
      <w:tblPr/>
      <w:tcPr>
        <w:tcBorders>
          <w:top w:val="nil"/>
        </w:tcBorders>
      </w:tcPr>
    </w:tblStylePr>
  </w:style>
  <w:style w:type="table" w:styleId="MediumList2-Accent1">
    <w:name w:val="Medium List 2 Accent 1"/>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0072BC"/>
        <w:left w:val="single" w:sz="8" w:space="0" w:color="0072BC"/>
        <w:bottom w:val="single" w:sz="8" w:space="0" w:color="0072BC"/>
        <w:right w:val="single" w:sz="8" w:space="0" w:color="0072BC"/>
      </w:tblBorders>
    </w:tblPr>
    <w:tblStylePr w:type="firstRow">
      <w:rPr>
        <w:sz w:val="24"/>
        <w:szCs w:val="24"/>
      </w:rPr>
      <w:tblPr/>
      <w:tcPr>
        <w:tcBorders>
          <w:top w:val="nil"/>
          <w:left w:val="nil"/>
          <w:bottom w:val="single" w:sz="24" w:space="0" w:color="0072BC"/>
          <w:right w:val="nil"/>
          <w:insideH w:val="nil"/>
          <w:insideV w:val="nil"/>
        </w:tcBorders>
        <w:shd w:val="clear" w:color="auto" w:fill="0072BC"/>
      </w:tcPr>
    </w:tblStylePr>
    <w:tblStylePr w:type="lastRow">
      <w:tblPr/>
      <w:tcPr>
        <w:tcBorders>
          <w:top w:val="single" w:sz="8" w:space="0" w:color="0072BC"/>
          <w:left w:val="nil"/>
          <w:bottom w:val="nil"/>
          <w:right w:val="nil"/>
          <w:insideH w:val="nil"/>
          <w:insideV w:val="nil"/>
        </w:tcBorders>
        <w:shd w:val="clear" w:color="auto" w:fill="0072BC"/>
      </w:tcPr>
    </w:tblStylePr>
    <w:tblStylePr w:type="firstCol">
      <w:tblPr/>
      <w:tcPr>
        <w:tcBorders>
          <w:top w:val="nil"/>
          <w:left w:val="nil"/>
          <w:bottom w:val="nil"/>
          <w:right w:val="single" w:sz="8" w:space="0" w:color="0072BC"/>
          <w:insideH w:val="nil"/>
          <w:insideV w:val="nil"/>
        </w:tcBorders>
        <w:shd w:val="clear" w:color="auto" w:fill="0072BC"/>
      </w:tcPr>
    </w:tblStylePr>
    <w:tblStylePr w:type="lastCol">
      <w:tblPr/>
      <w:tcPr>
        <w:tcBorders>
          <w:top w:val="nil"/>
          <w:left w:val="single" w:sz="8" w:space="0" w:color="0072BC"/>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AFDFFF"/>
      </w:tcPr>
    </w:tblStylePr>
    <w:tblStylePr w:type="band1Horz">
      <w:tblPr/>
      <w:tcPr>
        <w:tcBorders>
          <w:top w:val="nil"/>
          <w:bottom w:val="nil"/>
          <w:insideH w:val="nil"/>
          <w:insideV w:val="nil"/>
        </w:tcBorders>
        <w:shd w:val="clear" w:color="auto" w:fill="AFDFFF"/>
      </w:tcPr>
    </w:tblStylePr>
    <w:tblStylePr w:type="nwCell">
      <w:tblPr/>
      <w:tcPr>
        <w:shd w:val="clear" w:color="auto" w:fill="0072BC"/>
      </w:tcPr>
    </w:tblStylePr>
    <w:tblStylePr w:type="swCell">
      <w:tblPr/>
      <w:tcPr>
        <w:tcBorders>
          <w:top w:val="nil"/>
        </w:tcBorders>
      </w:tcPr>
    </w:tblStylePr>
  </w:style>
  <w:style w:type="table" w:styleId="MediumList2-Accent2">
    <w:name w:val="Medium List 2 Accent 2"/>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C00000"/>
        <w:left w:val="single" w:sz="8" w:space="0" w:color="C00000"/>
        <w:bottom w:val="single" w:sz="8" w:space="0" w:color="C00000"/>
        <w:right w:val="single" w:sz="8" w:space="0" w:color="C00000"/>
      </w:tblBorders>
    </w:tblPr>
    <w:tblStylePr w:type="firstRow">
      <w:rPr>
        <w:sz w:val="24"/>
        <w:szCs w:val="24"/>
      </w:rPr>
      <w:tblPr/>
      <w:tcPr>
        <w:tcBorders>
          <w:top w:val="nil"/>
          <w:left w:val="nil"/>
          <w:bottom w:val="single" w:sz="24" w:space="0" w:color="C00000"/>
          <w:right w:val="nil"/>
          <w:insideH w:val="nil"/>
          <w:insideV w:val="nil"/>
        </w:tcBorders>
        <w:shd w:val="clear" w:color="auto" w:fill="0072BC"/>
      </w:tcPr>
    </w:tblStylePr>
    <w:tblStylePr w:type="lastRow">
      <w:tblPr/>
      <w:tcPr>
        <w:tcBorders>
          <w:top w:val="single" w:sz="8" w:space="0" w:color="C00000"/>
          <w:left w:val="nil"/>
          <w:bottom w:val="nil"/>
          <w:right w:val="nil"/>
          <w:insideH w:val="nil"/>
          <w:insideV w:val="nil"/>
        </w:tcBorders>
        <w:shd w:val="clear" w:color="auto" w:fill="0072BC"/>
      </w:tcPr>
    </w:tblStylePr>
    <w:tblStylePr w:type="firstCol">
      <w:tblPr/>
      <w:tcPr>
        <w:tcBorders>
          <w:top w:val="nil"/>
          <w:left w:val="nil"/>
          <w:bottom w:val="nil"/>
          <w:right w:val="single" w:sz="8" w:space="0" w:color="C00000"/>
          <w:insideH w:val="nil"/>
          <w:insideV w:val="nil"/>
        </w:tcBorders>
        <w:shd w:val="clear" w:color="auto" w:fill="0072BC"/>
      </w:tcPr>
    </w:tblStylePr>
    <w:tblStylePr w:type="lastCol">
      <w:tblPr/>
      <w:tcPr>
        <w:tcBorders>
          <w:top w:val="nil"/>
          <w:left w:val="single" w:sz="8" w:space="0" w:color="C00000"/>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FFB0B0"/>
      </w:tcPr>
    </w:tblStylePr>
    <w:tblStylePr w:type="band1Horz">
      <w:tblPr/>
      <w:tcPr>
        <w:tcBorders>
          <w:top w:val="nil"/>
          <w:bottom w:val="nil"/>
          <w:insideH w:val="nil"/>
          <w:insideV w:val="nil"/>
        </w:tcBorders>
        <w:shd w:val="clear" w:color="auto" w:fill="FFB0B0"/>
      </w:tcPr>
    </w:tblStylePr>
    <w:tblStylePr w:type="nwCell">
      <w:tblPr/>
      <w:tcPr>
        <w:shd w:val="clear" w:color="auto" w:fill="0072BC"/>
      </w:tcPr>
    </w:tblStylePr>
    <w:tblStylePr w:type="swCell">
      <w:tblPr/>
      <w:tcPr>
        <w:tcBorders>
          <w:top w:val="nil"/>
        </w:tcBorders>
      </w:tcPr>
    </w:tblStylePr>
  </w:style>
  <w:style w:type="table" w:styleId="MediumList2-Accent3">
    <w:name w:val="Medium List 2 Accent 3"/>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4">
    <w:name w:val="Medium List 2 Accent 4"/>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969696"/>
        <w:left w:val="single" w:sz="8" w:space="0" w:color="969696"/>
        <w:bottom w:val="single" w:sz="8" w:space="0" w:color="969696"/>
        <w:right w:val="single" w:sz="8" w:space="0" w:color="969696"/>
      </w:tblBorders>
    </w:tblPr>
    <w:tblStylePr w:type="firstRow">
      <w:rPr>
        <w:sz w:val="24"/>
        <w:szCs w:val="24"/>
      </w:rPr>
      <w:tblPr/>
      <w:tcPr>
        <w:tcBorders>
          <w:top w:val="nil"/>
          <w:left w:val="nil"/>
          <w:bottom w:val="single" w:sz="24" w:space="0" w:color="969696"/>
          <w:right w:val="nil"/>
          <w:insideH w:val="nil"/>
          <w:insideV w:val="nil"/>
        </w:tcBorders>
        <w:shd w:val="clear" w:color="auto" w:fill="0072BC"/>
      </w:tcPr>
    </w:tblStylePr>
    <w:tblStylePr w:type="lastRow">
      <w:tblPr/>
      <w:tcPr>
        <w:tcBorders>
          <w:top w:val="single" w:sz="8" w:space="0" w:color="969696"/>
          <w:left w:val="nil"/>
          <w:bottom w:val="nil"/>
          <w:right w:val="nil"/>
          <w:insideH w:val="nil"/>
          <w:insideV w:val="nil"/>
        </w:tcBorders>
        <w:shd w:val="clear" w:color="auto" w:fill="0072BC"/>
      </w:tcPr>
    </w:tblStylePr>
    <w:tblStylePr w:type="firstCol">
      <w:tblPr/>
      <w:tcPr>
        <w:tcBorders>
          <w:top w:val="nil"/>
          <w:left w:val="nil"/>
          <w:bottom w:val="nil"/>
          <w:right w:val="single" w:sz="8" w:space="0" w:color="969696"/>
          <w:insideH w:val="nil"/>
          <w:insideV w:val="nil"/>
        </w:tcBorders>
        <w:shd w:val="clear" w:color="auto" w:fill="0072BC"/>
      </w:tcPr>
    </w:tblStylePr>
    <w:tblStylePr w:type="lastCol">
      <w:tblPr/>
      <w:tcPr>
        <w:tcBorders>
          <w:top w:val="nil"/>
          <w:left w:val="single" w:sz="8" w:space="0" w:color="969696"/>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E5E5E5"/>
      </w:tcPr>
    </w:tblStylePr>
    <w:tblStylePr w:type="band1Horz">
      <w:tblPr/>
      <w:tcPr>
        <w:tcBorders>
          <w:top w:val="nil"/>
          <w:bottom w:val="nil"/>
          <w:insideH w:val="nil"/>
          <w:insideV w:val="nil"/>
        </w:tcBorders>
        <w:shd w:val="clear" w:color="auto" w:fill="E5E5E5"/>
      </w:tcPr>
    </w:tblStylePr>
    <w:tblStylePr w:type="nwCell">
      <w:tblPr/>
      <w:tcPr>
        <w:shd w:val="clear" w:color="auto" w:fill="0072BC"/>
      </w:tcPr>
    </w:tblStylePr>
    <w:tblStylePr w:type="swCell">
      <w:tblPr/>
      <w:tcPr>
        <w:tcBorders>
          <w:top w:val="nil"/>
        </w:tcBorders>
      </w:tcPr>
    </w:tblStylePr>
  </w:style>
  <w:style w:type="table" w:styleId="MediumList2-Accent5">
    <w:name w:val="Medium List 2 Accent 5"/>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5F5F5F"/>
        <w:left w:val="single" w:sz="8" w:space="0" w:color="5F5F5F"/>
        <w:bottom w:val="single" w:sz="8" w:space="0" w:color="5F5F5F"/>
        <w:right w:val="single" w:sz="8" w:space="0" w:color="5F5F5F"/>
      </w:tblBorders>
    </w:tblPr>
    <w:tblStylePr w:type="firstRow">
      <w:rPr>
        <w:sz w:val="24"/>
        <w:szCs w:val="24"/>
      </w:rPr>
      <w:tblPr/>
      <w:tcPr>
        <w:tcBorders>
          <w:top w:val="nil"/>
          <w:left w:val="nil"/>
          <w:bottom w:val="single" w:sz="24" w:space="0" w:color="5F5F5F"/>
          <w:right w:val="nil"/>
          <w:insideH w:val="nil"/>
          <w:insideV w:val="nil"/>
        </w:tcBorders>
        <w:shd w:val="clear" w:color="auto" w:fill="0072BC"/>
      </w:tcPr>
    </w:tblStylePr>
    <w:tblStylePr w:type="lastRow">
      <w:tblPr/>
      <w:tcPr>
        <w:tcBorders>
          <w:top w:val="single" w:sz="8" w:space="0" w:color="5F5F5F"/>
          <w:left w:val="nil"/>
          <w:bottom w:val="nil"/>
          <w:right w:val="nil"/>
          <w:insideH w:val="nil"/>
          <w:insideV w:val="nil"/>
        </w:tcBorders>
        <w:shd w:val="clear" w:color="auto" w:fill="0072BC"/>
      </w:tcPr>
    </w:tblStylePr>
    <w:tblStylePr w:type="firstCol">
      <w:tblPr/>
      <w:tcPr>
        <w:tcBorders>
          <w:top w:val="nil"/>
          <w:left w:val="nil"/>
          <w:bottom w:val="nil"/>
          <w:right w:val="single" w:sz="8" w:space="0" w:color="5F5F5F"/>
          <w:insideH w:val="nil"/>
          <w:insideV w:val="nil"/>
        </w:tcBorders>
        <w:shd w:val="clear" w:color="auto" w:fill="0072BC"/>
      </w:tcPr>
    </w:tblStylePr>
    <w:tblStylePr w:type="lastCol">
      <w:tblPr/>
      <w:tcPr>
        <w:tcBorders>
          <w:top w:val="nil"/>
          <w:left w:val="single" w:sz="8" w:space="0" w:color="5F5F5F"/>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7D7D7"/>
      </w:tcPr>
    </w:tblStylePr>
    <w:tblStylePr w:type="band1Horz">
      <w:tblPr/>
      <w:tcPr>
        <w:tcBorders>
          <w:top w:val="nil"/>
          <w:bottom w:val="nil"/>
          <w:insideH w:val="nil"/>
          <w:insideV w:val="nil"/>
        </w:tcBorders>
        <w:shd w:val="clear" w:color="auto" w:fill="D7D7D7"/>
      </w:tcPr>
    </w:tblStylePr>
    <w:tblStylePr w:type="nwCell">
      <w:tblPr/>
      <w:tcPr>
        <w:shd w:val="clear" w:color="auto" w:fill="0072BC"/>
      </w:tcPr>
    </w:tblStylePr>
    <w:tblStylePr w:type="swCell">
      <w:tblPr/>
      <w:tcPr>
        <w:tcBorders>
          <w:top w:val="nil"/>
        </w:tcBorders>
      </w:tcPr>
    </w:tblStylePr>
  </w:style>
  <w:style w:type="table" w:styleId="MediumList2-Accent6">
    <w:name w:val="Medium List 2 Accent 6"/>
    <w:basedOn w:val="TableNormal"/>
    <w:uiPriority w:val="66"/>
    <w:rsid w:val="00391EA1"/>
    <w:pPr>
      <w:spacing w:after="0" w:line="240" w:lineRule="auto"/>
    </w:pPr>
    <w:rPr>
      <w:rFonts w:ascii="Times New Roman" w:eastAsia="MS Gothic" w:hAnsi="Times New Roman" w:cs="Times New Roman"/>
      <w:color w:val="000000"/>
      <w:kern w:val="0"/>
      <w:sz w:val="20"/>
      <w:szCs w:val="20"/>
      <w14:ligatures w14:val="none"/>
    </w:rPr>
    <w:tblPr>
      <w:tblStyleRowBandSize w:val="1"/>
      <w:tblStyleColBandSize w:val="1"/>
      <w:tblBorders>
        <w:top w:val="single" w:sz="8" w:space="0" w:color="4D4D4D"/>
        <w:left w:val="single" w:sz="8" w:space="0" w:color="4D4D4D"/>
        <w:bottom w:val="single" w:sz="8" w:space="0" w:color="4D4D4D"/>
        <w:right w:val="single" w:sz="8" w:space="0" w:color="4D4D4D"/>
      </w:tblBorders>
    </w:tblPr>
    <w:tblStylePr w:type="firstRow">
      <w:rPr>
        <w:sz w:val="24"/>
        <w:szCs w:val="24"/>
      </w:rPr>
      <w:tblPr/>
      <w:tcPr>
        <w:tcBorders>
          <w:top w:val="nil"/>
          <w:left w:val="nil"/>
          <w:bottom w:val="single" w:sz="24" w:space="0" w:color="4D4D4D"/>
          <w:right w:val="nil"/>
          <w:insideH w:val="nil"/>
          <w:insideV w:val="nil"/>
        </w:tcBorders>
        <w:shd w:val="clear" w:color="auto" w:fill="0072BC"/>
      </w:tcPr>
    </w:tblStylePr>
    <w:tblStylePr w:type="lastRow">
      <w:tblPr/>
      <w:tcPr>
        <w:tcBorders>
          <w:top w:val="single" w:sz="8" w:space="0" w:color="4D4D4D"/>
          <w:left w:val="nil"/>
          <w:bottom w:val="nil"/>
          <w:right w:val="nil"/>
          <w:insideH w:val="nil"/>
          <w:insideV w:val="nil"/>
        </w:tcBorders>
        <w:shd w:val="clear" w:color="auto" w:fill="0072BC"/>
      </w:tcPr>
    </w:tblStylePr>
    <w:tblStylePr w:type="firstCol">
      <w:tblPr/>
      <w:tcPr>
        <w:tcBorders>
          <w:top w:val="nil"/>
          <w:left w:val="nil"/>
          <w:bottom w:val="nil"/>
          <w:right w:val="single" w:sz="8" w:space="0" w:color="4D4D4D"/>
          <w:insideH w:val="nil"/>
          <w:insideV w:val="nil"/>
        </w:tcBorders>
        <w:shd w:val="clear" w:color="auto" w:fill="0072BC"/>
      </w:tcPr>
    </w:tblStylePr>
    <w:tblStylePr w:type="lastCol">
      <w:tblPr/>
      <w:tcPr>
        <w:tcBorders>
          <w:top w:val="nil"/>
          <w:left w:val="single" w:sz="8" w:space="0" w:color="4D4D4D"/>
          <w:bottom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D3D3D3"/>
      </w:tcPr>
    </w:tblStylePr>
    <w:tblStylePr w:type="band1Horz">
      <w:tblPr/>
      <w:tcPr>
        <w:tcBorders>
          <w:top w:val="nil"/>
          <w:bottom w:val="nil"/>
          <w:insideH w:val="nil"/>
          <w:insideV w:val="nil"/>
        </w:tcBorders>
        <w:shd w:val="clear" w:color="auto" w:fill="D3D3D3"/>
      </w:tcPr>
    </w:tblStylePr>
    <w:tblStylePr w:type="nwCell">
      <w:tblPr/>
      <w:tcPr>
        <w:shd w:val="clear" w:color="auto" w:fill="0072BC"/>
      </w:tcPr>
    </w:tblStylePr>
    <w:tblStylePr w:type="swCell">
      <w:tblPr/>
      <w:tcPr>
        <w:tcBorders>
          <w:top w:val="nil"/>
        </w:tcBorders>
      </w:tcPr>
    </w:tblStylePr>
  </w:style>
  <w:style w:type="table" w:styleId="MediumShading1">
    <w:name w:val="Medium Shading 1"/>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0072BC"/>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0D9FFF"/>
        <w:left w:val="single" w:sz="8" w:space="0" w:color="0D9FFF"/>
        <w:bottom w:val="single" w:sz="8" w:space="0" w:color="0D9FFF"/>
        <w:right w:val="single" w:sz="8" w:space="0" w:color="0D9FFF"/>
        <w:insideH w:val="single" w:sz="8" w:space="0" w:color="0D9FFF"/>
      </w:tblBorders>
    </w:tblPr>
    <w:tblStylePr w:type="firstRow">
      <w:pPr>
        <w:spacing w:before="0" w:after="0" w:line="240" w:lineRule="auto"/>
      </w:pPr>
      <w:rPr>
        <w:b/>
        <w:bCs/>
        <w:color w:val="0072BC"/>
      </w:rPr>
      <w:tblPr/>
      <w:tcPr>
        <w:tcBorders>
          <w:top w:val="single" w:sz="8" w:space="0" w:color="0D9FFF"/>
          <w:left w:val="single" w:sz="8" w:space="0" w:color="0D9FFF"/>
          <w:bottom w:val="single" w:sz="8" w:space="0" w:color="0D9FFF"/>
          <w:right w:val="single" w:sz="8" w:space="0" w:color="0D9FFF"/>
          <w:insideH w:val="nil"/>
          <w:insideV w:val="nil"/>
        </w:tcBorders>
        <w:shd w:val="clear" w:color="auto" w:fill="0072BC"/>
      </w:tcPr>
    </w:tblStylePr>
    <w:tblStylePr w:type="lastRow">
      <w:pPr>
        <w:spacing w:before="0" w:after="0" w:line="240" w:lineRule="auto"/>
      </w:pPr>
      <w:rPr>
        <w:b/>
        <w:bCs/>
      </w:rPr>
      <w:tblPr/>
      <w:tcPr>
        <w:tcBorders>
          <w:top w:val="double" w:sz="6" w:space="0" w:color="0D9FFF"/>
          <w:left w:val="single" w:sz="8" w:space="0" w:color="0D9FFF"/>
          <w:bottom w:val="single" w:sz="8" w:space="0" w:color="0D9FFF"/>
          <w:right w:val="single" w:sz="8" w:space="0" w:color="0D9FFF"/>
          <w:insideH w:val="nil"/>
          <w:insideV w:val="nil"/>
        </w:tcBorders>
      </w:tcPr>
    </w:tblStylePr>
    <w:tblStylePr w:type="firstCol">
      <w:rPr>
        <w:b/>
        <w:bCs/>
      </w:rPr>
    </w:tblStylePr>
    <w:tblStylePr w:type="lastCol">
      <w:rPr>
        <w:b/>
        <w:bCs/>
      </w:rPr>
    </w:tblStylePr>
    <w:tblStylePr w:type="band1Vert">
      <w:tblPr/>
      <w:tcPr>
        <w:shd w:val="clear" w:color="auto" w:fill="AFDFFF"/>
      </w:tcPr>
    </w:tblStylePr>
    <w:tblStylePr w:type="band1Horz">
      <w:tblPr/>
      <w:tcPr>
        <w:tcBorders>
          <w:insideH w:val="nil"/>
          <w:insideV w:val="nil"/>
        </w:tcBorders>
        <w:shd w:val="clear" w:color="auto" w:fill="AFDFF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FF1010"/>
        <w:left w:val="single" w:sz="8" w:space="0" w:color="FF1010"/>
        <w:bottom w:val="single" w:sz="8" w:space="0" w:color="FF1010"/>
        <w:right w:val="single" w:sz="8" w:space="0" w:color="FF1010"/>
        <w:insideH w:val="single" w:sz="8" w:space="0" w:color="FF1010"/>
      </w:tblBorders>
    </w:tblPr>
    <w:tblStylePr w:type="firstRow">
      <w:pPr>
        <w:spacing w:before="0" w:after="0" w:line="240" w:lineRule="auto"/>
      </w:pPr>
      <w:rPr>
        <w:b/>
        <w:bCs/>
        <w:color w:val="0072BC"/>
      </w:rPr>
      <w:tblPr/>
      <w:tcPr>
        <w:tcBorders>
          <w:top w:val="single" w:sz="8" w:space="0" w:color="FF1010"/>
          <w:left w:val="single" w:sz="8" w:space="0" w:color="FF1010"/>
          <w:bottom w:val="single" w:sz="8" w:space="0" w:color="FF1010"/>
          <w:right w:val="single" w:sz="8" w:space="0" w:color="FF1010"/>
          <w:insideH w:val="nil"/>
          <w:insideV w:val="nil"/>
        </w:tcBorders>
        <w:shd w:val="clear" w:color="auto" w:fill="C00000"/>
      </w:tcPr>
    </w:tblStylePr>
    <w:tblStylePr w:type="lastRow">
      <w:pPr>
        <w:spacing w:before="0" w:after="0" w:line="240" w:lineRule="auto"/>
      </w:pPr>
      <w:rPr>
        <w:b/>
        <w:bCs/>
      </w:rPr>
      <w:tblPr/>
      <w:tcPr>
        <w:tcBorders>
          <w:top w:val="double" w:sz="6" w:space="0" w:color="FF1010"/>
          <w:left w:val="single" w:sz="8" w:space="0" w:color="FF1010"/>
          <w:bottom w:val="single" w:sz="8" w:space="0" w:color="FF1010"/>
          <w:right w:val="single" w:sz="8" w:space="0" w:color="FF1010"/>
          <w:insideH w:val="nil"/>
          <w:insideV w:val="nil"/>
        </w:tcBorders>
      </w:tcPr>
    </w:tblStylePr>
    <w:tblStylePr w:type="firstCol">
      <w:rPr>
        <w:b/>
        <w:bCs/>
      </w:rPr>
    </w:tblStylePr>
    <w:tblStylePr w:type="lastCol">
      <w:rPr>
        <w:b/>
        <w:bCs/>
      </w:rPr>
    </w:tblStylePr>
    <w:tblStylePr w:type="band1Vert">
      <w:tblPr/>
      <w:tcPr>
        <w:shd w:val="clear" w:color="auto" w:fill="FFB0B0"/>
      </w:tcPr>
    </w:tblStylePr>
    <w:tblStylePr w:type="band1Horz">
      <w:tblPr/>
      <w:tcPr>
        <w:tcBorders>
          <w:insideH w:val="nil"/>
          <w:insideV w:val="nil"/>
        </w:tcBorders>
        <w:shd w:val="clear" w:color="auto" w:fill="FFB0B0"/>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B0B0B0"/>
        <w:left w:val="single" w:sz="8" w:space="0" w:color="B0B0B0"/>
        <w:bottom w:val="single" w:sz="8" w:space="0" w:color="B0B0B0"/>
        <w:right w:val="single" w:sz="8" w:space="0" w:color="B0B0B0"/>
        <w:insideH w:val="single" w:sz="8" w:space="0" w:color="B0B0B0"/>
      </w:tblBorders>
    </w:tblPr>
    <w:tblStylePr w:type="firstRow">
      <w:pPr>
        <w:spacing w:before="0" w:after="0" w:line="240" w:lineRule="auto"/>
      </w:pPr>
      <w:rPr>
        <w:b/>
        <w:bCs/>
        <w:color w:val="0072BC"/>
      </w:rPr>
      <w:tblPr/>
      <w:tcPr>
        <w:tcBorders>
          <w:top w:val="single" w:sz="8" w:space="0" w:color="B0B0B0"/>
          <w:left w:val="single" w:sz="8" w:space="0" w:color="B0B0B0"/>
          <w:bottom w:val="single" w:sz="8" w:space="0" w:color="B0B0B0"/>
          <w:right w:val="single" w:sz="8" w:space="0" w:color="B0B0B0"/>
          <w:insideH w:val="nil"/>
          <w:insideV w:val="nil"/>
        </w:tcBorders>
        <w:shd w:val="clear" w:color="auto" w:fill="969696"/>
      </w:tcPr>
    </w:tblStylePr>
    <w:tblStylePr w:type="lastRow">
      <w:pPr>
        <w:spacing w:before="0" w:after="0" w:line="240" w:lineRule="auto"/>
      </w:pPr>
      <w:rPr>
        <w:b/>
        <w:bCs/>
      </w:rPr>
      <w:tblPr/>
      <w:tcPr>
        <w:tcBorders>
          <w:top w:val="double" w:sz="6" w:space="0" w:color="B0B0B0"/>
          <w:left w:val="single" w:sz="8" w:space="0" w:color="B0B0B0"/>
          <w:bottom w:val="single" w:sz="8" w:space="0" w:color="B0B0B0"/>
          <w:right w:val="single" w:sz="8" w:space="0" w:color="B0B0B0"/>
          <w:insideH w:val="nil"/>
          <w:insideV w:val="nil"/>
        </w:tcBorders>
      </w:tcPr>
    </w:tblStylePr>
    <w:tblStylePr w:type="firstCol">
      <w:rPr>
        <w:b/>
        <w:bCs/>
      </w:rPr>
    </w:tblStylePr>
    <w:tblStylePr w:type="lastCol">
      <w:rPr>
        <w:b/>
        <w:bCs/>
      </w:rPr>
    </w:tblStylePr>
    <w:tblStylePr w:type="band1Vert">
      <w:tblPr/>
      <w:tcPr>
        <w:shd w:val="clear" w:color="auto" w:fill="E5E5E5"/>
      </w:tcPr>
    </w:tblStylePr>
    <w:tblStylePr w:type="band1Horz">
      <w:tblPr/>
      <w:tcPr>
        <w:tcBorders>
          <w:insideH w:val="nil"/>
          <w:insideV w:val="nil"/>
        </w:tcBorders>
        <w:shd w:val="clear" w:color="auto" w:fill="E5E5E5"/>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878787"/>
        <w:left w:val="single" w:sz="8" w:space="0" w:color="878787"/>
        <w:bottom w:val="single" w:sz="8" w:space="0" w:color="878787"/>
        <w:right w:val="single" w:sz="8" w:space="0" w:color="878787"/>
        <w:insideH w:val="single" w:sz="8" w:space="0" w:color="878787"/>
      </w:tblBorders>
    </w:tblPr>
    <w:tblStylePr w:type="firstRow">
      <w:pPr>
        <w:spacing w:before="0" w:after="0" w:line="240" w:lineRule="auto"/>
      </w:pPr>
      <w:rPr>
        <w:b/>
        <w:bCs/>
        <w:color w:val="0072BC"/>
      </w:rPr>
      <w:tblPr/>
      <w:tcPr>
        <w:tcBorders>
          <w:top w:val="single" w:sz="8" w:space="0" w:color="878787"/>
          <w:left w:val="single" w:sz="8" w:space="0" w:color="878787"/>
          <w:bottom w:val="single" w:sz="8" w:space="0" w:color="878787"/>
          <w:right w:val="single" w:sz="8" w:space="0" w:color="878787"/>
          <w:insideH w:val="nil"/>
          <w:insideV w:val="nil"/>
        </w:tcBorders>
        <w:shd w:val="clear" w:color="auto" w:fill="5F5F5F"/>
      </w:tcPr>
    </w:tblStylePr>
    <w:tblStylePr w:type="lastRow">
      <w:pPr>
        <w:spacing w:before="0" w:after="0" w:line="240" w:lineRule="auto"/>
      </w:pPr>
      <w:rPr>
        <w:b/>
        <w:bCs/>
      </w:rPr>
      <w:tblPr/>
      <w:tcPr>
        <w:tcBorders>
          <w:top w:val="double" w:sz="6" w:space="0" w:color="878787"/>
          <w:left w:val="single" w:sz="8" w:space="0" w:color="878787"/>
          <w:bottom w:val="single" w:sz="8" w:space="0" w:color="878787"/>
          <w:right w:val="single" w:sz="8" w:space="0" w:color="878787"/>
          <w:insideH w:val="nil"/>
          <w:insideV w:val="nil"/>
        </w:tcBorders>
      </w:tcPr>
    </w:tblStylePr>
    <w:tblStylePr w:type="firstCol">
      <w:rPr>
        <w:b/>
        <w:bCs/>
      </w:rPr>
    </w:tblStylePr>
    <w:tblStylePr w:type="lastCol">
      <w:rPr>
        <w:b/>
        <w:bCs/>
      </w:rPr>
    </w:tblStylePr>
    <w:tblStylePr w:type="band1Vert">
      <w:tblPr/>
      <w:tcPr>
        <w:shd w:val="clear" w:color="auto" w:fill="D7D7D7"/>
      </w:tcPr>
    </w:tblStylePr>
    <w:tblStylePr w:type="band1Horz">
      <w:tblPr/>
      <w:tcPr>
        <w:tcBorders>
          <w:insideH w:val="nil"/>
          <w:insideV w:val="nil"/>
        </w:tcBorders>
        <w:shd w:val="clear" w:color="auto" w:fill="D7D7D7"/>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8" w:space="0" w:color="797979"/>
        <w:left w:val="single" w:sz="8" w:space="0" w:color="797979"/>
        <w:bottom w:val="single" w:sz="8" w:space="0" w:color="797979"/>
        <w:right w:val="single" w:sz="8" w:space="0" w:color="797979"/>
        <w:insideH w:val="single" w:sz="8" w:space="0" w:color="797979"/>
      </w:tblBorders>
    </w:tblPr>
    <w:tblStylePr w:type="firstRow">
      <w:pPr>
        <w:spacing w:before="0" w:after="0" w:line="240" w:lineRule="auto"/>
      </w:pPr>
      <w:rPr>
        <w:b/>
        <w:bCs/>
        <w:color w:val="0072BC"/>
      </w:rPr>
      <w:tblPr/>
      <w:tcPr>
        <w:tcBorders>
          <w:top w:val="single" w:sz="8" w:space="0" w:color="797979"/>
          <w:left w:val="single" w:sz="8" w:space="0" w:color="797979"/>
          <w:bottom w:val="single" w:sz="8" w:space="0" w:color="797979"/>
          <w:right w:val="single" w:sz="8" w:space="0" w:color="797979"/>
          <w:insideH w:val="nil"/>
          <w:insideV w:val="nil"/>
        </w:tcBorders>
        <w:shd w:val="clear" w:color="auto" w:fill="4D4D4D"/>
      </w:tcPr>
    </w:tblStylePr>
    <w:tblStylePr w:type="lastRow">
      <w:pPr>
        <w:spacing w:before="0" w:after="0" w:line="240" w:lineRule="auto"/>
      </w:pPr>
      <w:rPr>
        <w:b/>
        <w:bCs/>
      </w:rPr>
      <w:tblPr/>
      <w:tcPr>
        <w:tcBorders>
          <w:top w:val="double" w:sz="6" w:space="0" w:color="797979"/>
          <w:left w:val="single" w:sz="8" w:space="0" w:color="797979"/>
          <w:bottom w:val="single" w:sz="8" w:space="0" w:color="797979"/>
          <w:right w:val="single" w:sz="8" w:space="0" w:color="797979"/>
          <w:insideH w:val="nil"/>
          <w:insideV w:val="nil"/>
        </w:tcBorders>
      </w:tcPr>
    </w:tblStylePr>
    <w:tblStylePr w:type="firstCol">
      <w:rPr>
        <w:b/>
        <w:bCs/>
      </w:rPr>
    </w:tblStylePr>
    <w:tblStylePr w:type="lastCol">
      <w:rPr>
        <w:b/>
        <w:bCs/>
      </w:rPr>
    </w:tblStylePr>
    <w:tblStylePr w:type="band1Vert">
      <w:tblPr/>
      <w:tcPr>
        <w:shd w:val="clear" w:color="auto" w:fill="D3D3D3"/>
      </w:tcPr>
    </w:tblStylePr>
    <w:tblStylePr w:type="band1Horz">
      <w:tblPr/>
      <w:tcPr>
        <w:tcBorders>
          <w:insideH w:val="nil"/>
          <w:insideV w:val="nil"/>
        </w:tcBorders>
        <w:shd w:val="clear" w:color="auto" w:fill="D3D3D3"/>
      </w:tcPr>
    </w:tblStylePr>
    <w:tblStylePr w:type="band2Horz">
      <w:tblPr/>
      <w:tcPr>
        <w:tcBorders>
          <w:insideH w:val="nil"/>
          <w:insideV w:val="nil"/>
        </w:tcBorders>
      </w:tcPr>
    </w:tblStylePr>
  </w:style>
  <w:style w:type="table" w:styleId="MediumShading2">
    <w:name w:val="Medium Shading 2"/>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0000"/>
      </w:tcPr>
    </w:tblStylePr>
    <w:tblStylePr w:type="lastCol">
      <w:rPr>
        <w:b/>
        <w:bCs/>
        <w:color w:val="0072BC"/>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0072B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0072BC"/>
      </w:tcPr>
    </w:tblStylePr>
    <w:tblStylePr w:type="lastCol">
      <w:rPr>
        <w:b/>
        <w:bCs/>
        <w:color w:val="0072BC"/>
      </w:rPr>
      <w:tblPr/>
      <w:tcPr>
        <w:tcBorders>
          <w:left w:val="nil"/>
          <w:right w:val="nil"/>
          <w:insideH w:val="nil"/>
          <w:insideV w:val="nil"/>
        </w:tcBorders>
        <w:shd w:val="clear" w:color="auto" w:fill="0072BC"/>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C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C00000"/>
      </w:tcPr>
    </w:tblStylePr>
    <w:tblStylePr w:type="lastCol">
      <w:rPr>
        <w:b/>
        <w:bCs/>
        <w:color w:val="0072BC"/>
      </w:rPr>
      <w:tblPr/>
      <w:tcPr>
        <w:tcBorders>
          <w:left w:val="nil"/>
          <w:right w:val="nil"/>
          <w:insideH w:val="nil"/>
          <w:insideV w:val="nil"/>
        </w:tcBorders>
        <w:shd w:val="clear" w:color="auto" w:fill="C00000"/>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96969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969696"/>
      </w:tcPr>
    </w:tblStylePr>
    <w:tblStylePr w:type="lastCol">
      <w:rPr>
        <w:b/>
        <w:bCs/>
        <w:color w:val="0072BC"/>
      </w:rPr>
      <w:tblPr/>
      <w:tcPr>
        <w:tcBorders>
          <w:left w:val="nil"/>
          <w:right w:val="nil"/>
          <w:insideH w:val="nil"/>
          <w:insideV w:val="nil"/>
        </w:tcBorders>
        <w:shd w:val="clear" w:color="auto" w:fill="969696"/>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5F5F5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5F5F5F"/>
      </w:tcPr>
    </w:tblStylePr>
    <w:tblStylePr w:type="lastCol">
      <w:rPr>
        <w:b/>
        <w:bCs/>
        <w:color w:val="0072BC"/>
      </w:rPr>
      <w:tblPr/>
      <w:tcPr>
        <w:tcBorders>
          <w:left w:val="nil"/>
          <w:right w:val="nil"/>
          <w:insideH w:val="nil"/>
          <w:insideV w:val="nil"/>
        </w:tcBorders>
        <w:shd w:val="clear" w:color="auto" w:fill="5F5F5F"/>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91EA1"/>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rPr>
      <w:tblPr/>
      <w:tcPr>
        <w:tcBorders>
          <w:top w:val="single" w:sz="18" w:space="0" w:color="auto"/>
          <w:left w:val="nil"/>
          <w:bottom w:val="single" w:sz="18" w:space="0" w:color="auto"/>
          <w:right w:val="nil"/>
          <w:insideH w:val="nil"/>
          <w:insideV w:val="nil"/>
        </w:tcBorders>
        <w:shd w:val="clear" w:color="auto" w:fill="4D4D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cPr>
    </w:tblStylePr>
    <w:tblStylePr w:type="firstCol">
      <w:rPr>
        <w:b/>
        <w:bCs/>
        <w:color w:val="0072BC"/>
      </w:rPr>
      <w:tblPr/>
      <w:tcPr>
        <w:tcBorders>
          <w:top w:val="nil"/>
          <w:left w:val="nil"/>
          <w:bottom w:val="single" w:sz="18" w:space="0" w:color="auto"/>
          <w:right w:val="nil"/>
          <w:insideH w:val="nil"/>
          <w:insideV w:val="nil"/>
        </w:tcBorders>
        <w:shd w:val="clear" w:color="auto" w:fill="4D4D4D"/>
      </w:tcPr>
    </w:tblStylePr>
    <w:tblStylePr w:type="lastCol">
      <w:rPr>
        <w:b/>
        <w:bCs/>
        <w:color w:val="0072BC"/>
      </w:rPr>
      <w:tblPr/>
      <w:tcPr>
        <w:tcBorders>
          <w:left w:val="nil"/>
          <w:right w:val="nil"/>
          <w:insideH w:val="nil"/>
          <w:insideV w:val="nil"/>
        </w:tcBorders>
        <w:shd w:val="clear" w:color="auto" w:fill="4D4D4D"/>
      </w:tcPr>
    </w:tblStylePr>
    <w:tblStylePr w:type="band1Vert">
      <w:tblPr/>
      <w:tcPr>
        <w:tcBorders>
          <w:left w:val="nil"/>
          <w:right w:val="nil"/>
          <w:insideH w:val="nil"/>
          <w:insideV w:val="nil"/>
        </w:tcBorders>
        <w:shd w:val="clear" w:color="auto" w:fill="00609F"/>
      </w:tcPr>
    </w:tblStylePr>
    <w:tblStylePr w:type="band1Horz">
      <w:tblPr/>
      <w:tcPr>
        <w:shd w:val="clear" w:color="auto" w:fill="00609F"/>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EA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Times New Roman" w:eastAsia="MS Gothic" w:hAnsi="Times New Roman"/>
      <w:sz w:val="24"/>
      <w:szCs w:val="24"/>
      <w:lang w:val="x-none" w:eastAsia="x-none"/>
    </w:rPr>
  </w:style>
  <w:style w:type="character" w:customStyle="1" w:styleId="MessageHeaderChar">
    <w:name w:val="Message Header Char"/>
    <w:basedOn w:val="DefaultParagraphFont"/>
    <w:link w:val="MessageHeader"/>
    <w:uiPriority w:val="99"/>
    <w:semiHidden/>
    <w:rsid w:val="00391EA1"/>
    <w:rPr>
      <w:rFonts w:ascii="Times New Roman" w:eastAsia="MS Gothic" w:hAnsi="Times New Roman" w:cs="Times New Roman"/>
      <w:kern w:val="0"/>
      <w:sz w:val="24"/>
      <w:szCs w:val="24"/>
      <w:shd w:val="pct20" w:color="auto" w:fill="auto"/>
      <w:lang w:val="x-none" w:eastAsia="x-none"/>
      <w14:ligatures w14:val="none"/>
    </w:rPr>
  </w:style>
  <w:style w:type="paragraph" w:styleId="NormalWeb">
    <w:name w:val="Normal (Web)"/>
    <w:basedOn w:val="Normal"/>
    <w:uiPriority w:val="99"/>
    <w:semiHidden/>
    <w:rsid w:val="00391EA1"/>
    <w:pPr>
      <w:spacing w:after="0" w:line="240" w:lineRule="auto"/>
      <w:jc w:val="both"/>
    </w:pPr>
    <w:rPr>
      <w:rFonts w:ascii="Times New Roman" w:eastAsia="MS Mincho" w:hAnsi="Times New Roman"/>
      <w:sz w:val="24"/>
      <w:szCs w:val="24"/>
      <w:lang w:val="en-GB"/>
    </w:rPr>
  </w:style>
  <w:style w:type="paragraph" w:styleId="NormalIndent">
    <w:name w:val="Normal Indent"/>
    <w:basedOn w:val="Normal"/>
    <w:uiPriority w:val="99"/>
    <w:semiHidden/>
    <w:rsid w:val="00391EA1"/>
    <w:pPr>
      <w:spacing w:after="0" w:line="240" w:lineRule="auto"/>
      <w:ind w:left="720"/>
      <w:jc w:val="both"/>
    </w:pPr>
    <w:rPr>
      <w:rFonts w:ascii="Times New Roman" w:eastAsia="MS Mincho" w:hAnsi="Times New Roman"/>
      <w:sz w:val="24"/>
      <w:lang w:val="en-GB"/>
    </w:rPr>
  </w:style>
  <w:style w:type="paragraph" w:styleId="NoteHeading">
    <w:name w:val="Note Heading"/>
    <w:basedOn w:val="Normal"/>
    <w:next w:val="Normal"/>
    <w:link w:val="NoteHeading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NoteHeadingChar">
    <w:name w:val="Note Heading Char"/>
    <w:basedOn w:val="DefaultParagraphFont"/>
    <w:link w:val="NoteHeading"/>
    <w:uiPriority w:val="99"/>
    <w:semiHidden/>
    <w:rsid w:val="00391EA1"/>
    <w:rPr>
      <w:rFonts w:ascii="Times New Roman" w:eastAsia="MS Mincho" w:hAnsi="Times New Roman" w:cs="Times New Roman"/>
      <w:kern w:val="0"/>
      <w:sz w:val="24"/>
      <w:szCs w:val="20"/>
      <w:lang w:val="x-none" w:eastAsia="x-none"/>
      <w14:ligatures w14:val="none"/>
    </w:rPr>
  </w:style>
  <w:style w:type="character" w:styleId="PlaceholderText">
    <w:name w:val="Placeholder Text"/>
    <w:uiPriority w:val="99"/>
    <w:semiHidden/>
    <w:rsid w:val="00391EA1"/>
    <w:rPr>
      <w:color w:val="auto"/>
      <w:bdr w:val="none" w:sz="0" w:space="0" w:color="auto"/>
      <w:shd w:val="clear" w:color="auto" w:fill="DFDFDF"/>
    </w:rPr>
  </w:style>
  <w:style w:type="paragraph" w:styleId="PlainText">
    <w:name w:val="Plain Text"/>
    <w:basedOn w:val="Normal"/>
    <w:link w:val="PlainTextChar"/>
    <w:uiPriority w:val="99"/>
    <w:semiHidden/>
    <w:rsid w:val="00391EA1"/>
    <w:pPr>
      <w:spacing w:after="0" w:line="240" w:lineRule="auto"/>
      <w:jc w:val="both"/>
    </w:pPr>
    <w:rPr>
      <w:rFonts w:ascii="Consolas" w:eastAsia="MS Mincho" w:hAnsi="Consolas"/>
      <w:sz w:val="21"/>
      <w:szCs w:val="21"/>
      <w:lang w:val="x-none" w:eastAsia="x-none"/>
    </w:rPr>
  </w:style>
  <w:style w:type="character" w:customStyle="1" w:styleId="PlainTextChar">
    <w:name w:val="Plain Text Char"/>
    <w:basedOn w:val="DefaultParagraphFont"/>
    <w:link w:val="PlainText"/>
    <w:uiPriority w:val="99"/>
    <w:semiHidden/>
    <w:rsid w:val="00391EA1"/>
    <w:rPr>
      <w:rFonts w:ascii="Consolas" w:eastAsia="MS Mincho" w:hAnsi="Consolas" w:cs="Times New Roman"/>
      <w:kern w:val="0"/>
      <w:sz w:val="21"/>
      <w:szCs w:val="21"/>
      <w:lang w:val="x-none" w:eastAsia="x-none"/>
      <w14:ligatures w14:val="none"/>
    </w:rPr>
  </w:style>
  <w:style w:type="paragraph" w:styleId="Salutation">
    <w:name w:val="Salutation"/>
    <w:basedOn w:val="Normal"/>
    <w:next w:val="Normal"/>
    <w:link w:val="SalutationChar"/>
    <w:uiPriority w:val="99"/>
    <w:semiHidden/>
    <w:rsid w:val="00391EA1"/>
    <w:pPr>
      <w:spacing w:after="0" w:line="240" w:lineRule="auto"/>
      <w:jc w:val="both"/>
    </w:pPr>
    <w:rPr>
      <w:rFonts w:ascii="Times New Roman" w:eastAsia="MS Mincho" w:hAnsi="Times New Roman"/>
      <w:sz w:val="24"/>
      <w:szCs w:val="20"/>
      <w:lang w:val="x-none" w:eastAsia="x-none"/>
    </w:rPr>
  </w:style>
  <w:style w:type="character" w:customStyle="1" w:styleId="SalutationChar">
    <w:name w:val="Salutation Char"/>
    <w:basedOn w:val="DefaultParagraphFont"/>
    <w:link w:val="Salutation"/>
    <w:uiPriority w:val="99"/>
    <w:semiHidden/>
    <w:rsid w:val="00391EA1"/>
    <w:rPr>
      <w:rFonts w:ascii="Times New Roman" w:eastAsia="MS Mincho" w:hAnsi="Times New Roman" w:cs="Times New Roman"/>
      <w:kern w:val="0"/>
      <w:sz w:val="24"/>
      <w:szCs w:val="20"/>
      <w:lang w:val="x-none" w:eastAsia="x-none"/>
      <w14:ligatures w14:val="none"/>
    </w:rPr>
  </w:style>
  <w:style w:type="paragraph" w:styleId="Signature">
    <w:name w:val="Signature"/>
    <w:basedOn w:val="Normal"/>
    <w:link w:val="SignatureChar"/>
    <w:uiPriority w:val="99"/>
    <w:semiHidden/>
    <w:rsid w:val="00391EA1"/>
    <w:pPr>
      <w:spacing w:after="0" w:line="240" w:lineRule="auto"/>
      <w:ind w:left="4252"/>
      <w:jc w:val="both"/>
    </w:pPr>
    <w:rPr>
      <w:rFonts w:ascii="Times New Roman" w:eastAsia="MS Mincho" w:hAnsi="Times New Roman"/>
      <w:sz w:val="24"/>
      <w:szCs w:val="20"/>
      <w:lang w:val="x-none" w:eastAsia="x-none"/>
    </w:rPr>
  </w:style>
  <w:style w:type="character" w:customStyle="1" w:styleId="SignatureChar">
    <w:name w:val="Signature Char"/>
    <w:basedOn w:val="DefaultParagraphFont"/>
    <w:link w:val="Signature"/>
    <w:uiPriority w:val="99"/>
    <w:semiHidden/>
    <w:rsid w:val="00391EA1"/>
    <w:rPr>
      <w:rFonts w:ascii="Times New Roman" w:eastAsia="MS Mincho" w:hAnsi="Times New Roman" w:cs="Times New Roman"/>
      <w:kern w:val="0"/>
      <w:sz w:val="24"/>
      <w:szCs w:val="20"/>
      <w:lang w:val="x-none" w:eastAsia="x-none"/>
      <w14:ligatures w14:val="none"/>
    </w:rPr>
  </w:style>
  <w:style w:type="table" w:styleId="Table3Deffects1">
    <w:name w:val="Table 3D effects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EA1"/>
    <w:pPr>
      <w:spacing w:after="0" w:line="240" w:lineRule="auto"/>
      <w:jc w:val="both"/>
    </w:pPr>
    <w:rPr>
      <w:rFonts w:ascii="Times New Roman" w:eastAsia="Times New Roman" w:hAnsi="Times New Roman" w:cs="Times New Roman"/>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EA1"/>
    <w:pPr>
      <w:spacing w:after="0" w:line="240" w:lineRule="auto"/>
      <w:jc w:val="both"/>
    </w:pPr>
    <w:rPr>
      <w:rFonts w:ascii="Times New Roman" w:eastAsia="Times New Roman" w:hAnsi="Times New Roman" w:cs="Times New Roman"/>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EA1"/>
    <w:pPr>
      <w:spacing w:after="0" w:line="240" w:lineRule="auto"/>
      <w:jc w:val="both"/>
    </w:pPr>
    <w:rPr>
      <w:rFonts w:ascii="Times New Roman" w:eastAsia="Times New Roman" w:hAnsi="Times New Roman" w:cs="Times New Roman"/>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EA1"/>
    <w:pPr>
      <w:spacing w:after="0" w:line="240" w:lineRule="auto"/>
      <w:ind w:left="240" w:hanging="240"/>
      <w:jc w:val="both"/>
    </w:pPr>
    <w:rPr>
      <w:rFonts w:ascii="Times New Roman" w:eastAsia="MS Mincho" w:hAnsi="Times New Roman"/>
      <w:sz w:val="24"/>
      <w:lang w:val="en-GB"/>
    </w:rPr>
  </w:style>
  <w:style w:type="paragraph" w:styleId="TableofFigures">
    <w:name w:val="table of figures"/>
    <w:basedOn w:val="Normal"/>
    <w:next w:val="Normal"/>
    <w:uiPriority w:val="99"/>
    <w:semiHidden/>
    <w:rsid w:val="00391EA1"/>
    <w:pPr>
      <w:spacing w:after="0" w:line="240" w:lineRule="auto"/>
      <w:jc w:val="both"/>
    </w:pPr>
    <w:rPr>
      <w:rFonts w:ascii="Times New Roman" w:eastAsia="MS Mincho" w:hAnsi="Times New Roman"/>
      <w:sz w:val="24"/>
      <w:lang w:val="en-GB"/>
    </w:rPr>
  </w:style>
  <w:style w:type="table" w:styleId="TableProfessional">
    <w:name w:val="Table Professional"/>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EA1"/>
    <w:pPr>
      <w:spacing w:after="0" w:line="240" w:lineRule="auto"/>
      <w:jc w:val="both"/>
    </w:pPr>
    <w:rPr>
      <w:rFonts w:ascii="Times New Roman" w:eastAsia="Times New Roman" w:hAnsi="Times New Roman" w:cs="Times New Roman"/>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EA1"/>
    <w:pPr>
      <w:tabs>
        <w:tab w:val="right" w:leader="dot" w:pos="7371"/>
      </w:tabs>
      <w:spacing w:after="60" w:line="240" w:lineRule="exact"/>
      <w:ind w:left="2041" w:right="567" w:hanging="340"/>
      <w:jc w:val="both"/>
    </w:pPr>
    <w:rPr>
      <w:rFonts w:ascii="Times New Roman" w:eastAsia="MS Mincho" w:hAnsi="Times New Roman"/>
      <w:sz w:val="20"/>
      <w:lang w:val="en-GB"/>
    </w:rPr>
  </w:style>
  <w:style w:type="paragraph" w:styleId="TOC7">
    <w:name w:val="toc 7"/>
    <w:basedOn w:val="Normal"/>
    <w:next w:val="Normal"/>
    <w:autoRedefine/>
    <w:uiPriority w:val="99"/>
    <w:semiHidden/>
    <w:rsid w:val="00391EA1"/>
    <w:pPr>
      <w:tabs>
        <w:tab w:val="right" w:leader="dot" w:pos="7371"/>
      </w:tabs>
      <w:spacing w:after="60" w:line="240" w:lineRule="exact"/>
      <w:ind w:left="2381" w:right="567" w:hanging="340"/>
      <w:jc w:val="both"/>
    </w:pPr>
    <w:rPr>
      <w:rFonts w:ascii="Times New Roman" w:eastAsia="MS Mincho" w:hAnsi="Times New Roman"/>
      <w:sz w:val="20"/>
      <w:lang w:val="en-GB"/>
    </w:rPr>
  </w:style>
  <w:style w:type="paragraph" w:styleId="TOC8">
    <w:name w:val="toc 8"/>
    <w:basedOn w:val="Normal"/>
    <w:next w:val="Normal"/>
    <w:autoRedefine/>
    <w:uiPriority w:val="99"/>
    <w:semiHidden/>
    <w:rsid w:val="00391EA1"/>
    <w:pPr>
      <w:spacing w:after="100" w:line="240" w:lineRule="auto"/>
      <w:ind w:left="1680"/>
      <w:jc w:val="both"/>
    </w:pPr>
    <w:rPr>
      <w:rFonts w:ascii="Times New Roman" w:eastAsia="MS Mincho" w:hAnsi="Times New Roman"/>
      <w:sz w:val="24"/>
      <w:lang w:val="en-GB"/>
    </w:rPr>
  </w:style>
  <w:style w:type="paragraph" w:styleId="TOC9">
    <w:name w:val="toc 9"/>
    <w:basedOn w:val="Normal"/>
    <w:next w:val="Normal"/>
    <w:autoRedefine/>
    <w:uiPriority w:val="99"/>
    <w:semiHidden/>
    <w:rsid w:val="00391EA1"/>
    <w:pPr>
      <w:spacing w:after="100" w:line="240" w:lineRule="auto"/>
      <w:ind w:left="1920"/>
      <w:jc w:val="both"/>
    </w:pPr>
    <w:rPr>
      <w:rFonts w:ascii="Times New Roman" w:eastAsia="MS Mincho" w:hAnsi="Times New Roman"/>
      <w:sz w:val="24"/>
      <w:lang w:val="en-GB"/>
    </w:rPr>
  </w:style>
  <w:style w:type="paragraph" w:customStyle="1" w:styleId="OpiPara">
    <w:name w:val="Opi_Para"/>
    <w:basedOn w:val="ECHRPara"/>
    <w:uiPriority w:val="46"/>
    <w:qFormat/>
    <w:rsid w:val="00391EA1"/>
  </w:style>
  <w:style w:type="paragraph" w:customStyle="1" w:styleId="OpiParaSub">
    <w:name w:val="Opi_Para_Sub"/>
    <w:basedOn w:val="JuParaSub"/>
    <w:uiPriority w:val="47"/>
    <w:qFormat/>
    <w:rsid w:val="00391EA1"/>
  </w:style>
  <w:style w:type="paragraph" w:customStyle="1" w:styleId="ECHRFooter">
    <w:name w:val="ECHR_Footer"/>
    <w:aliases w:val="Footer_ECHR"/>
    <w:basedOn w:val="Footer"/>
    <w:uiPriority w:val="57"/>
    <w:semiHidden/>
    <w:rsid w:val="00391EA1"/>
    <w:pPr>
      <w:tabs>
        <w:tab w:val="clear" w:pos="4513"/>
        <w:tab w:val="clear" w:pos="9026"/>
        <w:tab w:val="center" w:pos="4536"/>
        <w:tab w:val="right" w:pos="9696"/>
      </w:tabs>
      <w:ind w:left="-680" w:right="-680"/>
    </w:pPr>
    <w:rPr>
      <w:rFonts w:ascii="Times New Roman" w:hAnsi="Times New Roman"/>
      <w:sz w:val="8"/>
      <w:lang w:eastAsia="x-none"/>
    </w:rPr>
  </w:style>
  <w:style w:type="paragraph" w:customStyle="1" w:styleId="ECHRFooterLine">
    <w:name w:val="ECHR_Footer_Line"/>
    <w:aliases w:val="Footer_Line"/>
    <w:basedOn w:val="Normal"/>
    <w:next w:val="ECHRFooter"/>
    <w:uiPriority w:val="57"/>
    <w:semiHidden/>
    <w:rsid w:val="00391EA1"/>
    <w:pPr>
      <w:pBdr>
        <w:top w:val="single" w:sz="6" w:space="1" w:color="5F5F5F"/>
      </w:pBdr>
      <w:tabs>
        <w:tab w:val="center" w:pos="4536"/>
        <w:tab w:val="right" w:pos="9696"/>
      </w:tabs>
      <w:spacing w:after="0" w:line="240" w:lineRule="auto"/>
      <w:ind w:left="-680" w:right="-680"/>
    </w:pPr>
    <w:rPr>
      <w:rFonts w:ascii="Times New Roman" w:eastAsia="MS Mincho" w:hAnsi="Times New Roman"/>
      <w:color w:val="5F5F5F"/>
      <w:sz w:val="24"/>
      <w:lang w:val="en-GB"/>
    </w:rPr>
  </w:style>
  <w:style w:type="paragraph" w:customStyle="1" w:styleId="ECHRTitleCentre2">
    <w:name w:val="ECHR_Title_Centre_2"/>
    <w:aliases w:val="Dec_H_Case"/>
    <w:basedOn w:val="Normal"/>
    <w:next w:val="ECHRPara"/>
    <w:uiPriority w:val="8"/>
    <w:semiHidden/>
    <w:qFormat/>
    <w:rsid w:val="00391EA1"/>
    <w:pPr>
      <w:spacing w:after="240" w:line="240" w:lineRule="auto"/>
      <w:jc w:val="center"/>
      <w:outlineLvl w:val="0"/>
    </w:pPr>
    <w:rPr>
      <w:rFonts w:ascii="Times New Roman" w:eastAsia="MS Mincho" w:hAnsi="Times New Roman"/>
      <w:sz w:val="24"/>
      <w:lang w:val="en-GB"/>
    </w:rPr>
  </w:style>
  <w:style w:type="paragraph" w:customStyle="1" w:styleId="OpiQuot">
    <w:name w:val="Opi_Quot"/>
    <w:basedOn w:val="ECHRParaQuote"/>
    <w:uiPriority w:val="48"/>
    <w:qFormat/>
    <w:rsid w:val="00391EA1"/>
  </w:style>
  <w:style w:type="paragraph" w:customStyle="1" w:styleId="OpiQuotSub">
    <w:name w:val="Opi_Quot_Sub"/>
    <w:basedOn w:val="JuQuotSub"/>
    <w:uiPriority w:val="49"/>
    <w:qFormat/>
    <w:rsid w:val="00391EA1"/>
  </w:style>
  <w:style w:type="paragraph" w:customStyle="1" w:styleId="OpiTranslation">
    <w:name w:val="Opi_Translation"/>
    <w:basedOn w:val="Normal"/>
    <w:next w:val="OpiPara"/>
    <w:uiPriority w:val="40"/>
    <w:qFormat/>
    <w:rsid w:val="00391EA1"/>
    <w:pPr>
      <w:spacing w:after="0" w:line="240" w:lineRule="auto"/>
      <w:jc w:val="center"/>
      <w:outlineLvl w:val="0"/>
    </w:pPr>
    <w:rPr>
      <w:rFonts w:ascii="Times New Roman" w:eastAsia="MS Mincho" w:hAnsi="Times New Roman"/>
      <w:i/>
      <w:sz w:val="24"/>
      <w:lang w:val="en-GB"/>
    </w:rPr>
  </w:style>
  <w:style w:type="character" w:customStyle="1" w:styleId="ECHRParaChar">
    <w:name w:val="ECHR_Para Char"/>
    <w:aliases w:val="Ju_Para Char"/>
    <w:link w:val="ECHRPara"/>
    <w:uiPriority w:val="12"/>
    <w:rsid w:val="00391EA1"/>
    <w:rPr>
      <w:rFonts w:ascii="Times New Roman" w:eastAsia="MS Mincho" w:hAnsi="Times New Roman" w:cs="Times New Roman"/>
      <w:kern w:val="0"/>
      <w:sz w:val="24"/>
      <w:szCs w:val="20"/>
      <w:lang w:val="en-GB" w:eastAsia="x-none"/>
      <w14:ligatures w14:val="none"/>
    </w:rPr>
  </w:style>
  <w:style w:type="paragraph" w:customStyle="1" w:styleId="jupara">
    <w:name w:val="jupara"/>
    <w:basedOn w:val="Normal"/>
    <w:rsid w:val="00391EA1"/>
    <w:pPr>
      <w:spacing w:after="0" w:line="240" w:lineRule="auto"/>
      <w:ind w:firstLine="284"/>
      <w:jc w:val="both"/>
    </w:pPr>
    <w:rPr>
      <w:rFonts w:ascii="Times New Roman" w:hAnsi="Times New Roman"/>
      <w:sz w:val="24"/>
      <w:szCs w:val="24"/>
      <w:lang w:val="en-GB" w:eastAsia="en-GB"/>
    </w:rPr>
  </w:style>
  <w:style w:type="paragraph" w:customStyle="1" w:styleId="jucase0">
    <w:name w:val="jucase"/>
    <w:basedOn w:val="Normal"/>
    <w:rsid w:val="00391EA1"/>
    <w:pPr>
      <w:spacing w:after="0" w:line="240" w:lineRule="auto"/>
      <w:ind w:firstLine="284"/>
      <w:jc w:val="both"/>
    </w:pPr>
    <w:rPr>
      <w:rFonts w:ascii="Times New Roman" w:hAnsi="Times New Roman"/>
      <w:b/>
      <w:bCs/>
      <w:sz w:val="24"/>
      <w:szCs w:val="24"/>
      <w:lang w:val="en-GB" w:eastAsia="en-GB"/>
    </w:rPr>
  </w:style>
  <w:style w:type="paragraph" w:customStyle="1" w:styleId="xp1">
    <w:name w:val="x_p1"/>
    <w:basedOn w:val="Normal"/>
    <w:rsid w:val="00391EA1"/>
    <w:pPr>
      <w:spacing w:before="100" w:beforeAutospacing="1" w:after="100" w:afterAutospacing="1" w:line="240" w:lineRule="auto"/>
    </w:pPr>
    <w:rPr>
      <w:rFonts w:ascii="Times New Roman" w:hAnsi="Times New Roman"/>
      <w:sz w:val="24"/>
      <w:szCs w:val="24"/>
    </w:rPr>
  </w:style>
  <w:style w:type="character" w:customStyle="1" w:styleId="xs1">
    <w:name w:val="x_s1"/>
    <w:rsid w:val="00391EA1"/>
  </w:style>
  <w:style w:type="paragraph" w:customStyle="1" w:styleId="xp2">
    <w:name w:val="x_p2"/>
    <w:basedOn w:val="Normal"/>
    <w:rsid w:val="00391EA1"/>
    <w:pPr>
      <w:spacing w:before="100" w:beforeAutospacing="1" w:after="100" w:afterAutospacing="1" w:line="240" w:lineRule="auto"/>
    </w:pPr>
    <w:rPr>
      <w:rFonts w:ascii="Times New Roman" w:hAnsi="Times New Roman"/>
      <w:sz w:val="24"/>
      <w:szCs w:val="24"/>
    </w:rPr>
  </w:style>
  <w:style w:type="character" w:customStyle="1" w:styleId="xs2">
    <w:name w:val="x_s2"/>
    <w:rsid w:val="00391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672075">
      <w:bodyDiv w:val="1"/>
      <w:marLeft w:val="0"/>
      <w:marRight w:val="0"/>
      <w:marTop w:val="0"/>
      <w:marBottom w:val="0"/>
      <w:divBdr>
        <w:top w:val="none" w:sz="0" w:space="0" w:color="auto"/>
        <w:left w:val="none" w:sz="0" w:space="0" w:color="auto"/>
        <w:bottom w:val="none" w:sz="0" w:space="0" w:color="auto"/>
        <w:right w:val="none" w:sz="0" w:space="0" w:color="auto"/>
      </w:divBdr>
      <w:divsChild>
        <w:div w:id="876544189">
          <w:marLeft w:val="0"/>
          <w:marRight w:val="0"/>
          <w:marTop w:val="0"/>
          <w:marBottom w:val="0"/>
          <w:divBdr>
            <w:top w:val="none" w:sz="0" w:space="0" w:color="auto"/>
            <w:left w:val="none" w:sz="0" w:space="0" w:color="auto"/>
            <w:bottom w:val="none" w:sz="0" w:space="0" w:color="auto"/>
            <w:right w:val="none" w:sz="0" w:space="0" w:color="auto"/>
          </w:divBdr>
        </w:div>
        <w:div w:id="1338653899">
          <w:marLeft w:val="0"/>
          <w:marRight w:val="0"/>
          <w:marTop w:val="0"/>
          <w:marBottom w:val="0"/>
          <w:divBdr>
            <w:top w:val="none" w:sz="0" w:space="0" w:color="auto"/>
            <w:left w:val="none" w:sz="0" w:space="0" w:color="auto"/>
            <w:bottom w:val="none" w:sz="0" w:space="0" w:color="auto"/>
            <w:right w:val="none" w:sz="0" w:space="0" w:color="auto"/>
          </w:divBdr>
        </w:div>
        <w:div w:id="1148549056">
          <w:marLeft w:val="0"/>
          <w:marRight w:val="0"/>
          <w:marTop w:val="0"/>
          <w:marBottom w:val="0"/>
          <w:divBdr>
            <w:top w:val="none" w:sz="0" w:space="0" w:color="auto"/>
            <w:left w:val="none" w:sz="0" w:space="0" w:color="auto"/>
            <w:bottom w:val="none" w:sz="0" w:space="0" w:color="auto"/>
            <w:right w:val="none" w:sz="0" w:space="0" w:color="auto"/>
          </w:divBdr>
        </w:div>
        <w:div w:id="896361412">
          <w:marLeft w:val="0"/>
          <w:marRight w:val="0"/>
          <w:marTop w:val="0"/>
          <w:marBottom w:val="0"/>
          <w:divBdr>
            <w:top w:val="none" w:sz="0" w:space="0" w:color="auto"/>
            <w:left w:val="none" w:sz="0" w:space="0" w:color="auto"/>
            <w:bottom w:val="none" w:sz="0" w:space="0" w:color="auto"/>
            <w:right w:val="none" w:sz="0" w:space="0" w:color="auto"/>
          </w:divBdr>
        </w:div>
        <w:div w:id="1870678400">
          <w:marLeft w:val="0"/>
          <w:marRight w:val="0"/>
          <w:marTop w:val="0"/>
          <w:marBottom w:val="0"/>
          <w:divBdr>
            <w:top w:val="none" w:sz="0" w:space="0" w:color="auto"/>
            <w:left w:val="none" w:sz="0" w:space="0" w:color="auto"/>
            <w:bottom w:val="none" w:sz="0" w:space="0" w:color="auto"/>
            <w:right w:val="none" w:sz="0" w:space="0" w:color="auto"/>
          </w:divBdr>
        </w:div>
        <w:div w:id="1438479748">
          <w:marLeft w:val="0"/>
          <w:marRight w:val="0"/>
          <w:marTop w:val="0"/>
          <w:marBottom w:val="0"/>
          <w:divBdr>
            <w:top w:val="none" w:sz="0" w:space="0" w:color="auto"/>
            <w:left w:val="none" w:sz="0" w:space="0" w:color="auto"/>
            <w:bottom w:val="none" w:sz="0" w:space="0" w:color="auto"/>
            <w:right w:val="none" w:sz="0" w:space="0" w:color="auto"/>
          </w:divBdr>
        </w:div>
        <w:div w:id="1861577929">
          <w:marLeft w:val="0"/>
          <w:marRight w:val="0"/>
          <w:marTop w:val="0"/>
          <w:marBottom w:val="0"/>
          <w:divBdr>
            <w:top w:val="none" w:sz="0" w:space="0" w:color="auto"/>
            <w:left w:val="none" w:sz="0" w:space="0" w:color="auto"/>
            <w:bottom w:val="none" w:sz="0" w:space="0" w:color="auto"/>
            <w:right w:val="none" w:sz="0" w:space="0" w:color="auto"/>
          </w:divBdr>
        </w:div>
        <w:div w:id="7022664">
          <w:marLeft w:val="0"/>
          <w:marRight w:val="0"/>
          <w:marTop w:val="0"/>
          <w:marBottom w:val="0"/>
          <w:divBdr>
            <w:top w:val="none" w:sz="0" w:space="0" w:color="auto"/>
            <w:left w:val="none" w:sz="0" w:space="0" w:color="auto"/>
            <w:bottom w:val="none" w:sz="0" w:space="0" w:color="auto"/>
            <w:right w:val="none" w:sz="0" w:space="0" w:color="auto"/>
          </w:divBdr>
        </w:div>
        <w:div w:id="1996492317">
          <w:marLeft w:val="0"/>
          <w:marRight w:val="0"/>
          <w:marTop w:val="0"/>
          <w:marBottom w:val="0"/>
          <w:divBdr>
            <w:top w:val="none" w:sz="0" w:space="0" w:color="auto"/>
            <w:left w:val="none" w:sz="0" w:space="0" w:color="auto"/>
            <w:bottom w:val="none" w:sz="0" w:space="0" w:color="auto"/>
            <w:right w:val="none" w:sz="0" w:space="0" w:color="auto"/>
          </w:divBdr>
        </w:div>
        <w:div w:id="1787190140">
          <w:marLeft w:val="0"/>
          <w:marRight w:val="0"/>
          <w:marTop w:val="0"/>
          <w:marBottom w:val="0"/>
          <w:divBdr>
            <w:top w:val="none" w:sz="0" w:space="0" w:color="auto"/>
            <w:left w:val="none" w:sz="0" w:space="0" w:color="auto"/>
            <w:bottom w:val="none" w:sz="0" w:space="0" w:color="auto"/>
            <w:right w:val="none" w:sz="0" w:space="0" w:color="auto"/>
          </w:divBdr>
        </w:div>
        <w:div w:id="1122308729">
          <w:marLeft w:val="0"/>
          <w:marRight w:val="0"/>
          <w:marTop w:val="0"/>
          <w:marBottom w:val="0"/>
          <w:divBdr>
            <w:top w:val="none" w:sz="0" w:space="0" w:color="auto"/>
            <w:left w:val="none" w:sz="0" w:space="0" w:color="auto"/>
            <w:bottom w:val="none" w:sz="0" w:space="0" w:color="auto"/>
            <w:right w:val="none" w:sz="0" w:space="0" w:color="auto"/>
          </w:divBdr>
        </w:div>
        <w:div w:id="1162621191">
          <w:marLeft w:val="0"/>
          <w:marRight w:val="0"/>
          <w:marTop w:val="0"/>
          <w:marBottom w:val="0"/>
          <w:divBdr>
            <w:top w:val="none" w:sz="0" w:space="0" w:color="auto"/>
            <w:left w:val="none" w:sz="0" w:space="0" w:color="auto"/>
            <w:bottom w:val="none" w:sz="0" w:space="0" w:color="auto"/>
            <w:right w:val="none" w:sz="0" w:space="0" w:color="auto"/>
          </w:divBdr>
        </w:div>
        <w:div w:id="1857965845">
          <w:marLeft w:val="0"/>
          <w:marRight w:val="0"/>
          <w:marTop w:val="0"/>
          <w:marBottom w:val="0"/>
          <w:divBdr>
            <w:top w:val="none" w:sz="0" w:space="0" w:color="auto"/>
            <w:left w:val="none" w:sz="0" w:space="0" w:color="auto"/>
            <w:bottom w:val="none" w:sz="0" w:space="0" w:color="auto"/>
            <w:right w:val="none" w:sz="0" w:space="0" w:color="auto"/>
          </w:divBdr>
        </w:div>
      </w:divsChild>
    </w:div>
    <w:div w:id="2077624622">
      <w:bodyDiv w:val="1"/>
      <w:marLeft w:val="0"/>
      <w:marRight w:val="0"/>
      <w:marTop w:val="0"/>
      <w:marBottom w:val="0"/>
      <w:divBdr>
        <w:top w:val="none" w:sz="0" w:space="0" w:color="auto"/>
        <w:left w:val="none" w:sz="0" w:space="0" w:color="auto"/>
        <w:bottom w:val="none" w:sz="0" w:space="0" w:color="auto"/>
        <w:right w:val="none" w:sz="0" w:space="0" w:color="auto"/>
      </w:divBdr>
      <w:divsChild>
        <w:div w:id="182402107">
          <w:marLeft w:val="0"/>
          <w:marRight w:val="0"/>
          <w:marTop w:val="0"/>
          <w:marBottom w:val="0"/>
          <w:divBdr>
            <w:top w:val="none" w:sz="0" w:space="0" w:color="auto"/>
            <w:left w:val="none" w:sz="0" w:space="0" w:color="auto"/>
            <w:bottom w:val="none" w:sz="0" w:space="0" w:color="auto"/>
            <w:right w:val="none" w:sz="0" w:space="0" w:color="auto"/>
          </w:divBdr>
        </w:div>
        <w:div w:id="802428885">
          <w:marLeft w:val="0"/>
          <w:marRight w:val="0"/>
          <w:marTop w:val="0"/>
          <w:marBottom w:val="0"/>
          <w:divBdr>
            <w:top w:val="none" w:sz="0" w:space="0" w:color="auto"/>
            <w:left w:val="none" w:sz="0" w:space="0" w:color="auto"/>
            <w:bottom w:val="none" w:sz="0" w:space="0" w:color="auto"/>
            <w:right w:val="none" w:sz="0" w:space="0" w:color="auto"/>
          </w:divBdr>
        </w:div>
        <w:div w:id="1324507181">
          <w:marLeft w:val="0"/>
          <w:marRight w:val="0"/>
          <w:marTop w:val="0"/>
          <w:marBottom w:val="0"/>
          <w:divBdr>
            <w:top w:val="none" w:sz="0" w:space="0" w:color="auto"/>
            <w:left w:val="none" w:sz="0" w:space="0" w:color="auto"/>
            <w:bottom w:val="none" w:sz="0" w:space="0" w:color="auto"/>
            <w:right w:val="none" w:sz="0" w:space="0" w:color="auto"/>
          </w:divBdr>
        </w:div>
        <w:div w:id="1254825306">
          <w:marLeft w:val="0"/>
          <w:marRight w:val="0"/>
          <w:marTop w:val="0"/>
          <w:marBottom w:val="0"/>
          <w:divBdr>
            <w:top w:val="none" w:sz="0" w:space="0" w:color="auto"/>
            <w:left w:val="none" w:sz="0" w:space="0" w:color="auto"/>
            <w:bottom w:val="none" w:sz="0" w:space="0" w:color="auto"/>
            <w:right w:val="none" w:sz="0" w:space="0" w:color="auto"/>
          </w:divBdr>
        </w:div>
        <w:div w:id="238096093">
          <w:marLeft w:val="0"/>
          <w:marRight w:val="0"/>
          <w:marTop w:val="0"/>
          <w:marBottom w:val="0"/>
          <w:divBdr>
            <w:top w:val="none" w:sz="0" w:space="0" w:color="auto"/>
            <w:left w:val="none" w:sz="0" w:space="0" w:color="auto"/>
            <w:bottom w:val="none" w:sz="0" w:space="0" w:color="auto"/>
            <w:right w:val="none" w:sz="0" w:space="0" w:color="auto"/>
          </w:divBdr>
        </w:div>
        <w:div w:id="1134830990">
          <w:marLeft w:val="0"/>
          <w:marRight w:val="0"/>
          <w:marTop w:val="0"/>
          <w:marBottom w:val="0"/>
          <w:divBdr>
            <w:top w:val="none" w:sz="0" w:space="0" w:color="auto"/>
            <w:left w:val="none" w:sz="0" w:space="0" w:color="auto"/>
            <w:bottom w:val="none" w:sz="0" w:space="0" w:color="auto"/>
            <w:right w:val="none" w:sz="0" w:space="0" w:color="auto"/>
          </w:divBdr>
        </w:div>
        <w:div w:id="1037313831">
          <w:marLeft w:val="0"/>
          <w:marRight w:val="0"/>
          <w:marTop w:val="0"/>
          <w:marBottom w:val="0"/>
          <w:divBdr>
            <w:top w:val="none" w:sz="0" w:space="0" w:color="auto"/>
            <w:left w:val="none" w:sz="0" w:space="0" w:color="auto"/>
            <w:bottom w:val="none" w:sz="0" w:space="0" w:color="auto"/>
            <w:right w:val="none" w:sz="0" w:space="0" w:color="auto"/>
          </w:divBdr>
        </w:div>
        <w:div w:id="420835739">
          <w:marLeft w:val="0"/>
          <w:marRight w:val="0"/>
          <w:marTop w:val="0"/>
          <w:marBottom w:val="0"/>
          <w:divBdr>
            <w:top w:val="none" w:sz="0" w:space="0" w:color="auto"/>
            <w:left w:val="none" w:sz="0" w:space="0" w:color="auto"/>
            <w:bottom w:val="none" w:sz="0" w:space="0" w:color="auto"/>
            <w:right w:val="none" w:sz="0" w:space="0" w:color="auto"/>
          </w:divBdr>
        </w:div>
        <w:div w:id="1756514008">
          <w:marLeft w:val="0"/>
          <w:marRight w:val="0"/>
          <w:marTop w:val="0"/>
          <w:marBottom w:val="0"/>
          <w:divBdr>
            <w:top w:val="none" w:sz="0" w:space="0" w:color="auto"/>
            <w:left w:val="none" w:sz="0" w:space="0" w:color="auto"/>
            <w:bottom w:val="none" w:sz="0" w:space="0" w:color="auto"/>
            <w:right w:val="none" w:sz="0" w:space="0" w:color="auto"/>
          </w:divBdr>
        </w:div>
        <w:div w:id="2021858462">
          <w:marLeft w:val="0"/>
          <w:marRight w:val="0"/>
          <w:marTop w:val="0"/>
          <w:marBottom w:val="0"/>
          <w:divBdr>
            <w:top w:val="none" w:sz="0" w:space="0" w:color="auto"/>
            <w:left w:val="none" w:sz="0" w:space="0" w:color="auto"/>
            <w:bottom w:val="none" w:sz="0" w:space="0" w:color="auto"/>
            <w:right w:val="none" w:sz="0" w:space="0" w:color="auto"/>
          </w:divBdr>
        </w:div>
        <w:div w:id="1902132542">
          <w:marLeft w:val="0"/>
          <w:marRight w:val="0"/>
          <w:marTop w:val="0"/>
          <w:marBottom w:val="0"/>
          <w:divBdr>
            <w:top w:val="none" w:sz="0" w:space="0" w:color="auto"/>
            <w:left w:val="none" w:sz="0" w:space="0" w:color="auto"/>
            <w:bottom w:val="none" w:sz="0" w:space="0" w:color="auto"/>
            <w:right w:val="none" w:sz="0" w:space="0" w:color="auto"/>
          </w:divBdr>
        </w:div>
        <w:div w:id="217060660">
          <w:marLeft w:val="0"/>
          <w:marRight w:val="0"/>
          <w:marTop w:val="0"/>
          <w:marBottom w:val="0"/>
          <w:divBdr>
            <w:top w:val="none" w:sz="0" w:space="0" w:color="auto"/>
            <w:left w:val="none" w:sz="0" w:space="0" w:color="auto"/>
            <w:bottom w:val="none" w:sz="0" w:space="0" w:color="auto"/>
            <w:right w:val="none" w:sz="0" w:space="0" w:color="auto"/>
          </w:divBdr>
        </w:div>
        <w:div w:id="14983033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5D32192A9AC457199621D1CD38C51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7780-20</Nr_x002e__x0020_akti>
    <Data_x0020_e_x0020_Krijimit xmlns="0e656187-b300-4fb0-8bf4-3a50f872073c">2026-07-09T08:49:30Z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2026-07-08T00:00:00Z</Date_x0020_protokolli>
    <Titulli xmlns="0e656187-b300-4fb0-8bf4-3a50f872073c">Çështja Osmani kundër Shqipërisë (Kërkesa nr.7780/20)</Titulli>
    <Modifikuesi xmlns="0e656187-b300-4fb0-8bf4-3a50f872073c">Fjora.Cahani</Modifikuesi>
    <Nr_x002e__x0020_prot_x0020_QBZ xmlns="0e656187-b300-4fb0-8bf4-3a50f872073c">1536/2</Nr_x002e__x0020_prot_x0020_QBZ>
    <Data_x0020_e_x0020_Modifikimit xmlns="0e656187-b300-4fb0-8bf4-3a50f872073c">2026-07-09T09:40:02Z</Data_x0020_e_x0020_Modifikimit>
    <Dekretuar xmlns="0e656187-b300-4fb0-8bf4-3a50f872073c">false</Dekretuar>
    <Data xmlns="0e656187-b300-4fb0-8bf4-3a50f872073c">2026-06-23T00:00:00Z</Data>
    <Nr_x002e__x0020_protokolli_x0020_i_x0020_aktit xmlns="0e656187-b300-4fb0-8bf4-3a50f872073c">3936/1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5D32192A9AC457199621D1CD38C51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3A2E09-A711-405C-BDA7-5BF2A2F794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7E6A741-DAFF-4D12-AEAD-893B85A81EC9}">
  <ds:schemaRefs>
    <ds:schemaRef ds:uri="http://purl.org/dc/terms/"/>
    <ds:schemaRef ds:uri="http://purl.org/dc/dcmitype/"/>
    <ds:schemaRef ds:uri="http://purl.org/dc/elements/1.1/"/>
    <ds:schemaRef ds:uri="http://schemas.microsoft.com/office/2006/documentManagement/types"/>
    <ds:schemaRef ds:uri="http://www.w3.org/XML/1998/namespace"/>
    <ds:schemaRef ds:uri="http://schemas.openxmlformats.org/package/2006/metadata/core-properties"/>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210B6B52-4E42-4379-A9AA-B9D0DD842C8D}">
  <ds:schemaRefs>
    <ds:schemaRef ds:uri="http://schemas.microsoft.com/sharepoint/v3/contenttype/forms"/>
  </ds:schemaRefs>
</ds:datastoreItem>
</file>

<file path=customXml/itemProps4.xml><?xml version="1.0" encoding="utf-8"?>
<ds:datastoreItem xmlns:ds="http://schemas.openxmlformats.org/officeDocument/2006/customXml" ds:itemID="{1458BF3F-AD98-4980-8C4B-523C6DE1B1C3}">
  <ds:schemaRefs>
    <ds:schemaRef ds:uri="http://schemas.microsoft.com/sharepoint/v3/contenttype/forms"/>
  </ds:schemaRefs>
</ds:datastoreItem>
</file>

<file path=customXml/itemProps5.xml><?xml version="1.0" encoding="utf-8"?>
<ds:datastoreItem xmlns:ds="http://schemas.openxmlformats.org/officeDocument/2006/customXml" ds:itemID="{DEB939E6-7574-430F-B1AD-F9B8D839E9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1F4C7C8-C7F7-4B39-8491-3D8224C59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2494</Words>
  <Characters>14217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Çështja Osmani kundër Shqipërisë (Kërkesa nr.7780/20)</vt:lpstr>
    </vt:vector>
  </TitlesOfParts>
  <Company/>
  <LinksUpToDate>false</LinksUpToDate>
  <CharactersWithSpaces>16678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Osmani kundër Shqipërisë (Kërkesa nr.7780/20)</dc:title>
  <dc:creator>Mirela Prifti</dc:creator>
  <cp:lastModifiedBy>Amarilda Muja</cp:lastModifiedBy>
  <cp:revision>6</cp:revision>
  <dcterms:created xsi:type="dcterms:W3CDTF">2026-07-09T09:02:00Z</dcterms:created>
  <dcterms:modified xsi:type="dcterms:W3CDTF">2026-07-09T09:55:00Z</dcterms:modified>
</cp:coreProperties>
</file>