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5E24C2" w14:textId="0FCBBC42" w:rsidR="00AB61D3" w:rsidRPr="00B76F5D" w:rsidRDefault="00AB61D3" w:rsidP="00AB61D3">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rPr>
      </w:pPr>
      <w:r w:rsidRPr="00B76F5D">
        <w:rPr>
          <w:rFonts w:ascii="Garamond" w:hAnsi="Garamond" w:cs="Times New Roman"/>
          <w:color w:val="000000"/>
          <w:sz w:val="24"/>
          <w:szCs w:val="24"/>
        </w:rPr>
        <w:t>GJYKATA EVROPIANE E TË DREJTAVE TË NJERIUT</w:t>
      </w:r>
    </w:p>
    <w:p w14:paraId="07B4E412" w14:textId="77777777" w:rsidR="00AB61D3" w:rsidRPr="00B76F5D" w:rsidRDefault="00AB61D3" w:rsidP="00AB61D3">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rPr>
      </w:pPr>
      <w:r w:rsidRPr="00B76F5D">
        <w:rPr>
          <w:rFonts w:ascii="Garamond" w:hAnsi="Garamond" w:cs="Times New Roman"/>
          <w:color w:val="000000"/>
          <w:sz w:val="24"/>
          <w:szCs w:val="24"/>
        </w:rPr>
        <w:t>SEKSIONI I TRETË</w:t>
      </w:r>
    </w:p>
    <w:p w14:paraId="419E45DB" w14:textId="77777777" w:rsidR="00AB61D3" w:rsidRPr="00B76F5D" w:rsidRDefault="00AB61D3" w:rsidP="00AB61D3">
      <w:pPr>
        <w:tabs>
          <w:tab w:val="left" w:pos="5520"/>
        </w:tabs>
        <w:autoSpaceDE w:val="0"/>
        <w:autoSpaceDN w:val="0"/>
        <w:adjustRightInd w:val="0"/>
        <w:spacing w:after="0" w:line="240" w:lineRule="auto"/>
        <w:ind w:firstLine="284"/>
        <w:jc w:val="center"/>
        <w:rPr>
          <w:rFonts w:ascii="Garamond" w:hAnsi="Garamond" w:cs="Times New Roman"/>
          <w:b/>
          <w:bCs/>
          <w:color w:val="000000"/>
          <w:sz w:val="24"/>
          <w:szCs w:val="24"/>
        </w:rPr>
      </w:pPr>
      <w:r w:rsidRPr="00B76F5D">
        <w:rPr>
          <w:rFonts w:ascii="Garamond" w:hAnsi="Garamond" w:cs="Times New Roman"/>
          <w:color w:val="000000"/>
          <w:sz w:val="24"/>
          <w:szCs w:val="24"/>
        </w:rPr>
        <w:t>VENDIM</w:t>
      </w:r>
    </w:p>
    <w:p w14:paraId="6FEAA8B0" w14:textId="77777777" w:rsidR="00AB61D3" w:rsidRPr="00B76F5D" w:rsidRDefault="00AB61D3" w:rsidP="00AB61D3">
      <w:pPr>
        <w:autoSpaceDE w:val="0"/>
        <w:autoSpaceDN w:val="0"/>
        <w:adjustRightInd w:val="0"/>
        <w:spacing w:after="0" w:line="240" w:lineRule="auto"/>
        <w:ind w:firstLine="284"/>
        <w:jc w:val="center"/>
        <w:rPr>
          <w:rFonts w:ascii="Garamond" w:hAnsi="Garamond" w:cs="Times New Roman"/>
          <w:color w:val="000000"/>
          <w:sz w:val="24"/>
          <w:szCs w:val="24"/>
        </w:rPr>
      </w:pPr>
    </w:p>
    <w:p w14:paraId="185668BE" w14:textId="77777777" w:rsidR="00AB61D3" w:rsidRPr="00B76F5D" w:rsidRDefault="00AB61D3" w:rsidP="00AB61D3">
      <w:pPr>
        <w:autoSpaceDE w:val="0"/>
        <w:autoSpaceDN w:val="0"/>
        <w:adjustRightInd w:val="0"/>
        <w:spacing w:after="0" w:line="240" w:lineRule="auto"/>
        <w:ind w:firstLine="284"/>
        <w:jc w:val="center"/>
        <w:rPr>
          <w:rFonts w:ascii="Garamond" w:hAnsi="Garamond" w:cs="Times New Roman"/>
          <w:i/>
          <w:color w:val="000000"/>
          <w:sz w:val="24"/>
          <w:szCs w:val="24"/>
        </w:rPr>
      </w:pPr>
      <w:r w:rsidRPr="00B76F5D">
        <w:rPr>
          <w:rFonts w:ascii="Garamond" w:hAnsi="Garamond" w:cs="Times New Roman"/>
          <w:i/>
          <w:color w:val="000000"/>
          <w:sz w:val="24"/>
          <w:szCs w:val="24"/>
        </w:rPr>
        <w:t>Kërkesa nr. 16399/20</w:t>
      </w:r>
    </w:p>
    <w:p w14:paraId="45FCFDCA" w14:textId="4FB601AB" w:rsidR="00AB61D3" w:rsidRPr="00B76F5D" w:rsidRDefault="003B574B" w:rsidP="00AB61D3">
      <w:pPr>
        <w:autoSpaceDE w:val="0"/>
        <w:autoSpaceDN w:val="0"/>
        <w:adjustRightInd w:val="0"/>
        <w:spacing w:after="0" w:line="240" w:lineRule="auto"/>
        <w:ind w:firstLine="284"/>
        <w:jc w:val="center"/>
        <w:rPr>
          <w:rFonts w:ascii="Garamond" w:hAnsi="Garamond" w:cs="Times New Roman"/>
          <w:b/>
          <w:color w:val="000000"/>
          <w:sz w:val="24"/>
          <w:szCs w:val="24"/>
        </w:rPr>
      </w:pPr>
      <w:r w:rsidRPr="00B76F5D">
        <w:rPr>
          <w:rFonts w:ascii="Garamond" w:hAnsi="Garamond" w:cs="Times New Roman"/>
          <w:b/>
          <w:color w:val="000000"/>
          <w:sz w:val="24"/>
          <w:szCs w:val="24"/>
        </w:rPr>
        <w:t xml:space="preserve">ALMA LIÇAJ </w:t>
      </w:r>
    </w:p>
    <w:p w14:paraId="15A11423" w14:textId="62E4E01B" w:rsidR="00AB61D3" w:rsidRPr="00B76F5D" w:rsidRDefault="003B574B" w:rsidP="00AB61D3">
      <w:pPr>
        <w:autoSpaceDE w:val="0"/>
        <w:autoSpaceDN w:val="0"/>
        <w:adjustRightInd w:val="0"/>
        <w:spacing w:after="0" w:line="240" w:lineRule="auto"/>
        <w:ind w:firstLine="284"/>
        <w:jc w:val="center"/>
        <w:rPr>
          <w:rFonts w:ascii="Garamond" w:hAnsi="Garamond" w:cs="Times New Roman"/>
          <w:b/>
          <w:color w:val="000000"/>
          <w:sz w:val="24"/>
          <w:szCs w:val="24"/>
        </w:rPr>
      </w:pPr>
      <w:r w:rsidRPr="00B76F5D">
        <w:rPr>
          <w:rFonts w:ascii="Garamond" w:hAnsi="Garamond" w:cs="Times New Roman"/>
          <w:b/>
          <w:color w:val="000000"/>
          <w:sz w:val="24"/>
          <w:szCs w:val="24"/>
        </w:rPr>
        <w:t>KUNDËR SHQIPËRISË</w:t>
      </w:r>
    </w:p>
    <w:p w14:paraId="7198DB3E" w14:textId="77777777" w:rsidR="00AB61D3" w:rsidRPr="00B76F5D" w:rsidRDefault="00AB61D3" w:rsidP="00AB61D3">
      <w:pPr>
        <w:autoSpaceDE w:val="0"/>
        <w:autoSpaceDN w:val="0"/>
        <w:adjustRightInd w:val="0"/>
        <w:spacing w:after="0" w:line="240" w:lineRule="auto"/>
        <w:ind w:firstLine="284"/>
        <w:jc w:val="center"/>
        <w:rPr>
          <w:rFonts w:ascii="Garamond" w:hAnsi="Garamond" w:cs="Times New Roman"/>
          <w:color w:val="000000"/>
          <w:sz w:val="24"/>
          <w:szCs w:val="24"/>
        </w:rPr>
      </w:pPr>
    </w:p>
    <w:p w14:paraId="101FBCF5" w14:textId="489EE86F" w:rsidR="00AB61D3" w:rsidRPr="00B76F5D" w:rsidRDefault="00AB61D3" w:rsidP="00AB61D3">
      <w:pPr>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 xml:space="preserve">Gjykata Evropiane e të Drejtave të Njeriut (Seksioni i Tretë), e mbledhur më 16 </w:t>
      </w:r>
      <w:r w:rsidR="003B574B" w:rsidRPr="00B76F5D">
        <w:rPr>
          <w:rFonts w:ascii="Garamond" w:hAnsi="Garamond" w:cs="Times New Roman"/>
          <w:color w:val="000000"/>
          <w:sz w:val="24"/>
          <w:szCs w:val="24"/>
        </w:rPr>
        <w:t>q</w:t>
      </w:r>
      <w:r w:rsidRPr="00B76F5D">
        <w:rPr>
          <w:rFonts w:ascii="Garamond" w:hAnsi="Garamond" w:cs="Times New Roman"/>
          <w:color w:val="000000"/>
          <w:sz w:val="24"/>
          <w:szCs w:val="24"/>
        </w:rPr>
        <w:t>ershor 2026</w:t>
      </w:r>
      <w:r w:rsidR="003B574B" w:rsidRPr="00B76F5D">
        <w:rPr>
          <w:rFonts w:ascii="Garamond" w:hAnsi="Garamond" w:cs="Times New Roman"/>
          <w:color w:val="000000"/>
          <w:sz w:val="24"/>
          <w:szCs w:val="24"/>
        </w:rPr>
        <w:t>,</w:t>
      </w:r>
      <w:r w:rsidRPr="00B76F5D">
        <w:rPr>
          <w:rFonts w:ascii="Garamond" w:hAnsi="Garamond" w:cs="Times New Roman"/>
          <w:color w:val="000000"/>
          <w:sz w:val="24"/>
          <w:szCs w:val="24"/>
        </w:rPr>
        <w:t xml:space="preserve"> si një Komitet i përbërë nga: </w:t>
      </w:r>
    </w:p>
    <w:p w14:paraId="2CA0B7FB" w14:textId="751526CF" w:rsidR="00AB61D3" w:rsidRPr="00B76F5D" w:rsidRDefault="00AB61D3" w:rsidP="00AB61D3">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rPr>
      </w:pPr>
      <w:r w:rsidRPr="00B76F5D">
        <w:rPr>
          <w:rFonts w:ascii="Garamond" w:hAnsi="Garamond" w:cs="Times New Roman"/>
          <w:color w:val="000000"/>
          <w:sz w:val="24"/>
          <w:szCs w:val="24"/>
        </w:rPr>
        <w:t xml:space="preserve"> </w:t>
      </w:r>
      <w:proofErr w:type="spellStart"/>
      <w:r w:rsidRPr="00B76F5D">
        <w:rPr>
          <w:rFonts w:ascii="Garamond" w:hAnsi="Garamond" w:cs="Times New Roman"/>
          <w:color w:val="000000"/>
          <w:sz w:val="24"/>
          <w:szCs w:val="24"/>
        </w:rPr>
        <w:t>Diana</w:t>
      </w:r>
      <w:proofErr w:type="spellEnd"/>
      <w:r w:rsidRPr="00B76F5D">
        <w:rPr>
          <w:rFonts w:ascii="Garamond" w:hAnsi="Garamond" w:cs="Times New Roman"/>
          <w:color w:val="000000"/>
          <w:sz w:val="24"/>
          <w:szCs w:val="24"/>
        </w:rPr>
        <w:t xml:space="preserve"> </w:t>
      </w:r>
      <w:proofErr w:type="spellStart"/>
      <w:r w:rsidRPr="00B76F5D">
        <w:rPr>
          <w:rFonts w:ascii="Garamond" w:hAnsi="Garamond" w:cs="Times New Roman"/>
          <w:color w:val="000000"/>
          <w:sz w:val="24"/>
          <w:szCs w:val="24"/>
        </w:rPr>
        <w:t>Kovatcheva</w:t>
      </w:r>
      <w:proofErr w:type="spellEnd"/>
      <w:r w:rsidRPr="00B76F5D">
        <w:rPr>
          <w:rFonts w:ascii="Garamond" w:hAnsi="Garamond" w:cs="Times New Roman"/>
          <w:color w:val="000000"/>
          <w:sz w:val="24"/>
          <w:szCs w:val="24"/>
        </w:rPr>
        <w:t>,</w:t>
      </w:r>
      <w:r w:rsidRPr="00B76F5D">
        <w:rPr>
          <w:rFonts w:ascii="Garamond" w:hAnsi="Garamond" w:cs="Times New Roman"/>
          <w:i/>
          <w:iCs/>
          <w:color w:val="000000"/>
          <w:sz w:val="24"/>
          <w:szCs w:val="24"/>
        </w:rPr>
        <w:t xml:space="preserve"> Kryetare, </w:t>
      </w:r>
    </w:p>
    <w:p w14:paraId="2CBEDBC5" w14:textId="63C69319" w:rsidR="00AB61D3" w:rsidRPr="00B76F5D" w:rsidRDefault="00AB61D3" w:rsidP="00AB61D3">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rPr>
      </w:pPr>
      <w:r w:rsidRPr="00B76F5D">
        <w:rPr>
          <w:rFonts w:ascii="Garamond" w:hAnsi="Garamond" w:cs="Times New Roman"/>
          <w:color w:val="000000"/>
          <w:sz w:val="24"/>
          <w:szCs w:val="24"/>
        </w:rPr>
        <w:t xml:space="preserve"> </w:t>
      </w:r>
      <w:proofErr w:type="spellStart"/>
      <w:r w:rsidRPr="00B76F5D">
        <w:rPr>
          <w:rFonts w:ascii="Garamond" w:hAnsi="Garamond" w:cs="Times New Roman"/>
          <w:color w:val="000000"/>
          <w:sz w:val="24"/>
          <w:szCs w:val="24"/>
        </w:rPr>
        <w:t>Darian</w:t>
      </w:r>
      <w:proofErr w:type="spellEnd"/>
      <w:r w:rsidRPr="00B76F5D">
        <w:rPr>
          <w:rFonts w:ascii="Garamond" w:hAnsi="Garamond" w:cs="Times New Roman"/>
          <w:color w:val="000000"/>
          <w:sz w:val="24"/>
          <w:szCs w:val="24"/>
        </w:rPr>
        <w:t xml:space="preserve"> </w:t>
      </w:r>
      <w:proofErr w:type="spellStart"/>
      <w:r w:rsidRPr="00B76F5D">
        <w:rPr>
          <w:rFonts w:ascii="Garamond" w:hAnsi="Garamond" w:cs="Times New Roman"/>
          <w:color w:val="000000"/>
          <w:sz w:val="24"/>
          <w:szCs w:val="24"/>
        </w:rPr>
        <w:t>Pavli</w:t>
      </w:r>
      <w:proofErr w:type="spellEnd"/>
      <w:r w:rsidRPr="00B76F5D">
        <w:rPr>
          <w:rFonts w:ascii="Garamond" w:hAnsi="Garamond" w:cs="Times New Roman"/>
          <w:color w:val="000000"/>
          <w:sz w:val="24"/>
          <w:szCs w:val="24"/>
        </w:rPr>
        <w:t xml:space="preserve">, </w:t>
      </w:r>
    </w:p>
    <w:p w14:paraId="3101E843" w14:textId="0A033B30" w:rsidR="00AB61D3" w:rsidRPr="00B76F5D" w:rsidRDefault="00AB61D3" w:rsidP="00AB61D3">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rPr>
      </w:pPr>
      <w:r w:rsidRPr="00B76F5D">
        <w:rPr>
          <w:rFonts w:ascii="Garamond" w:hAnsi="Garamond" w:cs="Times New Roman"/>
          <w:i/>
          <w:iCs/>
          <w:color w:val="000000"/>
          <w:sz w:val="24"/>
          <w:szCs w:val="24"/>
        </w:rPr>
        <w:t xml:space="preserve"> </w:t>
      </w:r>
      <w:proofErr w:type="spellStart"/>
      <w:r w:rsidRPr="00B76F5D">
        <w:rPr>
          <w:rFonts w:ascii="Garamond" w:hAnsi="Garamond" w:cs="Times New Roman"/>
          <w:color w:val="000000"/>
          <w:sz w:val="24"/>
          <w:szCs w:val="24"/>
        </w:rPr>
        <w:t>Vasilka</w:t>
      </w:r>
      <w:proofErr w:type="spellEnd"/>
      <w:r w:rsidRPr="00B76F5D">
        <w:rPr>
          <w:rFonts w:ascii="Garamond" w:hAnsi="Garamond" w:cs="Times New Roman"/>
          <w:color w:val="000000"/>
          <w:sz w:val="24"/>
          <w:szCs w:val="24"/>
        </w:rPr>
        <w:t xml:space="preserve"> </w:t>
      </w:r>
      <w:proofErr w:type="spellStart"/>
      <w:r w:rsidRPr="00B76F5D">
        <w:rPr>
          <w:rFonts w:ascii="Garamond" w:hAnsi="Garamond" w:cs="Times New Roman"/>
          <w:color w:val="000000"/>
          <w:sz w:val="24"/>
          <w:szCs w:val="24"/>
        </w:rPr>
        <w:t>Sancin</w:t>
      </w:r>
      <w:proofErr w:type="spellEnd"/>
      <w:r w:rsidRPr="00B76F5D">
        <w:rPr>
          <w:rFonts w:ascii="Garamond" w:hAnsi="Garamond" w:cs="Times New Roman"/>
          <w:color w:val="000000"/>
          <w:sz w:val="24"/>
          <w:szCs w:val="24"/>
        </w:rPr>
        <w:t xml:space="preserve">, </w:t>
      </w:r>
      <w:r w:rsidRPr="00B76F5D">
        <w:rPr>
          <w:rFonts w:ascii="Garamond" w:hAnsi="Garamond" w:cs="Times New Roman"/>
          <w:i/>
          <w:iCs/>
          <w:color w:val="000000"/>
          <w:sz w:val="24"/>
          <w:szCs w:val="24"/>
        </w:rPr>
        <w:t>gjyqtarë</w:t>
      </w:r>
    </w:p>
    <w:p w14:paraId="3138280F" w14:textId="448C31D3" w:rsidR="00AB61D3" w:rsidRPr="00B76F5D" w:rsidRDefault="00AB61D3" w:rsidP="00AB61D3">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rPr>
      </w:pPr>
      <w:r w:rsidRPr="00B76F5D">
        <w:rPr>
          <w:rFonts w:ascii="Garamond" w:hAnsi="Garamond" w:cs="Times New Roman"/>
          <w:color w:val="000000"/>
          <w:sz w:val="24"/>
          <w:szCs w:val="24"/>
        </w:rPr>
        <w:t xml:space="preserve">dhe </w:t>
      </w:r>
      <w:proofErr w:type="spellStart"/>
      <w:r w:rsidRPr="00B76F5D">
        <w:rPr>
          <w:rFonts w:ascii="Garamond" w:hAnsi="Garamond" w:cs="Times New Roman"/>
          <w:color w:val="000000"/>
          <w:sz w:val="24"/>
          <w:szCs w:val="24"/>
        </w:rPr>
        <w:t>Olga</w:t>
      </w:r>
      <w:proofErr w:type="spellEnd"/>
      <w:r w:rsidRPr="00B76F5D">
        <w:rPr>
          <w:rFonts w:ascii="Garamond" w:hAnsi="Garamond" w:cs="Times New Roman"/>
          <w:color w:val="000000"/>
          <w:sz w:val="24"/>
          <w:szCs w:val="24"/>
        </w:rPr>
        <w:t xml:space="preserve"> </w:t>
      </w:r>
      <w:proofErr w:type="spellStart"/>
      <w:r w:rsidRPr="00B76F5D">
        <w:rPr>
          <w:rFonts w:ascii="Garamond" w:hAnsi="Garamond" w:cs="Times New Roman"/>
          <w:color w:val="000000"/>
          <w:sz w:val="24"/>
          <w:szCs w:val="24"/>
        </w:rPr>
        <w:t>Chernishova</w:t>
      </w:r>
      <w:proofErr w:type="spellEnd"/>
      <w:r w:rsidRPr="00B76F5D">
        <w:rPr>
          <w:rFonts w:ascii="Garamond" w:hAnsi="Garamond" w:cs="Times New Roman"/>
          <w:color w:val="000000"/>
          <w:sz w:val="24"/>
          <w:szCs w:val="24"/>
        </w:rPr>
        <w:t xml:space="preserve">, </w:t>
      </w:r>
      <w:r w:rsidR="003B574B" w:rsidRPr="00B76F5D">
        <w:rPr>
          <w:rFonts w:ascii="Garamond" w:hAnsi="Garamond" w:cs="Times New Roman"/>
          <w:i/>
          <w:iCs/>
          <w:color w:val="000000"/>
          <w:sz w:val="24"/>
          <w:szCs w:val="24"/>
        </w:rPr>
        <w:t>z</w:t>
      </w:r>
      <w:r w:rsidRPr="00B76F5D">
        <w:rPr>
          <w:rFonts w:ascii="Garamond" w:hAnsi="Garamond" w:cs="Times New Roman"/>
          <w:i/>
          <w:iCs/>
          <w:color w:val="000000"/>
          <w:sz w:val="24"/>
          <w:szCs w:val="24"/>
        </w:rPr>
        <w:t>ëvendëssekretare e Seksionit,</w:t>
      </w:r>
    </w:p>
    <w:p w14:paraId="5265997F" w14:textId="2A0961CB"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i/>
          <w:iCs/>
          <w:color w:val="000000"/>
          <w:sz w:val="24"/>
          <w:szCs w:val="24"/>
        </w:rPr>
        <w:t xml:space="preserve"> </w:t>
      </w:r>
      <w:r w:rsidRPr="00B76F5D">
        <w:rPr>
          <w:rFonts w:ascii="Garamond" w:hAnsi="Garamond" w:cs="Times New Roman"/>
          <w:color w:val="000000"/>
          <w:sz w:val="24"/>
          <w:szCs w:val="24"/>
        </w:rPr>
        <w:t xml:space="preserve">Në lidhje me: </w:t>
      </w:r>
    </w:p>
    <w:p w14:paraId="1EBE7302" w14:textId="78E24ED1"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 xml:space="preserve"> kërkesën (nr. 16399/20) kundër Republikës së Shqipërisë të depozituar në Gjykatë në mbështetje të </w:t>
      </w:r>
      <w:r w:rsidR="003B574B" w:rsidRPr="00B76F5D">
        <w:rPr>
          <w:rFonts w:ascii="Garamond" w:hAnsi="Garamond" w:cs="Times New Roman"/>
          <w:color w:val="000000"/>
          <w:sz w:val="24"/>
          <w:szCs w:val="24"/>
        </w:rPr>
        <w:t>n</w:t>
      </w:r>
      <w:r w:rsidRPr="00B76F5D">
        <w:rPr>
          <w:rFonts w:ascii="Garamond" w:hAnsi="Garamond" w:cs="Times New Roman"/>
          <w:color w:val="000000"/>
          <w:sz w:val="24"/>
          <w:szCs w:val="24"/>
        </w:rPr>
        <w:t>enit 34 të Konventës për Mbrojtjen e të Drejtave të</w:t>
      </w:r>
      <w:r w:rsidR="003B574B" w:rsidRPr="00B76F5D">
        <w:rPr>
          <w:rFonts w:ascii="Garamond" w:hAnsi="Garamond" w:cs="Times New Roman"/>
          <w:color w:val="000000"/>
          <w:sz w:val="24"/>
          <w:szCs w:val="24"/>
        </w:rPr>
        <w:t xml:space="preserve"> Njeriut dhe Lirive Themelore (Konventa</w:t>
      </w:r>
      <w:r w:rsidRPr="00B76F5D">
        <w:rPr>
          <w:rFonts w:ascii="Garamond" w:hAnsi="Garamond" w:cs="Times New Roman"/>
          <w:color w:val="000000"/>
          <w:sz w:val="24"/>
          <w:szCs w:val="24"/>
        </w:rPr>
        <w:t xml:space="preserve">) më 8 </w:t>
      </w:r>
      <w:r w:rsidR="003B574B" w:rsidRPr="00B76F5D">
        <w:rPr>
          <w:rFonts w:ascii="Garamond" w:hAnsi="Garamond" w:cs="Times New Roman"/>
          <w:color w:val="000000"/>
          <w:sz w:val="24"/>
          <w:szCs w:val="24"/>
        </w:rPr>
        <w:t>p</w:t>
      </w:r>
      <w:r w:rsidRPr="00B76F5D">
        <w:rPr>
          <w:rFonts w:ascii="Garamond" w:hAnsi="Garamond" w:cs="Times New Roman"/>
          <w:color w:val="000000"/>
          <w:sz w:val="24"/>
          <w:szCs w:val="24"/>
        </w:rPr>
        <w:t>rill 2020</w:t>
      </w:r>
      <w:r w:rsidR="003B574B" w:rsidRPr="00B76F5D">
        <w:rPr>
          <w:rFonts w:ascii="Garamond" w:hAnsi="Garamond" w:cs="Times New Roman"/>
          <w:color w:val="000000"/>
          <w:sz w:val="24"/>
          <w:szCs w:val="24"/>
        </w:rPr>
        <w:t>,</w:t>
      </w:r>
      <w:r w:rsidRPr="00B76F5D">
        <w:rPr>
          <w:rFonts w:ascii="Garamond" w:hAnsi="Garamond" w:cs="Times New Roman"/>
          <w:color w:val="000000"/>
          <w:sz w:val="24"/>
          <w:szCs w:val="24"/>
        </w:rPr>
        <w:t xml:space="preserve"> nga një shtetase shqiptare, </w:t>
      </w:r>
      <w:proofErr w:type="spellStart"/>
      <w:r w:rsidR="003B574B" w:rsidRPr="00B76F5D">
        <w:rPr>
          <w:rFonts w:ascii="Garamond" w:hAnsi="Garamond" w:cs="Times New Roman"/>
          <w:color w:val="000000"/>
          <w:sz w:val="24"/>
          <w:szCs w:val="24"/>
        </w:rPr>
        <w:t>znj</w:t>
      </w:r>
      <w:proofErr w:type="spellEnd"/>
      <w:r w:rsidR="003B574B" w:rsidRPr="00B76F5D">
        <w:rPr>
          <w:rFonts w:ascii="Garamond" w:hAnsi="Garamond" w:cs="Times New Roman"/>
          <w:color w:val="000000"/>
          <w:sz w:val="24"/>
          <w:szCs w:val="24"/>
        </w:rPr>
        <w:t xml:space="preserve">. </w:t>
      </w:r>
      <w:proofErr w:type="spellStart"/>
      <w:r w:rsidR="003B574B" w:rsidRPr="00B76F5D">
        <w:rPr>
          <w:rFonts w:ascii="Garamond" w:hAnsi="Garamond" w:cs="Times New Roman"/>
          <w:color w:val="000000"/>
          <w:sz w:val="24"/>
          <w:szCs w:val="24"/>
        </w:rPr>
        <w:t>Alma</w:t>
      </w:r>
      <w:proofErr w:type="spellEnd"/>
      <w:r w:rsidR="003B574B" w:rsidRPr="00B76F5D">
        <w:rPr>
          <w:rFonts w:ascii="Garamond" w:hAnsi="Garamond" w:cs="Times New Roman"/>
          <w:color w:val="000000"/>
          <w:sz w:val="24"/>
          <w:szCs w:val="24"/>
        </w:rPr>
        <w:t xml:space="preserve"> </w:t>
      </w:r>
      <w:proofErr w:type="spellStart"/>
      <w:r w:rsidR="003B574B" w:rsidRPr="00B76F5D">
        <w:rPr>
          <w:rFonts w:ascii="Garamond" w:hAnsi="Garamond" w:cs="Times New Roman"/>
          <w:color w:val="000000"/>
          <w:sz w:val="24"/>
          <w:szCs w:val="24"/>
        </w:rPr>
        <w:t>Liçaj</w:t>
      </w:r>
      <w:proofErr w:type="spellEnd"/>
      <w:r w:rsidR="003B574B" w:rsidRPr="00B76F5D">
        <w:rPr>
          <w:rFonts w:ascii="Garamond" w:hAnsi="Garamond" w:cs="Times New Roman"/>
          <w:color w:val="000000"/>
          <w:sz w:val="24"/>
          <w:szCs w:val="24"/>
        </w:rPr>
        <w:t xml:space="preserve"> (kërkuesja</w:t>
      </w:r>
      <w:r w:rsidRPr="00B76F5D">
        <w:rPr>
          <w:rFonts w:ascii="Garamond" w:hAnsi="Garamond" w:cs="Times New Roman"/>
          <w:color w:val="000000"/>
          <w:sz w:val="24"/>
          <w:szCs w:val="24"/>
        </w:rPr>
        <w:t xml:space="preserve">), e cila ka lindur në vitin 1976, banon në Vlorë dhe u përfaqësua nga </w:t>
      </w:r>
      <w:r w:rsidR="003B574B" w:rsidRPr="00B76F5D">
        <w:rPr>
          <w:rFonts w:ascii="Garamond" w:hAnsi="Garamond" w:cs="Times New Roman"/>
          <w:color w:val="000000"/>
          <w:sz w:val="24"/>
          <w:szCs w:val="24"/>
        </w:rPr>
        <w:t>z</w:t>
      </w:r>
      <w:r w:rsidRPr="00B76F5D">
        <w:rPr>
          <w:rFonts w:ascii="Garamond" w:hAnsi="Garamond" w:cs="Times New Roman"/>
          <w:color w:val="000000"/>
          <w:sz w:val="24"/>
          <w:szCs w:val="24"/>
        </w:rPr>
        <w:t xml:space="preserve">. A. </w:t>
      </w:r>
      <w:proofErr w:type="spellStart"/>
      <w:r w:rsidRPr="00B76F5D">
        <w:rPr>
          <w:rFonts w:ascii="Garamond" w:hAnsi="Garamond" w:cs="Times New Roman"/>
          <w:color w:val="000000"/>
          <w:sz w:val="24"/>
          <w:szCs w:val="24"/>
        </w:rPr>
        <w:t>Saccucci</w:t>
      </w:r>
      <w:proofErr w:type="spellEnd"/>
      <w:r w:rsidRPr="00B76F5D">
        <w:rPr>
          <w:rFonts w:ascii="Garamond" w:hAnsi="Garamond" w:cs="Times New Roman"/>
          <w:color w:val="000000"/>
          <w:sz w:val="24"/>
          <w:szCs w:val="24"/>
        </w:rPr>
        <w:t xml:space="preserve">, dhe </w:t>
      </w:r>
      <w:proofErr w:type="spellStart"/>
      <w:r w:rsidR="003B574B" w:rsidRPr="00B76F5D">
        <w:rPr>
          <w:rFonts w:ascii="Garamond" w:hAnsi="Garamond" w:cs="Times New Roman"/>
          <w:color w:val="000000"/>
          <w:sz w:val="24"/>
          <w:szCs w:val="24"/>
        </w:rPr>
        <w:t>zn</w:t>
      </w:r>
      <w:r w:rsidRPr="00B76F5D">
        <w:rPr>
          <w:rFonts w:ascii="Garamond" w:hAnsi="Garamond" w:cs="Times New Roman"/>
          <w:color w:val="000000"/>
          <w:sz w:val="24"/>
          <w:szCs w:val="24"/>
        </w:rPr>
        <w:t>j</w:t>
      </w:r>
      <w:proofErr w:type="spellEnd"/>
      <w:r w:rsidRPr="00B76F5D">
        <w:rPr>
          <w:rFonts w:ascii="Garamond" w:hAnsi="Garamond" w:cs="Times New Roman"/>
          <w:color w:val="000000"/>
          <w:sz w:val="24"/>
          <w:szCs w:val="24"/>
        </w:rPr>
        <w:t xml:space="preserve">. G. </w:t>
      </w:r>
      <w:proofErr w:type="spellStart"/>
      <w:r w:rsidRPr="00B76F5D">
        <w:rPr>
          <w:rFonts w:ascii="Garamond" w:hAnsi="Garamond" w:cs="Times New Roman"/>
          <w:color w:val="000000"/>
          <w:sz w:val="24"/>
          <w:szCs w:val="24"/>
        </w:rPr>
        <w:t>Borgna</w:t>
      </w:r>
      <w:proofErr w:type="spellEnd"/>
      <w:r w:rsidRPr="00B76F5D">
        <w:rPr>
          <w:rFonts w:ascii="Garamond" w:hAnsi="Garamond" w:cs="Times New Roman"/>
          <w:color w:val="000000"/>
          <w:sz w:val="24"/>
          <w:szCs w:val="24"/>
        </w:rPr>
        <w:t>, avokatë të cilët e ushtrojnë profesionin në Romë;</w:t>
      </w:r>
    </w:p>
    <w:p w14:paraId="0B4ECD5A" w14:textId="01E974C5"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 xml:space="preserve"> vendimin për të njoftuar mbi ankesën</w:t>
      </w:r>
      <w:r w:rsidR="003B574B" w:rsidRPr="00B76F5D">
        <w:rPr>
          <w:rFonts w:ascii="Garamond" w:hAnsi="Garamond" w:cs="Times New Roman"/>
          <w:color w:val="000000"/>
          <w:sz w:val="24"/>
          <w:szCs w:val="24"/>
        </w:rPr>
        <w:t>,</w:t>
      </w:r>
      <w:r w:rsidRPr="00B76F5D">
        <w:rPr>
          <w:rFonts w:ascii="Garamond" w:hAnsi="Garamond" w:cs="Times New Roman"/>
          <w:color w:val="000000"/>
          <w:sz w:val="24"/>
          <w:szCs w:val="24"/>
        </w:rPr>
        <w:t xml:space="preserve"> në lidhje me të drejtën e kërkueses për respektimin e jetës private </w:t>
      </w:r>
      <w:r w:rsidR="003B574B" w:rsidRPr="00B76F5D">
        <w:rPr>
          <w:rFonts w:ascii="Garamond" w:hAnsi="Garamond" w:cs="Times New Roman"/>
          <w:color w:val="000000"/>
          <w:sz w:val="24"/>
          <w:szCs w:val="24"/>
        </w:rPr>
        <w:t>qeverinë shqiptare (Qeveria</w:t>
      </w:r>
      <w:r w:rsidRPr="00B76F5D">
        <w:rPr>
          <w:rFonts w:ascii="Garamond" w:hAnsi="Garamond" w:cs="Times New Roman"/>
          <w:color w:val="000000"/>
          <w:sz w:val="24"/>
          <w:szCs w:val="24"/>
        </w:rPr>
        <w:t xml:space="preserve">), përfaqësuar nga Agjenti i saj, </w:t>
      </w:r>
      <w:r w:rsidR="003B574B" w:rsidRPr="00B76F5D">
        <w:rPr>
          <w:rFonts w:ascii="Garamond" w:hAnsi="Garamond" w:cs="Times New Roman"/>
          <w:color w:val="000000"/>
          <w:sz w:val="24"/>
          <w:szCs w:val="24"/>
        </w:rPr>
        <w:t>z</w:t>
      </w:r>
      <w:r w:rsidRPr="00B76F5D">
        <w:rPr>
          <w:rFonts w:ascii="Garamond" w:hAnsi="Garamond" w:cs="Times New Roman"/>
          <w:color w:val="000000"/>
          <w:sz w:val="24"/>
          <w:szCs w:val="24"/>
        </w:rPr>
        <w:t xml:space="preserve">. O. </w:t>
      </w:r>
      <w:proofErr w:type="spellStart"/>
      <w:r w:rsidRPr="00B76F5D">
        <w:rPr>
          <w:rFonts w:ascii="Garamond" w:hAnsi="Garamond" w:cs="Times New Roman"/>
          <w:color w:val="000000"/>
          <w:sz w:val="24"/>
          <w:szCs w:val="24"/>
        </w:rPr>
        <w:t>Moçka</w:t>
      </w:r>
      <w:proofErr w:type="spellEnd"/>
      <w:r w:rsidRPr="00B76F5D">
        <w:rPr>
          <w:rFonts w:ascii="Garamond" w:hAnsi="Garamond" w:cs="Times New Roman"/>
          <w:color w:val="000000"/>
          <w:sz w:val="24"/>
          <w:szCs w:val="24"/>
        </w:rPr>
        <w:t xml:space="preserve">, Avokat i Përgjithshëm i Shtetit, dhe për ta shpallur pjesën tjetër të kërkesës të papranueshme; </w:t>
      </w:r>
    </w:p>
    <w:p w14:paraId="69289CF5" w14:textId="4CB9CACF"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 xml:space="preserve">konstatimet e palëve; </w:t>
      </w:r>
    </w:p>
    <w:p w14:paraId="561A43BC" w14:textId="2754E372"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 xml:space="preserve">Pasi diskutoi, vendos si më poshtë: </w:t>
      </w:r>
    </w:p>
    <w:p w14:paraId="0DCFD869" w14:textId="77777777"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LËNDA E ÇËSHTJES</w:t>
      </w:r>
    </w:p>
    <w:p w14:paraId="230848FE" w14:textId="4BDB3150"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1. Çështja ka të bëjë me shkarkimin nga detyra të kërkueses nga Komis</w:t>
      </w:r>
      <w:r w:rsidR="003B574B" w:rsidRPr="00B76F5D">
        <w:rPr>
          <w:rFonts w:ascii="Garamond" w:hAnsi="Garamond" w:cs="Times New Roman"/>
          <w:color w:val="000000"/>
          <w:sz w:val="24"/>
          <w:szCs w:val="24"/>
        </w:rPr>
        <w:t>ioni i Pavarur i Kualifikimit (KPK</w:t>
      </w:r>
      <w:r w:rsidRPr="00B76F5D">
        <w:rPr>
          <w:rFonts w:ascii="Garamond" w:hAnsi="Garamond" w:cs="Times New Roman"/>
          <w:color w:val="000000"/>
          <w:sz w:val="24"/>
          <w:szCs w:val="24"/>
        </w:rPr>
        <w:t>) dhe Koleg</w:t>
      </w:r>
      <w:r w:rsidR="003B574B" w:rsidRPr="00B76F5D">
        <w:rPr>
          <w:rFonts w:ascii="Garamond" w:hAnsi="Garamond" w:cs="Times New Roman"/>
          <w:color w:val="000000"/>
          <w:sz w:val="24"/>
          <w:szCs w:val="24"/>
        </w:rPr>
        <w:t>ji i Posaçëm i Apelimit (KPA</w:t>
      </w:r>
      <w:r w:rsidRPr="00B76F5D">
        <w:rPr>
          <w:rFonts w:ascii="Garamond" w:hAnsi="Garamond" w:cs="Times New Roman"/>
          <w:color w:val="000000"/>
          <w:sz w:val="24"/>
          <w:szCs w:val="24"/>
        </w:rPr>
        <w:t>) në bazë të Ligjit për Rivlerësimin Kalimtar (</w:t>
      </w:r>
      <w:proofErr w:type="spellStart"/>
      <w:r w:rsidRPr="00B76F5D">
        <w:rPr>
          <w:rFonts w:ascii="Garamond" w:hAnsi="Garamond" w:cs="Times New Roman"/>
          <w:i/>
          <w:color w:val="000000"/>
          <w:sz w:val="24"/>
          <w:szCs w:val="24"/>
        </w:rPr>
        <w:t>Vetting</w:t>
      </w:r>
      <w:proofErr w:type="spellEnd"/>
      <w:r w:rsidRPr="00B76F5D">
        <w:rPr>
          <w:rFonts w:ascii="Garamond" w:hAnsi="Garamond" w:cs="Times New Roman"/>
          <w:color w:val="000000"/>
          <w:sz w:val="24"/>
          <w:szCs w:val="24"/>
        </w:rPr>
        <w:t xml:space="preserve">-u) (shih </w:t>
      </w:r>
      <w:proofErr w:type="spellStart"/>
      <w:r w:rsidRPr="00B76F5D">
        <w:rPr>
          <w:rFonts w:ascii="Garamond" w:hAnsi="Garamond" w:cs="Times New Roman"/>
          <w:i/>
          <w:iCs/>
          <w:color w:val="000000"/>
          <w:sz w:val="24"/>
          <w:szCs w:val="24"/>
        </w:rPr>
        <w:t>Xhoxhaj</w:t>
      </w:r>
      <w:proofErr w:type="spellEnd"/>
      <w:r w:rsidRPr="00B76F5D">
        <w:rPr>
          <w:rFonts w:ascii="Garamond" w:hAnsi="Garamond" w:cs="Times New Roman"/>
          <w:i/>
          <w:iCs/>
          <w:color w:val="000000"/>
          <w:sz w:val="24"/>
          <w:szCs w:val="24"/>
        </w:rPr>
        <w:t xml:space="preserve"> kundër Shqipërisë</w:t>
      </w:r>
      <w:r w:rsidRPr="00B76F5D">
        <w:rPr>
          <w:rFonts w:ascii="Garamond" w:hAnsi="Garamond" w:cs="Times New Roman"/>
          <w:color w:val="000000"/>
          <w:sz w:val="24"/>
          <w:szCs w:val="24"/>
        </w:rPr>
        <w:t xml:space="preserve">, nr. 15227/19, 9 </w:t>
      </w:r>
      <w:r w:rsidR="003B574B" w:rsidRPr="00B76F5D">
        <w:rPr>
          <w:rFonts w:ascii="Garamond" w:hAnsi="Garamond" w:cs="Times New Roman"/>
          <w:color w:val="000000"/>
          <w:sz w:val="24"/>
          <w:szCs w:val="24"/>
        </w:rPr>
        <w:t>s</w:t>
      </w:r>
      <w:r w:rsidRPr="00B76F5D">
        <w:rPr>
          <w:rFonts w:ascii="Garamond" w:hAnsi="Garamond" w:cs="Times New Roman"/>
          <w:color w:val="000000"/>
          <w:sz w:val="24"/>
          <w:szCs w:val="24"/>
        </w:rPr>
        <w:t>hkurt 2021).</w:t>
      </w:r>
    </w:p>
    <w:p w14:paraId="0FE4F472" w14:textId="32FFB044"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2. Kërkuesja u emërua gjyqtare në vitin 2000 dhe së fundmi ushtroi detyrën e Kryetares së Gjykatës së Apelit Vlorë. Ajo u martua me M.</w:t>
      </w:r>
      <w:r w:rsidR="003B574B" w:rsidRPr="00B76F5D">
        <w:rPr>
          <w:rFonts w:ascii="Garamond" w:hAnsi="Garamond" w:cs="Times New Roman"/>
          <w:color w:val="000000"/>
          <w:sz w:val="24"/>
          <w:szCs w:val="24"/>
        </w:rPr>
        <w:t xml:space="preserve"> </w:t>
      </w:r>
      <w:r w:rsidRPr="00B76F5D">
        <w:rPr>
          <w:rFonts w:ascii="Garamond" w:hAnsi="Garamond" w:cs="Times New Roman"/>
          <w:color w:val="000000"/>
          <w:sz w:val="24"/>
          <w:szCs w:val="24"/>
        </w:rPr>
        <w:t>L.-në në vitin 2003.</w:t>
      </w:r>
    </w:p>
    <w:p w14:paraId="5D82676B" w14:textId="18CC9892"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 xml:space="preserve">3. Më 15 </w:t>
      </w:r>
      <w:r w:rsidR="003B574B" w:rsidRPr="00B76F5D">
        <w:rPr>
          <w:rFonts w:ascii="Garamond" w:hAnsi="Garamond" w:cs="Times New Roman"/>
          <w:color w:val="000000"/>
          <w:sz w:val="24"/>
          <w:szCs w:val="24"/>
        </w:rPr>
        <w:t>n</w:t>
      </w:r>
      <w:r w:rsidRPr="00B76F5D">
        <w:rPr>
          <w:rFonts w:ascii="Garamond" w:hAnsi="Garamond" w:cs="Times New Roman"/>
          <w:color w:val="000000"/>
          <w:sz w:val="24"/>
          <w:szCs w:val="24"/>
        </w:rPr>
        <w:t>ëntor 2018, KPK-ja e shkarkoi kërkuesen nga detyra. KPK iu referua, veçanërisht, një automjeti të blerë nga M.</w:t>
      </w:r>
      <w:r w:rsidR="003B574B" w:rsidRPr="00B76F5D">
        <w:rPr>
          <w:rFonts w:ascii="Garamond" w:hAnsi="Garamond" w:cs="Times New Roman"/>
          <w:color w:val="000000"/>
          <w:sz w:val="24"/>
          <w:szCs w:val="24"/>
        </w:rPr>
        <w:t xml:space="preserve"> </w:t>
      </w:r>
      <w:r w:rsidRPr="00B76F5D">
        <w:rPr>
          <w:rFonts w:ascii="Garamond" w:hAnsi="Garamond" w:cs="Times New Roman"/>
          <w:color w:val="000000"/>
          <w:sz w:val="24"/>
          <w:szCs w:val="24"/>
        </w:rPr>
        <w:t>L. në vitin 2009, i cili rezultonte të ishte raportuar si i vjedhur, dhe që më parë kishte qenë në bashkëpronësi të tij me një person tjetër; si dhe huave private (me sa duket, të paktën njëra prej tyre me para në dorë në vitin 2013) për dy apartamente në Tiranë, të cilat ishin deklaruar në deklaratën e rivlerësimit kalimtar (</w:t>
      </w:r>
      <w:proofErr w:type="spellStart"/>
      <w:r w:rsidRPr="00B76F5D">
        <w:rPr>
          <w:rFonts w:ascii="Garamond" w:hAnsi="Garamond" w:cs="Times New Roman"/>
          <w:i/>
          <w:color w:val="000000"/>
          <w:sz w:val="24"/>
          <w:szCs w:val="24"/>
        </w:rPr>
        <w:t>vetting</w:t>
      </w:r>
      <w:proofErr w:type="spellEnd"/>
      <w:r w:rsidRPr="00B76F5D">
        <w:rPr>
          <w:rFonts w:ascii="Garamond" w:hAnsi="Garamond" w:cs="Times New Roman"/>
          <w:color w:val="000000"/>
          <w:sz w:val="24"/>
          <w:szCs w:val="24"/>
        </w:rPr>
        <w:t>) si pasuri e përbashkët bashkëshortore.</w:t>
      </w:r>
    </w:p>
    <w:p w14:paraId="6EC661F0" w14:textId="75079246"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 xml:space="preserve">4. Më 23 </w:t>
      </w:r>
      <w:r w:rsidR="003B574B" w:rsidRPr="00B76F5D">
        <w:rPr>
          <w:rFonts w:ascii="Garamond" w:hAnsi="Garamond" w:cs="Times New Roman"/>
          <w:color w:val="000000"/>
          <w:sz w:val="24"/>
          <w:szCs w:val="24"/>
        </w:rPr>
        <w:t>s</w:t>
      </w:r>
      <w:r w:rsidRPr="00B76F5D">
        <w:rPr>
          <w:rFonts w:ascii="Garamond" w:hAnsi="Garamond" w:cs="Times New Roman"/>
          <w:color w:val="000000"/>
          <w:sz w:val="24"/>
          <w:szCs w:val="24"/>
        </w:rPr>
        <w:t>htator 2019, KPA</w:t>
      </w:r>
      <w:r w:rsidR="003B574B" w:rsidRPr="00B76F5D">
        <w:rPr>
          <w:rFonts w:ascii="Garamond" w:hAnsi="Garamond" w:cs="Times New Roman"/>
          <w:color w:val="000000"/>
          <w:sz w:val="24"/>
          <w:szCs w:val="24"/>
        </w:rPr>
        <w:t>-ja</w:t>
      </w:r>
      <w:r w:rsidRPr="00B76F5D">
        <w:rPr>
          <w:rFonts w:ascii="Garamond" w:hAnsi="Garamond" w:cs="Times New Roman"/>
          <w:color w:val="000000"/>
          <w:sz w:val="24"/>
          <w:szCs w:val="24"/>
        </w:rPr>
        <w:t xml:space="preserve"> la në fuqi shkarkimin e kërkue</w:t>
      </w:r>
      <w:r w:rsidR="003B574B" w:rsidRPr="00B76F5D">
        <w:rPr>
          <w:rFonts w:ascii="Garamond" w:hAnsi="Garamond" w:cs="Times New Roman"/>
          <w:color w:val="000000"/>
          <w:sz w:val="24"/>
          <w:szCs w:val="24"/>
        </w:rPr>
        <w:t>ses në bazë të nenit 61(3) dhe 5</w:t>
      </w:r>
      <w:r w:rsidRPr="00B76F5D">
        <w:rPr>
          <w:rFonts w:ascii="Garamond" w:hAnsi="Garamond" w:cs="Times New Roman"/>
          <w:color w:val="000000"/>
          <w:sz w:val="24"/>
          <w:szCs w:val="24"/>
        </w:rPr>
        <w:t xml:space="preserve"> të Ligjit për Rivlerësimin Kalimtar. KPA</w:t>
      </w:r>
      <w:r w:rsidR="003B574B" w:rsidRPr="00B76F5D">
        <w:rPr>
          <w:rFonts w:ascii="Garamond" w:hAnsi="Garamond" w:cs="Times New Roman"/>
          <w:color w:val="000000"/>
          <w:sz w:val="24"/>
          <w:szCs w:val="24"/>
        </w:rPr>
        <w:t>-ja</w:t>
      </w:r>
      <w:r w:rsidRPr="00B76F5D">
        <w:rPr>
          <w:rFonts w:ascii="Garamond" w:hAnsi="Garamond" w:cs="Times New Roman"/>
          <w:color w:val="000000"/>
          <w:sz w:val="24"/>
          <w:szCs w:val="24"/>
        </w:rPr>
        <w:t xml:space="preserve"> vendosi si më poshtë</w:t>
      </w:r>
      <w:r w:rsidR="003B574B" w:rsidRPr="00B76F5D">
        <w:rPr>
          <w:rFonts w:ascii="Garamond" w:hAnsi="Garamond" w:cs="Times New Roman"/>
          <w:color w:val="000000"/>
          <w:sz w:val="24"/>
          <w:szCs w:val="24"/>
        </w:rPr>
        <w:t>,</w:t>
      </w:r>
      <w:r w:rsidRPr="00B76F5D">
        <w:rPr>
          <w:rFonts w:ascii="Garamond" w:hAnsi="Garamond" w:cs="Times New Roman"/>
          <w:color w:val="000000"/>
          <w:sz w:val="24"/>
          <w:szCs w:val="24"/>
        </w:rPr>
        <w:t xml:space="preserve"> lidhur me apartamentin e parë në Tiranë.</w:t>
      </w:r>
    </w:p>
    <w:p w14:paraId="4BA82DDF" w14:textId="780A5347"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a) Në vitin 2008, M.</w:t>
      </w:r>
      <w:r w:rsidR="003B574B" w:rsidRPr="00B76F5D">
        <w:rPr>
          <w:rFonts w:ascii="Garamond" w:hAnsi="Garamond" w:cs="Times New Roman"/>
          <w:color w:val="000000"/>
          <w:sz w:val="24"/>
          <w:szCs w:val="24"/>
        </w:rPr>
        <w:t xml:space="preserve"> </w:t>
      </w:r>
      <w:r w:rsidRPr="00B76F5D">
        <w:rPr>
          <w:rFonts w:ascii="Garamond" w:hAnsi="Garamond" w:cs="Times New Roman"/>
          <w:color w:val="000000"/>
          <w:sz w:val="24"/>
          <w:szCs w:val="24"/>
        </w:rPr>
        <w:t>L. dhe A.</w:t>
      </w:r>
      <w:r w:rsidR="003B574B" w:rsidRPr="00B76F5D">
        <w:rPr>
          <w:rFonts w:ascii="Garamond" w:hAnsi="Garamond" w:cs="Times New Roman"/>
          <w:color w:val="000000"/>
          <w:sz w:val="24"/>
          <w:szCs w:val="24"/>
        </w:rPr>
        <w:t xml:space="preserve"> </w:t>
      </w:r>
      <w:r w:rsidRPr="00B76F5D">
        <w:rPr>
          <w:rFonts w:ascii="Garamond" w:hAnsi="Garamond" w:cs="Times New Roman"/>
          <w:color w:val="000000"/>
          <w:sz w:val="24"/>
          <w:szCs w:val="24"/>
        </w:rPr>
        <w:t>M. kishin nënshkruar një marrëveshje huaje për shumën prej 60,000 eurosh (EUR), të dhëna hua M.</w:t>
      </w:r>
      <w:r w:rsidR="003B574B" w:rsidRPr="00B76F5D">
        <w:rPr>
          <w:rFonts w:ascii="Garamond" w:hAnsi="Garamond" w:cs="Times New Roman"/>
          <w:color w:val="000000"/>
          <w:sz w:val="24"/>
          <w:szCs w:val="24"/>
        </w:rPr>
        <w:t xml:space="preserve"> </w:t>
      </w:r>
      <w:r w:rsidRPr="00B76F5D">
        <w:rPr>
          <w:rFonts w:ascii="Garamond" w:hAnsi="Garamond" w:cs="Times New Roman"/>
          <w:color w:val="000000"/>
          <w:sz w:val="24"/>
          <w:szCs w:val="24"/>
        </w:rPr>
        <w:t>L</w:t>
      </w:r>
      <w:r w:rsidR="003B574B" w:rsidRPr="00B76F5D">
        <w:rPr>
          <w:rFonts w:ascii="Garamond" w:hAnsi="Garamond" w:cs="Times New Roman"/>
          <w:color w:val="000000"/>
          <w:sz w:val="24"/>
          <w:szCs w:val="24"/>
        </w:rPr>
        <w:t>.</w:t>
      </w:r>
      <w:r w:rsidRPr="00B76F5D">
        <w:rPr>
          <w:rFonts w:ascii="Garamond" w:hAnsi="Garamond" w:cs="Times New Roman"/>
          <w:color w:val="000000"/>
          <w:sz w:val="24"/>
          <w:szCs w:val="24"/>
        </w:rPr>
        <w:t>-së nga kjo e fundit</w:t>
      </w:r>
      <w:r w:rsidR="003B574B" w:rsidRPr="00B76F5D">
        <w:rPr>
          <w:rFonts w:ascii="Garamond" w:hAnsi="Garamond" w:cs="Times New Roman"/>
          <w:color w:val="000000"/>
          <w:sz w:val="24"/>
          <w:szCs w:val="24"/>
        </w:rPr>
        <w:t>,</w:t>
      </w:r>
      <w:r w:rsidRPr="00B76F5D">
        <w:rPr>
          <w:rFonts w:ascii="Garamond" w:hAnsi="Garamond" w:cs="Times New Roman"/>
          <w:color w:val="000000"/>
          <w:sz w:val="24"/>
          <w:szCs w:val="24"/>
        </w:rPr>
        <w:t xml:space="preserve"> me qëllim blerjen e një apartamenti. Nëpërmjet një kontrate ndërtimi të vitit 2009 me kompaninë A.</w:t>
      </w:r>
      <w:r w:rsidR="003B574B" w:rsidRPr="00B76F5D">
        <w:rPr>
          <w:rFonts w:ascii="Garamond" w:hAnsi="Garamond" w:cs="Times New Roman"/>
          <w:color w:val="000000"/>
          <w:sz w:val="24"/>
          <w:szCs w:val="24"/>
        </w:rPr>
        <w:t xml:space="preserve"> </w:t>
      </w:r>
      <w:r w:rsidRPr="00B76F5D">
        <w:rPr>
          <w:rFonts w:ascii="Garamond" w:hAnsi="Garamond" w:cs="Times New Roman"/>
          <w:color w:val="000000"/>
          <w:sz w:val="24"/>
          <w:szCs w:val="24"/>
        </w:rPr>
        <w:t>C. dhe kompaninë B., M.</w:t>
      </w:r>
      <w:r w:rsidR="003B574B" w:rsidRPr="00B76F5D">
        <w:rPr>
          <w:rFonts w:ascii="Garamond" w:hAnsi="Garamond" w:cs="Times New Roman"/>
          <w:color w:val="000000"/>
          <w:sz w:val="24"/>
          <w:szCs w:val="24"/>
        </w:rPr>
        <w:t xml:space="preserve"> </w:t>
      </w:r>
      <w:r w:rsidRPr="00B76F5D">
        <w:rPr>
          <w:rFonts w:ascii="Garamond" w:hAnsi="Garamond" w:cs="Times New Roman"/>
          <w:color w:val="000000"/>
          <w:sz w:val="24"/>
          <w:szCs w:val="24"/>
        </w:rPr>
        <w:t xml:space="preserve">L. kishte kontraktuar blerjen e një apartamenti në Tiranë për shumën 97,664 EUR, përfshirë një </w:t>
      </w:r>
      <w:proofErr w:type="spellStart"/>
      <w:r w:rsidRPr="00B76F5D">
        <w:rPr>
          <w:rFonts w:ascii="Garamond" w:hAnsi="Garamond" w:cs="Times New Roman"/>
          <w:color w:val="000000"/>
          <w:sz w:val="24"/>
          <w:szCs w:val="24"/>
        </w:rPr>
        <w:t>vendparkim</w:t>
      </w:r>
      <w:proofErr w:type="spellEnd"/>
      <w:r w:rsidRPr="00B76F5D">
        <w:rPr>
          <w:rFonts w:ascii="Garamond" w:hAnsi="Garamond" w:cs="Times New Roman"/>
          <w:color w:val="000000"/>
          <w:sz w:val="24"/>
          <w:szCs w:val="24"/>
        </w:rPr>
        <w:t xml:space="preserve"> prej 12,000 EUR; kontrata parashikonte dorëzimin brenda 24 muajve dhe </w:t>
      </w:r>
      <w:proofErr w:type="spellStart"/>
      <w:r w:rsidRPr="00B76F5D">
        <w:rPr>
          <w:rFonts w:ascii="Garamond" w:hAnsi="Garamond" w:cs="Times New Roman"/>
          <w:color w:val="000000"/>
          <w:sz w:val="24"/>
          <w:szCs w:val="24"/>
        </w:rPr>
        <w:t>penalitet</w:t>
      </w:r>
      <w:proofErr w:type="spellEnd"/>
      <w:r w:rsidRPr="00B76F5D">
        <w:rPr>
          <w:rFonts w:ascii="Garamond" w:hAnsi="Garamond" w:cs="Times New Roman"/>
          <w:color w:val="000000"/>
          <w:sz w:val="24"/>
          <w:szCs w:val="24"/>
        </w:rPr>
        <w:t xml:space="preserve"> për vonesë. Në deklaratën e saj të pasurisë për vitin 2009, kërkuesja kishte raportuar shumën 72,000 EUR si pagesë për atë apartament. Rezulton se në </w:t>
      </w:r>
      <w:r w:rsidR="003B574B" w:rsidRPr="00B76F5D">
        <w:rPr>
          <w:rFonts w:ascii="Garamond" w:hAnsi="Garamond" w:cs="Times New Roman"/>
          <w:color w:val="000000"/>
          <w:sz w:val="24"/>
          <w:szCs w:val="24"/>
        </w:rPr>
        <w:t>d</w:t>
      </w:r>
      <w:r w:rsidRPr="00B76F5D">
        <w:rPr>
          <w:rFonts w:ascii="Garamond" w:hAnsi="Garamond" w:cs="Times New Roman"/>
          <w:color w:val="000000"/>
          <w:sz w:val="24"/>
          <w:szCs w:val="24"/>
        </w:rPr>
        <w:t xml:space="preserve">hjetor të vitit 2016, kompania B. e kishte ulur çmimin e blerjes me 9,964 EUR dhe ishte lëshuar një procesverbal për dorëzimin e apartamentit. Në deklaratën e rivlerësimit </w:t>
      </w:r>
      <w:r w:rsidRPr="00B76F5D">
        <w:rPr>
          <w:rFonts w:ascii="Garamond" w:hAnsi="Garamond" w:cs="Times New Roman"/>
          <w:color w:val="000000"/>
          <w:sz w:val="24"/>
          <w:szCs w:val="24"/>
        </w:rPr>
        <w:lastRenderedPageBreak/>
        <w:t>kalimtar, si burime u renditën: huaja prej 60.000 eurosh, ulja e çmimit me 25.664 euro dhe huaja prej 12.000 eurosh në vitin 2009 nga vëllai i bashkëshortit, A.</w:t>
      </w:r>
      <w:r w:rsidR="0066478B" w:rsidRPr="00B76F5D">
        <w:rPr>
          <w:rFonts w:ascii="Garamond" w:hAnsi="Garamond" w:cs="Times New Roman"/>
          <w:color w:val="000000"/>
          <w:sz w:val="24"/>
          <w:szCs w:val="24"/>
        </w:rPr>
        <w:t xml:space="preserve"> </w:t>
      </w:r>
      <w:r w:rsidRPr="00B76F5D">
        <w:rPr>
          <w:rFonts w:ascii="Garamond" w:hAnsi="Garamond" w:cs="Times New Roman"/>
          <w:color w:val="000000"/>
          <w:sz w:val="24"/>
          <w:szCs w:val="24"/>
        </w:rPr>
        <w:t>L.</w:t>
      </w:r>
    </w:p>
    <w:p w14:paraId="0DF49D41" w14:textId="5FBF4226"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 xml:space="preserve">b) Deklarimi i pasurisë së kërkueses për vitin 2009 kishte treguar si burime financimi për të njëjtën banesë pagat dhe kursimet, dhe kishte lënë pa përmendur </w:t>
      </w:r>
      <w:proofErr w:type="spellStart"/>
      <w:r w:rsidRPr="00B76F5D">
        <w:rPr>
          <w:rFonts w:ascii="Garamond" w:hAnsi="Garamond" w:cs="Times New Roman"/>
          <w:color w:val="000000"/>
          <w:sz w:val="24"/>
          <w:szCs w:val="24"/>
        </w:rPr>
        <w:t>vendparkimin</w:t>
      </w:r>
      <w:proofErr w:type="spellEnd"/>
      <w:r w:rsidRPr="00B76F5D">
        <w:rPr>
          <w:rFonts w:ascii="Garamond" w:hAnsi="Garamond" w:cs="Times New Roman"/>
          <w:color w:val="000000"/>
          <w:sz w:val="24"/>
          <w:szCs w:val="24"/>
        </w:rPr>
        <w:t xml:space="preserve"> me vlerë 12,000 euro, i cili ishte deklaruar për herë të parë në deklaratën e vitit 2016. Deklarata e procesit të rivlerësimit (</w:t>
      </w:r>
      <w:proofErr w:type="spellStart"/>
      <w:r w:rsidRPr="00B76F5D">
        <w:rPr>
          <w:rFonts w:ascii="Garamond" w:hAnsi="Garamond" w:cs="Times New Roman"/>
          <w:i/>
          <w:color w:val="000000"/>
          <w:sz w:val="24"/>
          <w:szCs w:val="24"/>
        </w:rPr>
        <w:t>vetting</w:t>
      </w:r>
      <w:proofErr w:type="spellEnd"/>
      <w:r w:rsidRPr="00B76F5D">
        <w:rPr>
          <w:rFonts w:ascii="Garamond" w:hAnsi="Garamond" w:cs="Times New Roman"/>
          <w:color w:val="000000"/>
          <w:sz w:val="24"/>
          <w:szCs w:val="24"/>
        </w:rPr>
        <w:t xml:space="preserve">-ut), ndërkohë, iu referua huave. Kur, në vitin 2010, Inspektorati i Lartë i Deklarimit dhe Kontrollit të Pasurive dhe Konfliktit të Interesit (ILDKPKI) kishte konstatuar një mungesë fondesh prej rreth 16,000 eurosh për vitin 2009, </w:t>
      </w:r>
      <w:r w:rsidR="0066478B" w:rsidRPr="00B76F5D">
        <w:rPr>
          <w:rFonts w:ascii="Garamond" w:hAnsi="Garamond" w:cs="Times New Roman"/>
          <w:color w:val="000000"/>
          <w:sz w:val="24"/>
          <w:szCs w:val="24"/>
        </w:rPr>
        <w:t>kërkuesja kishte përmendur huan</w:t>
      </w:r>
      <w:r w:rsidRPr="00B76F5D">
        <w:rPr>
          <w:rFonts w:ascii="Garamond" w:hAnsi="Garamond" w:cs="Times New Roman"/>
          <w:color w:val="000000"/>
          <w:sz w:val="24"/>
          <w:szCs w:val="24"/>
        </w:rPr>
        <w:t xml:space="preserve"> prej 12,000 eurosh, për të cilën A.</w:t>
      </w:r>
      <w:r w:rsidR="0066478B" w:rsidRPr="00B76F5D">
        <w:rPr>
          <w:rFonts w:ascii="Garamond" w:hAnsi="Garamond" w:cs="Times New Roman"/>
          <w:color w:val="000000"/>
          <w:sz w:val="24"/>
          <w:szCs w:val="24"/>
        </w:rPr>
        <w:t xml:space="preserve"> </w:t>
      </w:r>
      <w:r w:rsidRPr="00B76F5D">
        <w:rPr>
          <w:rFonts w:ascii="Garamond" w:hAnsi="Garamond" w:cs="Times New Roman"/>
          <w:color w:val="000000"/>
          <w:sz w:val="24"/>
          <w:szCs w:val="24"/>
        </w:rPr>
        <w:t xml:space="preserve">L. kishte nënshkruar një deklaratë të </w:t>
      </w:r>
      <w:proofErr w:type="spellStart"/>
      <w:r w:rsidRPr="00B76F5D">
        <w:rPr>
          <w:rFonts w:ascii="Garamond" w:hAnsi="Garamond" w:cs="Times New Roman"/>
          <w:color w:val="000000"/>
          <w:sz w:val="24"/>
          <w:szCs w:val="24"/>
        </w:rPr>
        <w:t>noterizuar</w:t>
      </w:r>
      <w:proofErr w:type="spellEnd"/>
      <w:r w:rsidRPr="00B76F5D">
        <w:rPr>
          <w:rFonts w:ascii="Garamond" w:hAnsi="Garamond" w:cs="Times New Roman"/>
          <w:color w:val="000000"/>
          <w:sz w:val="24"/>
          <w:szCs w:val="24"/>
        </w:rPr>
        <w:t xml:space="preserve"> të nesërmen. Megjithatë, ajo hua ishte deklaruar për herë të parë vetëm në deklaratën e vitit 2013 (si e pashlyer). A.</w:t>
      </w:r>
      <w:r w:rsidR="0066478B" w:rsidRPr="00B76F5D">
        <w:rPr>
          <w:rFonts w:ascii="Garamond" w:hAnsi="Garamond" w:cs="Times New Roman"/>
          <w:color w:val="000000"/>
          <w:sz w:val="24"/>
          <w:szCs w:val="24"/>
        </w:rPr>
        <w:t xml:space="preserve"> </w:t>
      </w:r>
      <w:r w:rsidRPr="00B76F5D">
        <w:rPr>
          <w:rFonts w:ascii="Garamond" w:hAnsi="Garamond" w:cs="Times New Roman"/>
          <w:color w:val="000000"/>
          <w:sz w:val="24"/>
          <w:szCs w:val="24"/>
        </w:rPr>
        <w:t>L., i cili vetë ishte bërë subjekt deklarues në vitin 2013 sipas Ligjit për Deklarimin e Pasurive të vitit 2003, nuk e kishte deklaruar kurrë atë. Ai pretendonte se kishte pasur mundësi financiare për të dhënë hua nga dy burime: të ardhura të lidhura me kompaninë L., në të cilën pretendohej se kishte qenë i përfshirë si ortak dhe/ose administrator; dhe të ardhura që pretendohej se vinin nga një “zonë ndërtimi”, të cilën ai pretendonte se e kishte përfituar përmes një kontrate zhvillimi të vitit 2005 dhe më pas e kishte kthyer në vlerë monetare. Megjithatë, gjatë periudhës 2005</w:t>
      </w:r>
      <w:r w:rsidR="0066478B" w:rsidRPr="00B76F5D">
        <w:rPr>
          <w:rFonts w:ascii="Garamond" w:hAnsi="Garamond" w:cs="Times New Roman"/>
          <w:color w:val="000000"/>
          <w:sz w:val="24"/>
          <w:szCs w:val="24"/>
        </w:rPr>
        <w:t>–</w:t>
      </w:r>
      <w:r w:rsidRPr="00B76F5D">
        <w:rPr>
          <w:rFonts w:ascii="Garamond" w:hAnsi="Garamond" w:cs="Times New Roman"/>
          <w:color w:val="000000"/>
          <w:sz w:val="24"/>
          <w:szCs w:val="24"/>
        </w:rPr>
        <w:t xml:space="preserve">2009, ai nuk kishte pasur asnjë rol në kompani dhe nuk ishin deklaruar apo shpërndarë </w:t>
      </w:r>
      <w:proofErr w:type="spellStart"/>
      <w:r w:rsidRPr="00B76F5D">
        <w:rPr>
          <w:rFonts w:ascii="Garamond" w:hAnsi="Garamond" w:cs="Times New Roman"/>
          <w:color w:val="000000"/>
          <w:sz w:val="24"/>
          <w:szCs w:val="24"/>
        </w:rPr>
        <w:t>divendë</w:t>
      </w:r>
      <w:proofErr w:type="spellEnd"/>
      <w:r w:rsidRPr="00B76F5D">
        <w:rPr>
          <w:rFonts w:ascii="Garamond" w:hAnsi="Garamond" w:cs="Times New Roman"/>
          <w:color w:val="000000"/>
          <w:sz w:val="24"/>
          <w:szCs w:val="24"/>
        </w:rPr>
        <w:t>; ai nuk e kishte marrë zonën e pretenduar të ndërtimit; dhe të dhënat për pagën e tij i përkisnin periudhës së mëvonshme. Kështu, kërkuesja kishte bërë një d</w:t>
      </w:r>
      <w:r w:rsidR="0066478B" w:rsidRPr="00B76F5D">
        <w:rPr>
          <w:rFonts w:ascii="Garamond" w:hAnsi="Garamond" w:cs="Times New Roman"/>
          <w:color w:val="000000"/>
          <w:sz w:val="24"/>
          <w:szCs w:val="24"/>
        </w:rPr>
        <w:t>eklarim të rremë lidhur me huan</w:t>
      </w:r>
      <w:r w:rsidRPr="00B76F5D">
        <w:rPr>
          <w:rFonts w:ascii="Garamond" w:hAnsi="Garamond" w:cs="Times New Roman"/>
          <w:color w:val="000000"/>
          <w:sz w:val="24"/>
          <w:szCs w:val="24"/>
        </w:rPr>
        <w:t xml:space="preserve"> nga A.</w:t>
      </w:r>
      <w:r w:rsidR="0066478B" w:rsidRPr="00B76F5D">
        <w:rPr>
          <w:rFonts w:ascii="Garamond" w:hAnsi="Garamond" w:cs="Times New Roman"/>
          <w:color w:val="000000"/>
          <w:sz w:val="24"/>
          <w:szCs w:val="24"/>
        </w:rPr>
        <w:t xml:space="preserve"> </w:t>
      </w:r>
      <w:r w:rsidRPr="00B76F5D">
        <w:rPr>
          <w:rFonts w:ascii="Garamond" w:hAnsi="Garamond" w:cs="Times New Roman"/>
          <w:color w:val="000000"/>
          <w:sz w:val="24"/>
          <w:szCs w:val="24"/>
        </w:rPr>
        <w:t>L.</w:t>
      </w:r>
    </w:p>
    <w:p w14:paraId="7C4186E6" w14:textId="2793C328"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c) Kërkuesja pretendonte se A.</w:t>
      </w:r>
      <w:r w:rsidR="0066478B" w:rsidRPr="00B76F5D">
        <w:rPr>
          <w:rFonts w:ascii="Garamond" w:hAnsi="Garamond" w:cs="Times New Roman"/>
          <w:color w:val="000000"/>
          <w:sz w:val="24"/>
          <w:szCs w:val="24"/>
        </w:rPr>
        <w:t xml:space="preserve"> </w:t>
      </w:r>
      <w:r w:rsidRPr="00B76F5D">
        <w:rPr>
          <w:rFonts w:ascii="Garamond" w:hAnsi="Garamond" w:cs="Times New Roman"/>
          <w:color w:val="000000"/>
          <w:sz w:val="24"/>
          <w:szCs w:val="24"/>
        </w:rPr>
        <w:t>M. kishte pasur burime të ligjshme për të dhënë shumën prej 60,000 eurosh përmes aktivitetit të biznesit dhe likuiditetit bankar. Megjithatë, KPA</w:t>
      </w:r>
      <w:r w:rsidR="0066478B" w:rsidRPr="00B76F5D">
        <w:rPr>
          <w:rFonts w:ascii="Garamond" w:hAnsi="Garamond" w:cs="Times New Roman"/>
          <w:color w:val="000000"/>
          <w:sz w:val="24"/>
          <w:szCs w:val="24"/>
        </w:rPr>
        <w:t>-ja</w:t>
      </w:r>
      <w:r w:rsidRPr="00B76F5D">
        <w:rPr>
          <w:rFonts w:ascii="Garamond" w:hAnsi="Garamond" w:cs="Times New Roman"/>
          <w:color w:val="000000"/>
          <w:sz w:val="24"/>
          <w:szCs w:val="24"/>
        </w:rPr>
        <w:t xml:space="preserve"> konstatoi se fitimet e tij të dokumentuara deri në vitin 2008 kishin qenë të kufizuara, se të dhënat bankare të siguruara nga KPK</w:t>
      </w:r>
      <w:r w:rsidR="0066478B" w:rsidRPr="00B76F5D">
        <w:rPr>
          <w:rFonts w:ascii="Garamond" w:hAnsi="Garamond" w:cs="Times New Roman"/>
          <w:color w:val="000000"/>
          <w:sz w:val="24"/>
          <w:szCs w:val="24"/>
        </w:rPr>
        <w:t>-ja</w:t>
      </w:r>
      <w:r w:rsidRPr="00B76F5D">
        <w:rPr>
          <w:rFonts w:ascii="Garamond" w:hAnsi="Garamond" w:cs="Times New Roman"/>
          <w:color w:val="000000"/>
          <w:sz w:val="24"/>
          <w:szCs w:val="24"/>
        </w:rPr>
        <w:t xml:space="preserve"> nuk e mbështetnin një shumë të tillë dhe se mënyra e deklaruar e shlyerjes nuk ishte dokumentuar në mënyrë bindëse. KPA</w:t>
      </w:r>
      <w:r w:rsidR="0066478B" w:rsidRPr="00B76F5D">
        <w:rPr>
          <w:rFonts w:ascii="Garamond" w:hAnsi="Garamond" w:cs="Times New Roman"/>
          <w:color w:val="000000"/>
          <w:sz w:val="24"/>
          <w:szCs w:val="24"/>
        </w:rPr>
        <w:t>-ja</w:t>
      </w:r>
      <w:r w:rsidRPr="00B76F5D">
        <w:rPr>
          <w:rFonts w:ascii="Garamond" w:hAnsi="Garamond" w:cs="Times New Roman"/>
          <w:color w:val="000000"/>
          <w:sz w:val="24"/>
          <w:szCs w:val="24"/>
        </w:rPr>
        <w:t xml:space="preserve"> identifikoi mospërputhje në llogaritjet e shlyerjes dhe hodhi poshtë pretendimin për </w:t>
      </w:r>
      <w:proofErr w:type="spellStart"/>
      <w:r w:rsidRPr="00B76F5D">
        <w:rPr>
          <w:rFonts w:ascii="Garamond" w:hAnsi="Garamond" w:cs="Times New Roman"/>
          <w:color w:val="000000"/>
          <w:sz w:val="24"/>
          <w:szCs w:val="24"/>
        </w:rPr>
        <w:t>rifinancimin</w:t>
      </w:r>
      <w:proofErr w:type="spellEnd"/>
      <w:r w:rsidRPr="00B76F5D">
        <w:rPr>
          <w:rFonts w:ascii="Garamond" w:hAnsi="Garamond" w:cs="Times New Roman"/>
          <w:color w:val="000000"/>
          <w:sz w:val="24"/>
          <w:szCs w:val="24"/>
        </w:rPr>
        <w:t xml:space="preserve"> e borxhit të mbetur përmes një huaje prej 30,000 eurosh nga K.</w:t>
      </w:r>
      <w:r w:rsidR="0066478B" w:rsidRPr="00B76F5D">
        <w:rPr>
          <w:rFonts w:ascii="Garamond" w:hAnsi="Garamond" w:cs="Times New Roman"/>
          <w:color w:val="000000"/>
          <w:sz w:val="24"/>
          <w:szCs w:val="24"/>
        </w:rPr>
        <w:t xml:space="preserve"> </w:t>
      </w:r>
      <w:r w:rsidRPr="00B76F5D">
        <w:rPr>
          <w:rFonts w:ascii="Garamond" w:hAnsi="Garamond" w:cs="Times New Roman"/>
          <w:color w:val="000000"/>
          <w:sz w:val="24"/>
          <w:szCs w:val="24"/>
        </w:rPr>
        <w:t>S. në vitin 2013. Aftësia financiare e K.</w:t>
      </w:r>
      <w:r w:rsidR="0066478B" w:rsidRPr="00B76F5D">
        <w:rPr>
          <w:rFonts w:ascii="Garamond" w:hAnsi="Garamond" w:cs="Times New Roman"/>
          <w:color w:val="000000"/>
          <w:sz w:val="24"/>
          <w:szCs w:val="24"/>
        </w:rPr>
        <w:t xml:space="preserve"> </w:t>
      </w:r>
      <w:r w:rsidRPr="00B76F5D">
        <w:rPr>
          <w:rFonts w:ascii="Garamond" w:hAnsi="Garamond" w:cs="Times New Roman"/>
          <w:color w:val="000000"/>
          <w:sz w:val="24"/>
          <w:szCs w:val="24"/>
        </w:rPr>
        <w:t xml:space="preserve">S. nuk u konfirmua pas shqyrtimit të </w:t>
      </w:r>
      <w:proofErr w:type="spellStart"/>
      <w:r w:rsidRPr="00B76F5D">
        <w:rPr>
          <w:rFonts w:ascii="Garamond" w:hAnsi="Garamond" w:cs="Times New Roman"/>
          <w:color w:val="000000"/>
          <w:sz w:val="24"/>
          <w:szCs w:val="24"/>
        </w:rPr>
        <w:t>të</w:t>
      </w:r>
      <w:proofErr w:type="spellEnd"/>
      <w:r w:rsidRPr="00B76F5D">
        <w:rPr>
          <w:rFonts w:ascii="Garamond" w:hAnsi="Garamond" w:cs="Times New Roman"/>
          <w:color w:val="000000"/>
          <w:sz w:val="24"/>
          <w:szCs w:val="24"/>
        </w:rPr>
        <w:t xml:space="preserve"> dhënave të tij tatimore, të dhënave mbi pagën, qarkullimin dhe fitimet për periudhën 2012</w:t>
      </w:r>
      <w:r w:rsidR="0066478B" w:rsidRPr="00B76F5D">
        <w:rPr>
          <w:rFonts w:ascii="Garamond" w:hAnsi="Garamond" w:cs="Times New Roman"/>
          <w:color w:val="000000"/>
          <w:sz w:val="24"/>
          <w:szCs w:val="24"/>
        </w:rPr>
        <w:t>–</w:t>
      </w:r>
      <w:r w:rsidRPr="00B76F5D">
        <w:rPr>
          <w:rFonts w:ascii="Garamond" w:hAnsi="Garamond" w:cs="Times New Roman"/>
          <w:color w:val="000000"/>
          <w:sz w:val="24"/>
          <w:szCs w:val="24"/>
        </w:rPr>
        <w:t xml:space="preserve">2013, si dhe të </w:t>
      </w:r>
      <w:proofErr w:type="spellStart"/>
      <w:r w:rsidRPr="00B76F5D">
        <w:rPr>
          <w:rFonts w:ascii="Garamond" w:hAnsi="Garamond" w:cs="Times New Roman"/>
          <w:color w:val="000000"/>
          <w:sz w:val="24"/>
          <w:szCs w:val="24"/>
        </w:rPr>
        <w:t>të</w:t>
      </w:r>
      <w:proofErr w:type="spellEnd"/>
      <w:r w:rsidRPr="00B76F5D">
        <w:rPr>
          <w:rFonts w:ascii="Garamond" w:hAnsi="Garamond" w:cs="Times New Roman"/>
          <w:color w:val="000000"/>
          <w:sz w:val="24"/>
          <w:szCs w:val="24"/>
        </w:rPr>
        <w:t xml:space="preserve"> ardhurave të prindërve të tij nga qiraja, për të cilat nuk ekzistonin prova të transferimeve tek K.</w:t>
      </w:r>
      <w:r w:rsidR="0066478B" w:rsidRPr="00B76F5D">
        <w:rPr>
          <w:rFonts w:ascii="Garamond" w:hAnsi="Garamond" w:cs="Times New Roman"/>
          <w:color w:val="000000"/>
          <w:sz w:val="24"/>
          <w:szCs w:val="24"/>
        </w:rPr>
        <w:t xml:space="preserve"> </w:t>
      </w:r>
      <w:r w:rsidRPr="00B76F5D">
        <w:rPr>
          <w:rFonts w:ascii="Garamond" w:hAnsi="Garamond" w:cs="Times New Roman"/>
          <w:color w:val="000000"/>
          <w:sz w:val="24"/>
          <w:szCs w:val="24"/>
        </w:rPr>
        <w:t>S. apo konfirmime tatimore.</w:t>
      </w:r>
    </w:p>
    <w:p w14:paraId="78E11FE9" w14:textId="22E0877E"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 xml:space="preserve">d) Kërkuesja pretendoi se shuma e pashlyer prej 25,664 eurosh ishte zbritur nga çmimi prej 97,664 eurosh “me marrëveshje të palëve”, për shkak të </w:t>
      </w:r>
      <w:proofErr w:type="spellStart"/>
      <w:r w:rsidRPr="00B76F5D">
        <w:rPr>
          <w:rFonts w:ascii="Garamond" w:hAnsi="Garamond" w:cs="Times New Roman"/>
          <w:color w:val="000000"/>
          <w:sz w:val="24"/>
          <w:szCs w:val="24"/>
        </w:rPr>
        <w:t>penaliteteve</w:t>
      </w:r>
      <w:proofErr w:type="spellEnd"/>
      <w:r w:rsidRPr="00B76F5D">
        <w:rPr>
          <w:rFonts w:ascii="Garamond" w:hAnsi="Garamond" w:cs="Times New Roman"/>
          <w:color w:val="000000"/>
          <w:sz w:val="24"/>
          <w:szCs w:val="24"/>
        </w:rPr>
        <w:t xml:space="preserve"> për vonesë dhe shpenzimeve të M.</w:t>
      </w:r>
      <w:r w:rsidR="0066478B" w:rsidRPr="00B76F5D">
        <w:rPr>
          <w:rFonts w:ascii="Garamond" w:hAnsi="Garamond" w:cs="Times New Roman"/>
          <w:color w:val="000000"/>
          <w:sz w:val="24"/>
          <w:szCs w:val="24"/>
        </w:rPr>
        <w:t xml:space="preserve"> </w:t>
      </w:r>
      <w:r w:rsidRPr="00B76F5D">
        <w:rPr>
          <w:rFonts w:ascii="Garamond" w:hAnsi="Garamond" w:cs="Times New Roman"/>
          <w:color w:val="000000"/>
          <w:sz w:val="24"/>
          <w:szCs w:val="24"/>
        </w:rPr>
        <w:t>L. për punimet e ndërtimit. Megjithatë, në vitin 2014 ajo kishte deklaruar para ILDKPKI</w:t>
      </w:r>
      <w:r w:rsidR="0066478B" w:rsidRPr="00B76F5D">
        <w:rPr>
          <w:rFonts w:ascii="Garamond" w:hAnsi="Garamond" w:cs="Times New Roman"/>
          <w:color w:val="000000"/>
          <w:sz w:val="24"/>
          <w:szCs w:val="24"/>
        </w:rPr>
        <w:t>-së</w:t>
      </w:r>
      <w:r w:rsidRPr="00B76F5D">
        <w:rPr>
          <w:rFonts w:ascii="Garamond" w:hAnsi="Garamond" w:cs="Times New Roman"/>
          <w:color w:val="000000"/>
          <w:sz w:val="24"/>
          <w:szCs w:val="24"/>
        </w:rPr>
        <w:t xml:space="preserve"> se i kishte “marrë tashmë çelësat e apartamentit” dhe se ajo shumë do të paguhej në momentin e regjistrimit të pronës. Ajo nuk kishte deklaruar as borxhin e mbetur, e as uljen e tij të supozuar vjetore. Dokumentet e punimeve të viteve 2010</w:t>
      </w:r>
      <w:r w:rsidR="0066478B" w:rsidRPr="00B76F5D">
        <w:rPr>
          <w:rFonts w:ascii="Garamond" w:hAnsi="Garamond" w:cs="Times New Roman"/>
          <w:color w:val="000000"/>
          <w:sz w:val="24"/>
          <w:szCs w:val="24"/>
        </w:rPr>
        <w:t>–</w:t>
      </w:r>
      <w:r w:rsidRPr="00B76F5D">
        <w:rPr>
          <w:rFonts w:ascii="Garamond" w:hAnsi="Garamond" w:cs="Times New Roman"/>
          <w:color w:val="000000"/>
          <w:sz w:val="24"/>
          <w:szCs w:val="24"/>
        </w:rPr>
        <w:t>2015 përsërisnin të njëjtat punime dhe vlera, si dhe binin në kundërshtim me të dhënat e ILDKPKI</w:t>
      </w:r>
      <w:r w:rsidR="0066478B" w:rsidRPr="00B76F5D">
        <w:rPr>
          <w:rFonts w:ascii="Garamond" w:hAnsi="Garamond" w:cs="Times New Roman"/>
          <w:color w:val="000000"/>
          <w:sz w:val="24"/>
          <w:szCs w:val="24"/>
        </w:rPr>
        <w:t>-së</w:t>
      </w:r>
      <w:r w:rsidRPr="00B76F5D">
        <w:rPr>
          <w:rFonts w:ascii="Garamond" w:hAnsi="Garamond" w:cs="Times New Roman"/>
          <w:color w:val="000000"/>
          <w:sz w:val="24"/>
          <w:szCs w:val="24"/>
        </w:rPr>
        <w:t xml:space="preserve"> dhe me kontratën, e cila nuk lejonte kryerjen e punimeve të ndërtimit nga palë të treta. Punimet e pretenduara ishin kryer falas nga kompania L. përmes një </w:t>
      </w:r>
      <w:proofErr w:type="spellStart"/>
      <w:r w:rsidRPr="00B76F5D">
        <w:rPr>
          <w:rFonts w:ascii="Garamond" w:hAnsi="Garamond" w:cs="Times New Roman"/>
          <w:color w:val="000000"/>
          <w:sz w:val="24"/>
          <w:szCs w:val="24"/>
        </w:rPr>
        <w:t>nënkontraktori</w:t>
      </w:r>
      <w:proofErr w:type="spellEnd"/>
      <w:r w:rsidRPr="00B76F5D">
        <w:rPr>
          <w:rFonts w:ascii="Garamond" w:hAnsi="Garamond" w:cs="Times New Roman"/>
          <w:color w:val="000000"/>
          <w:sz w:val="24"/>
          <w:szCs w:val="24"/>
        </w:rPr>
        <w:t xml:space="preserve">. Asnjë provë nuk tregonte për një marrëveshje specifike midis dy kompanive për uljen e çmimit me 25,664 euro; rrjedhimisht, ulja e pretenduar ishte e paprovuar dhe deklarimi për të ishte i rremë. </w:t>
      </w:r>
    </w:p>
    <w:p w14:paraId="6F921F4F" w14:textId="3914AD47"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5. Lidhur me apartamentin e dytë në Tiranë, KPA</w:t>
      </w:r>
      <w:r w:rsidR="0066478B" w:rsidRPr="00B76F5D">
        <w:rPr>
          <w:rFonts w:ascii="Garamond" w:hAnsi="Garamond" w:cs="Times New Roman"/>
          <w:color w:val="000000"/>
          <w:sz w:val="24"/>
          <w:szCs w:val="24"/>
        </w:rPr>
        <w:t>-ja</w:t>
      </w:r>
      <w:r w:rsidRPr="00B76F5D">
        <w:rPr>
          <w:rFonts w:ascii="Garamond" w:hAnsi="Garamond" w:cs="Times New Roman"/>
          <w:color w:val="000000"/>
          <w:sz w:val="24"/>
          <w:szCs w:val="24"/>
        </w:rPr>
        <w:t xml:space="preserve"> vuri në dukje se kërkuesja kishte deklaruar një hua prej 70,000 eurosh, të dhënë nga L.</w:t>
      </w:r>
      <w:r w:rsidR="0066478B" w:rsidRPr="00B76F5D">
        <w:rPr>
          <w:rFonts w:ascii="Garamond" w:hAnsi="Garamond" w:cs="Times New Roman"/>
          <w:color w:val="000000"/>
          <w:sz w:val="24"/>
          <w:szCs w:val="24"/>
        </w:rPr>
        <w:t xml:space="preserve"> </w:t>
      </w:r>
      <w:r w:rsidRPr="00B76F5D">
        <w:rPr>
          <w:rFonts w:ascii="Garamond" w:hAnsi="Garamond" w:cs="Times New Roman"/>
          <w:color w:val="000000"/>
          <w:sz w:val="24"/>
          <w:szCs w:val="24"/>
        </w:rPr>
        <w:t xml:space="preserve">S. në muajin </w:t>
      </w:r>
      <w:r w:rsidR="0066478B" w:rsidRPr="00B76F5D">
        <w:rPr>
          <w:rFonts w:ascii="Garamond" w:hAnsi="Garamond" w:cs="Times New Roman"/>
          <w:color w:val="000000"/>
          <w:sz w:val="24"/>
          <w:szCs w:val="24"/>
        </w:rPr>
        <w:t>k</w:t>
      </w:r>
      <w:r w:rsidRPr="00B76F5D">
        <w:rPr>
          <w:rFonts w:ascii="Garamond" w:hAnsi="Garamond" w:cs="Times New Roman"/>
          <w:color w:val="000000"/>
          <w:sz w:val="24"/>
          <w:szCs w:val="24"/>
        </w:rPr>
        <w:t>orrik të vitit 2016, si burimin e përdorur nga M.</w:t>
      </w:r>
      <w:r w:rsidR="0066478B" w:rsidRPr="00B76F5D">
        <w:rPr>
          <w:rFonts w:ascii="Garamond" w:hAnsi="Garamond" w:cs="Times New Roman"/>
          <w:color w:val="000000"/>
          <w:sz w:val="24"/>
          <w:szCs w:val="24"/>
        </w:rPr>
        <w:t xml:space="preserve"> </w:t>
      </w:r>
      <w:r w:rsidRPr="00B76F5D">
        <w:rPr>
          <w:rFonts w:ascii="Garamond" w:hAnsi="Garamond" w:cs="Times New Roman"/>
          <w:color w:val="000000"/>
          <w:sz w:val="24"/>
          <w:szCs w:val="24"/>
        </w:rPr>
        <w:t>L. për të blerë atë apartament për 60,000 euro në të njëjtin muaj. L.</w:t>
      </w:r>
      <w:r w:rsidR="0066478B" w:rsidRPr="00B76F5D">
        <w:rPr>
          <w:rFonts w:ascii="Garamond" w:hAnsi="Garamond" w:cs="Times New Roman"/>
          <w:color w:val="000000"/>
          <w:sz w:val="24"/>
          <w:szCs w:val="24"/>
        </w:rPr>
        <w:t xml:space="preserve"> </w:t>
      </w:r>
      <w:r w:rsidRPr="00B76F5D">
        <w:rPr>
          <w:rFonts w:ascii="Garamond" w:hAnsi="Garamond" w:cs="Times New Roman"/>
          <w:color w:val="000000"/>
          <w:sz w:val="24"/>
          <w:szCs w:val="24"/>
        </w:rPr>
        <w:t>S. deklaroi se i kishte pasur mjetet për të dhënë atë hua nga fitimet e një kompanie, në të cilën zotëronte 50%. KPA</w:t>
      </w:r>
      <w:r w:rsidR="0066478B" w:rsidRPr="00B76F5D">
        <w:rPr>
          <w:rFonts w:ascii="Garamond" w:hAnsi="Garamond" w:cs="Times New Roman"/>
          <w:color w:val="000000"/>
          <w:sz w:val="24"/>
          <w:szCs w:val="24"/>
        </w:rPr>
        <w:t>-ja</w:t>
      </w:r>
      <w:r w:rsidRPr="00B76F5D">
        <w:rPr>
          <w:rFonts w:ascii="Garamond" w:hAnsi="Garamond" w:cs="Times New Roman"/>
          <w:color w:val="000000"/>
          <w:sz w:val="24"/>
          <w:szCs w:val="24"/>
        </w:rPr>
        <w:t xml:space="preserve"> shqyrtoi raportet financiare të kompanisë, të dhënat tatimore të saj dhe të L.</w:t>
      </w:r>
      <w:r w:rsidR="0066478B" w:rsidRPr="00B76F5D">
        <w:rPr>
          <w:rFonts w:ascii="Garamond" w:hAnsi="Garamond" w:cs="Times New Roman"/>
          <w:color w:val="000000"/>
          <w:sz w:val="24"/>
          <w:szCs w:val="24"/>
        </w:rPr>
        <w:t xml:space="preserve"> </w:t>
      </w:r>
      <w:r w:rsidRPr="00B76F5D">
        <w:rPr>
          <w:rFonts w:ascii="Garamond" w:hAnsi="Garamond" w:cs="Times New Roman"/>
          <w:color w:val="000000"/>
          <w:sz w:val="24"/>
          <w:szCs w:val="24"/>
        </w:rPr>
        <w:t xml:space="preserve">S., si dhe disa dokumente të tjera. Ajo konstatoi se aktiviteti i kompanisë ishte pezulluar në vitin 2014 dhe se, megjithëse ajo kishte </w:t>
      </w:r>
      <w:proofErr w:type="spellStart"/>
      <w:r w:rsidRPr="00B76F5D">
        <w:rPr>
          <w:rFonts w:ascii="Garamond" w:hAnsi="Garamond" w:cs="Times New Roman"/>
          <w:color w:val="000000"/>
          <w:sz w:val="24"/>
          <w:szCs w:val="24"/>
        </w:rPr>
        <w:t>gjeneruar</w:t>
      </w:r>
      <w:proofErr w:type="spellEnd"/>
      <w:r w:rsidRPr="00B76F5D">
        <w:rPr>
          <w:rFonts w:ascii="Garamond" w:hAnsi="Garamond" w:cs="Times New Roman"/>
          <w:color w:val="000000"/>
          <w:sz w:val="24"/>
          <w:szCs w:val="24"/>
        </w:rPr>
        <w:t xml:space="preserve"> fitime në vitet e mëparshme, nuk kishte shpërndarë asnjë </w:t>
      </w:r>
      <w:proofErr w:type="spellStart"/>
      <w:r w:rsidRPr="00B76F5D">
        <w:rPr>
          <w:rFonts w:ascii="Garamond" w:hAnsi="Garamond" w:cs="Times New Roman"/>
          <w:color w:val="000000"/>
          <w:sz w:val="24"/>
          <w:szCs w:val="24"/>
        </w:rPr>
        <w:t>divident</w:t>
      </w:r>
      <w:proofErr w:type="spellEnd"/>
      <w:r w:rsidRPr="00B76F5D">
        <w:rPr>
          <w:rFonts w:ascii="Garamond" w:hAnsi="Garamond" w:cs="Times New Roman"/>
          <w:color w:val="000000"/>
          <w:sz w:val="24"/>
          <w:szCs w:val="24"/>
        </w:rPr>
        <w:t xml:space="preserve"> të tatueshëm. KPA</w:t>
      </w:r>
      <w:r w:rsidR="0066478B" w:rsidRPr="00B76F5D">
        <w:rPr>
          <w:rFonts w:ascii="Garamond" w:hAnsi="Garamond" w:cs="Times New Roman"/>
          <w:color w:val="000000"/>
          <w:sz w:val="24"/>
          <w:szCs w:val="24"/>
        </w:rPr>
        <w:t>-ja</w:t>
      </w:r>
      <w:r w:rsidRPr="00B76F5D">
        <w:rPr>
          <w:rFonts w:ascii="Garamond" w:hAnsi="Garamond" w:cs="Times New Roman"/>
          <w:color w:val="000000"/>
          <w:sz w:val="24"/>
          <w:szCs w:val="24"/>
        </w:rPr>
        <w:t xml:space="preserve"> vuri</w:t>
      </w:r>
      <w:r w:rsidR="0066478B" w:rsidRPr="00B76F5D">
        <w:rPr>
          <w:rFonts w:ascii="Garamond" w:hAnsi="Garamond" w:cs="Times New Roman"/>
          <w:color w:val="000000"/>
          <w:sz w:val="24"/>
          <w:szCs w:val="24"/>
        </w:rPr>
        <w:t>,</w:t>
      </w:r>
      <w:r w:rsidRPr="00B76F5D">
        <w:rPr>
          <w:rFonts w:ascii="Garamond" w:hAnsi="Garamond" w:cs="Times New Roman"/>
          <w:color w:val="000000"/>
          <w:sz w:val="24"/>
          <w:szCs w:val="24"/>
        </w:rPr>
        <w:t xml:space="preserve"> gjithashtu</w:t>
      </w:r>
      <w:r w:rsidR="0066478B" w:rsidRPr="00B76F5D">
        <w:rPr>
          <w:rFonts w:ascii="Garamond" w:hAnsi="Garamond" w:cs="Times New Roman"/>
          <w:color w:val="000000"/>
          <w:sz w:val="24"/>
          <w:szCs w:val="24"/>
        </w:rPr>
        <w:t>,</w:t>
      </w:r>
      <w:r w:rsidRPr="00B76F5D">
        <w:rPr>
          <w:rFonts w:ascii="Garamond" w:hAnsi="Garamond" w:cs="Times New Roman"/>
          <w:color w:val="000000"/>
          <w:sz w:val="24"/>
          <w:szCs w:val="24"/>
        </w:rPr>
        <w:t xml:space="preserve"> në dukje se kërkuesja i referohej një pagese të plotë e të menjëhershme me para në dorë në </w:t>
      </w:r>
      <w:r w:rsidR="0066478B" w:rsidRPr="00B76F5D">
        <w:rPr>
          <w:rFonts w:ascii="Garamond" w:hAnsi="Garamond" w:cs="Times New Roman"/>
          <w:color w:val="000000"/>
          <w:sz w:val="24"/>
          <w:szCs w:val="24"/>
        </w:rPr>
        <w:t>k</w:t>
      </w:r>
      <w:r w:rsidRPr="00B76F5D">
        <w:rPr>
          <w:rFonts w:ascii="Garamond" w:hAnsi="Garamond" w:cs="Times New Roman"/>
          <w:color w:val="000000"/>
          <w:sz w:val="24"/>
          <w:szCs w:val="24"/>
        </w:rPr>
        <w:t xml:space="preserve">orrik të vitit 2016, ndonëse kontrata pasqyronte këste të mëparshme; se kontratat e shërbimeve për </w:t>
      </w:r>
      <w:r w:rsidRPr="00B76F5D">
        <w:rPr>
          <w:rFonts w:ascii="Garamond" w:hAnsi="Garamond" w:cs="Times New Roman"/>
          <w:color w:val="000000"/>
          <w:sz w:val="24"/>
          <w:szCs w:val="24"/>
        </w:rPr>
        <w:lastRenderedPageBreak/>
        <w:t>apartamentin ishin në emër të M.</w:t>
      </w:r>
      <w:r w:rsidR="0066478B" w:rsidRPr="00B76F5D">
        <w:rPr>
          <w:rFonts w:ascii="Garamond" w:hAnsi="Garamond" w:cs="Times New Roman"/>
          <w:color w:val="000000"/>
          <w:sz w:val="24"/>
          <w:szCs w:val="24"/>
        </w:rPr>
        <w:t xml:space="preserve"> </w:t>
      </w:r>
      <w:r w:rsidRPr="00B76F5D">
        <w:rPr>
          <w:rFonts w:ascii="Garamond" w:hAnsi="Garamond" w:cs="Times New Roman"/>
          <w:color w:val="000000"/>
          <w:sz w:val="24"/>
          <w:szCs w:val="24"/>
        </w:rPr>
        <w:t>L. që nga viti 2014; dhe se çmimi ishte shumë më i ulët si krahasuar me atë që vetë shitësit kishin paguar në vitin 2009, ashtu edhe me vlerën zyrtare të referencës. Kërkuesja nuk provoi një burim të ligjshëm për pagesën prej 60,000 eurosh.</w:t>
      </w:r>
    </w:p>
    <w:p w14:paraId="53C808AB" w14:textId="2171CA5E"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6. Gjithashtu, KPA</w:t>
      </w:r>
      <w:r w:rsidR="0066478B" w:rsidRPr="00B76F5D">
        <w:rPr>
          <w:rFonts w:ascii="Garamond" w:hAnsi="Garamond" w:cs="Times New Roman"/>
          <w:color w:val="000000"/>
          <w:sz w:val="24"/>
          <w:szCs w:val="24"/>
        </w:rPr>
        <w:t>-ja</w:t>
      </w:r>
      <w:r w:rsidRPr="00B76F5D">
        <w:rPr>
          <w:rFonts w:ascii="Garamond" w:hAnsi="Garamond" w:cs="Times New Roman"/>
          <w:color w:val="000000"/>
          <w:sz w:val="24"/>
          <w:szCs w:val="24"/>
        </w:rPr>
        <w:t xml:space="preserve"> deklaroi se në vitin 2009, M.</w:t>
      </w:r>
      <w:r w:rsidR="0066478B" w:rsidRPr="00B76F5D">
        <w:rPr>
          <w:rFonts w:ascii="Garamond" w:hAnsi="Garamond" w:cs="Times New Roman"/>
          <w:color w:val="000000"/>
          <w:sz w:val="24"/>
          <w:szCs w:val="24"/>
        </w:rPr>
        <w:t xml:space="preserve"> </w:t>
      </w:r>
      <w:r w:rsidRPr="00B76F5D">
        <w:rPr>
          <w:rFonts w:ascii="Garamond" w:hAnsi="Garamond" w:cs="Times New Roman"/>
          <w:color w:val="000000"/>
          <w:sz w:val="24"/>
          <w:szCs w:val="24"/>
        </w:rPr>
        <w:t>L. kishte blerë një makinë për 600,000 lekë (ALL, rreth 4,580 euro në atë kohë) dhe e kishte shitur atë për 20,000 euro në vitin 2010, duke lidhur dy kontrata të ndryshme shitjeje me të njëjtin blerës para noterëve të ndryshëm. KPA</w:t>
      </w:r>
      <w:r w:rsidR="0066478B" w:rsidRPr="00B76F5D">
        <w:rPr>
          <w:rFonts w:ascii="Garamond" w:hAnsi="Garamond" w:cs="Times New Roman"/>
          <w:color w:val="000000"/>
          <w:sz w:val="24"/>
          <w:szCs w:val="24"/>
        </w:rPr>
        <w:t>-ja</w:t>
      </w:r>
      <w:r w:rsidRPr="00B76F5D">
        <w:rPr>
          <w:rFonts w:ascii="Garamond" w:hAnsi="Garamond" w:cs="Times New Roman"/>
          <w:color w:val="000000"/>
          <w:sz w:val="24"/>
          <w:szCs w:val="24"/>
        </w:rPr>
        <w:t xml:space="preserve"> e rrëzoi shpjegimin se çmimi i ulët i blerjes ishte vendosur për shkak të dyshimit se makina ishte e vjedhur dhe konstatoi se kontrata e shitjes kishte qenë thjesht një formalitet, me qëllim justifikimin e shumës prej 20,000 eurosh të përdorur atë vit për të blerë një makinë tjetër dhe për të treguar një bilanc pozitiv që mbulonte një pjesë të kredisë së marrë nga A.</w:t>
      </w:r>
      <w:r w:rsidR="0066478B" w:rsidRPr="00B76F5D">
        <w:rPr>
          <w:rFonts w:ascii="Garamond" w:hAnsi="Garamond" w:cs="Times New Roman"/>
          <w:color w:val="000000"/>
          <w:sz w:val="24"/>
          <w:szCs w:val="24"/>
        </w:rPr>
        <w:t xml:space="preserve"> </w:t>
      </w:r>
      <w:r w:rsidRPr="00B76F5D">
        <w:rPr>
          <w:rFonts w:ascii="Garamond" w:hAnsi="Garamond" w:cs="Times New Roman"/>
          <w:color w:val="000000"/>
          <w:sz w:val="24"/>
          <w:szCs w:val="24"/>
        </w:rPr>
        <w:t xml:space="preserve">M. </w:t>
      </w:r>
      <w:r w:rsidRPr="00B76F5D">
        <w:rPr>
          <w:rFonts w:ascii="Garamond" w:hAnsi="Garamond" w:cs="Times New Roman"/>
          <w:sz w:val="24"/>
          <w:szCs w:val="24"/>
        </w:rPr>
        <w:t>Nuk</w:t>
      </w:r>
      <w:r w:rsidRPr="00B76F5D">
        <w:rPr>
          <w:rFonts w:ascii="Garamond" w:hAnsi="Garamond" w:cs="Times New Roman"/>
          <w:color w:val="000000"/>
          <w:sz w:val="24"/>
          <w:szCs w:val="24"/>
        </w:rPr>
        <w:t xml:space="preserve"> ishte paguar asnjë tatim mbi fitimin për shitjen e vitit 2010 dhe nuk ishte provuar që M.</w:t>
      </w:r>
      <w:r w:rsidR="0066478B" w:rsidRPr="00B76F5D">
        <w:rPr>
          <w:rFonts w:ascii="Garamond" w:hAnsi="Garamond" w:cs="Times New Roman"/>
          <w:color w:val="000000"/>
          <w:sz w:val="24"/>
          <w:szCs w:val="24"/>
        </w:rPr>
        <w:t xml:space="preserve"> </w:t>
      </w:r>
      <w:r w:rsidRPr="00B76F5D">
        <w:rPr>
          <w:rFonts w:ascii="Garamond" w:hAnsi="Garamond" w:cs="Times New Roman"/>
          <w:color w:val="000000"/>
          <w:sz w:val="24"/>
          <w:szCs w:val="24"/>
        </w:rPr>
        <w:t>L. të kishte paguar për ndonjë riparim apo përmirësim që do të shpjegonte rritjen katërfish të vlerës. Për këtë arsye, KPA</w:t>
      </w:r>
      <w:r w:rsidR="00B76F5D">
        <w:rPr>
          <w:rFonts w:ascii="Garamond" w:hAnsi="Garamond" w:cs="Times New Roman"/>
          <w:color w:val="000000"/>
          <w:sz w:val="24"/>
          <w:szCs w:val="24"/>
        </w:rPr>
        <w:t>-ja</w:t>
      </w:r>
      <w:r w:rsidRPr="00B76F5D">
        <w:rPr>
          <w:rFonts w:ascii="Garamond" w:hAnsi="Garamond" w:cs="Times New Roman"/>
          <w:color w:val="000000"/>
          <w:sz w:val="24"/>
          <w:szCs w:val="24"/>
        </w:rPr>
        <w:t xml:space="preserve"> konstatoi “veprime fiktive”, një deklarim të rremë dhe </w:t>
      </w:r>
      <w:proofErr w:type="spellStart"/>
      <w:r w:rsidRPr="00B76F5D">
        <w:rPr>
          <w:rFonts w:ascii="Garamond" w:hAnsi="Garamond" w:cs="Times New Roman"/>
          <w:color w:val="000000"/>
          <w:sz w:val="24"/>
          <w:szCs w:val="24"/>
        </w:rPr>
        <w:t>mospërcaktimin</w:t>
      </w:r>
      <w:proofErr w:type="spellEnd"/>
      <w:r w:rsidRPr="00B76F5D">
        <w:rPr>
          <w:rFonts w:ascii="Garamond" w:hAnsi="Garamond" w:cs="Times New Roman"/>
          <w:color w:val="000000"/>
          <w:sz w:val="24"/>
          <w:szCs w:val="24"/>
        </w:rPr>
        <w:t xml:space="preserve"> e vlerës reale të makinës. Gjetje të ngjashme u konstatuan edhe për një makinë tjetër, të blerë për 500,000 lekë në vitin 2002 dhe të shitur për 15,000 euro në vitin 2013, për të cilën nuk ishte dorëzuar deklarata e detyrueshme e të ardhurave. M.</w:t>
      </w:r>
      <w:r w:rsidR="00B76F5D">
        <w:rPr>
          <w:rFonts w:ascii="Garamond" w:hAnsi="Garamond" w:cs="Times New Roman"/>
          <w:color w:val="000000"/>
          <w:sz w:val="24"/>
          <w:szCs w:val="24"/>
        </w:rPr>
        <w:t xml:space="preserve"> </w:t>
      </w:r>
      <w:r w:rsidRPr="00B76F5D">
        <w:rPr>
          <w:rFonts w:ascii="Garamond" w:hAnsi="Garamond" w:cs="Times New Roman"/>
          <w:color w:val="000000"/>
          <w:sz w:val="24"/>
          <w:szCs w:val="24"/>
        </w:rPr>
        <w:t>L. pretendoi se të ardhurat ishin përdorur në vitin 2014 për të blerë një makinë tjetër, e cila më vonë ishte shkëmbyer dhe dhuruar për A.</w:t>
      </w:r>
      <w:r w:rsidR="00B76F5D">
        <w:rPr>
          <w:rFonts w:ascii="Garamond" w:hAnsi="Garamond" w:cs="Times New Roman"/>
          <w:color w:val="000000"/>
          <w:sz w:val="24"/>
          <w:szCs w:val="24"/>
        </w:rPr>
        <w:t xml:space="preserve"> </w:t>
      </w:r>
      <w:r w:rsidRPr="00B76F5D">
        <w:rPr>
          <w:rFonts w:ascii="Garamond" w:hAnsi="Garamond" w:cs="Times New Roman"/>
          <w:color w:val="000000"/>
          <w:sz w:val="24"/>
          <w:szCs w:val="24"/>
        </w:rPr>
        <w:t xml:space="preserve">L. Vlera doganore e makinës (3,750,000 lekë) ndryshonte nga vlera e deklaruar në kontratën e dhurimit (1,000,000 lekë). Së fundmi, një automjet </w:t>
      </w:r>
      <w:proofErr w:type="spellStart"/>
      <w:r w:rsidRPr="00B76F5D">
        <w:rPr>
          <w:rFonts w:ascii="Garamond" w:hAnsi="Garamond" w:cs="Times New Roman"/>
          <w:color w:val="000000"/>
          <w:sz w:val="24"/>
          <w:szCs w:val="24"/>
        </w:rPr>
        <w:t>Volkswagen</w:t>
      </w:r>
      <w:proofErr w:type="spellEnd"/>
      <w:r w:rsidR="00B76F5D">
        <w:rPr>
          <w:rFonts w:ascii="Garamond" w:hAnsi="Garamond" w:cs="Times New Roman"/>
          <w:color w:val="000000"/>
          <w:sz w:val="24"/>
          <w:szCs w:val="24"/>
        </w:rPr>
        <w:t>,</w:t>
      </w:r>
      <w:r w:rsidRPr="00B76F5D">
        <w:rPr>
          <w:rFonts w:ascii="Garamond" w:hAnsi="Garamond" w:cs="Times New Roman"/>
          <w:color w:val="000000"/>
          <w:sz w:val="24"/>
          <w:szCs w:val="24"/>
        </w:rPr>
        <w:t xml:space="preserve"> i blerë në vitin 2010 për 100,000 lekë ishte shitur në vitin 2014 për 3,000 euro. Në këtë mënyrë, kërkuesja kishte cenuar besimin e publikut tek sistemi i drejtësisë përmes transaksioneve të tilla të dyshimta brenda familjes së saj.</w:t>
      </w:r>
    </w:p>
    <w:p w14:paraId="3C016269" w14:textId="580E60F7"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7. Së fundmi, KPA</w:t>
      </w:r>
      <w:r w:rsidR="00B76F5D">
        <w:rPr>
          <w:rFonts w:ascii="Garamond" w:hAnsi="Garamond" w:cs="Times New Roman"/>
          <w:color w:val="000000"/>
          <w:sz w:val="24"/>
          <w:szCs w:val="24"/>
        </w:rPr>
        <w:t>-ja</w:t>
      </w:r>
      <w:r w:rsidRPr="00B76F5D">
        <w:rPr>
          <w:rFonts w:ascii="Garamond" w:hAnsi="Garamond" w:cs="Times New Roman"/>
          <w:color w:val="000000"/>
          <w:sz w:val="24"/>
          <w:szCs w:val="24"/>
        </w:rPr>
        <w:t xml:space="preserve"> konstatoi edhe disa parregullsi të tjera, përfshirë ato që lidheshin me pasuritë paramartesore të M.</w:t>
      </w:r>
      <w:r w:rsidR="00B76F5D">
        <w:rPr>
          <w:rFonts w:ascii="Garamond" w:hAnsi="Garamond" w:cs="Times New Roman"/>
          <w:color w:val="000000"/>
          <w:sz w:val="24"/>
          <w:szCs w:val="24"/>
        </w:rPr>
        <w:t xml:space="preserve"> </w:t>
      </w:r>
      <w:r w:rsidRPr="00B76F5D">
        <w:rPr>
          <w:rFonts w:ascii="Garamond" w:hAnsi="Garamond" w:cs="Times New Roman"/>
          <w:color w:val="000000"/>
          <w:sz w:val="24"/>
          <w:szCs w:val="24"/>
        </w:rPr>
        <w:t>L.</w:t>
      </w:r>
    </w:p>
    <w:p w14:paraId="1C292B44" w14:textId="43935793"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 xml:space="preserve">8. Kërkuesja argumentoi se shkarkimi i saj nga detyra kishte qenë i paligjshëm dhe pretendoi, në terma të përgjithshëm, se ai kishte qenë </w:t>
      </w:r>
      <w:proofErr w:type="spellStart"/>
      <w:r w:rsidRPr="00B76F5D">
        <w:rPr>
          <w:rFonts w:ascii="Garamond" w:hAnsi="Garamond" w:cs="Times New Roman"/>
          <w:color w:val="000000"/>
          <w:sz w:val="24"/>
          <w:szCs w:val="24"/>
        </w:rPr>
        <w:t>joproporcional</w:t>
      </w:r>
      <w:proofErr w:type="spellEnd"/>
      <w:r w:rsidRPr="00B76F5D">
        <w:rPr>
          <w:rFonts w:ascii="Garamond" w:hAnsi="Garamond" w:cs="Times New Roman"/>
          <w:color w:val="000000"/>
          <w:sz w:val="24"/>
          <w:szCs w:val="24"/>
        </w:rPr>
        <w:t xml:space="preserve"> sipas </w:t>
      </w:r>
      <w:r w:rsidR="00B76F5D">
        <w:rPr>
          <w:rFonts w:ascii="Garamond" w:hAnsi="Garamond" w:cs="Times New Roman"/>
          <w:color w:val="000000"/>
          <w:sz w:val="24"/>
          <w:szCs w:val="24"/>
        </w:rPr>
        <w:t>n</w:t>
      </w:r>
      <w:r w:rsidRPr="00B76F5D">
        <w:rPr>
          <w:rFonts w:ascii="Garamond" w:hAnsi="Garamond" w:cs="Times New Roman"/>
          <w:color w:val="000000"/>
          <w:sz w:val="24"/>
          <w:szCs w:val="24"/>
        </w:rPr>
        <w:t>enit 8 të Konventës.</w:t>
      </w:r>
    </w:p>
    <w:p w14:paraId="7048369E" w14:textId="77777777"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VLERËSIMI I GJYKATËS</w:t>
      </w:r>
    </w:p>
    <w:p w14:paraId="2C339F01" w14:textId="5E3A2B7C"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rPr>
      </w:pPr>
      <w:r w:rsidRPr="00B76F5D">
        <w:rPr>
          <w:rFonts w:ascii="Garamond" w:hAnsi="Garamond" w:cs="Times New Roman"/>
          <w:b/>
          <w:bCs/>
          <w:color w:val="000000"/>
          <w:sz w:val="24"/>
          <w:szCs w:val="24"/>
        </w:rPr>
        <w:t>A. Qëllimi i çështjes</w:t>
      </w:r>
    </w:p>
    <w:p w14:paraId="4B85386C" w14:textId="607D05F0"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 xml:space="preserve">9. Pretendimet e reja të parashtruara nga kërkuesja në vitin 2024 – përfshirë ato lidhur me zbatimin me efekt prapaveprues të rregullave që kanë të bëjnë me fondet e huadhënësve dhe mungesën e </w:t>
      </w:r>
      <w:proofErr w:type="spellStart"/>
      <w:r w:rsidRPr="00B76F5D">
        <w:rPr>
          <w:rFonts w:ascii="Garamond" w:hAnsi="Garamond" w:cs="Times New Roman"/>
          <w:color w:val="000000"/>
          <w:sz w:val="24"/>
          <w:szCs w:val="24"/>
        </w:rPr>
        <w:t>parashikueshmërisë</w:t>
      </w:r>
      <w:proofErr w:type="spellEnd"/>
      <w:r w:rsidRPr="00B76F5D">
        <w:rPr>
          <w:rFonts w:ascii="Garamond" w:hAnsi="Garamond" w:cs="Times New Roman"/>
          <w:color w:val="000000"/>
          <w:sz w:val="24"/>
          <w:szCs w:val="24"/>
        </w:rPr>
        <w:t xml:space="preserve"> – nuk përbëjnë thjesht një shtjellim të ankesës fillestare, e cila përqendrohej në çështje të tjera dhe kryesisht në seriozitetin e parregullsive mbi të cilat u bazua shkarkimi i saj. Këto pretendime dalin jashtë qëllimit të çështjes në gjendjen e saj aktuale (shih </w:t>
      </w:r>
      <w:proofErr w:type="spellStart"/>
      <w:r w:rsidRPr="00B76F5D">
        <w:rPr>
          <w:rFonts w:ascii="Garamond" w:hAnsi="Garamond" w:cs="Times New Roman"/>
          <w:i/>
          <w:iCs/>
          <w:color w:val="000000"/>
          <w:sz w:val="24"/>
          <w:szCs w:val="24"/>
        </w:rPr>
        <w:t>Kulák</w:t>
      </w:r>
      <w:proofErr w:type="spellEnd"/>
      <w:r w:rsidRPr="00B76F5D">
        <w:rPr>
          <w:rFonts w:ascii="Garamond" w:hAnsi="Garamond" w:cs="Times New Roman"/>
          <w:i/>
          <w:iCs/>
          <w:color w:val="000000"/>
          <w:sz w:val="24"/>
          <w:szCs w:val="24"/>
        </w:rPr>
        <w:t xml:space="preserve"> kundër Sllovakisë</w:t>
      </w:r>
      <w:r w:rsidRPr="00B76F5D">
        <w:rPr>
          <w:rFonts w:ascii="Garamond" w:hAnsi="Garamond" w:cs="Times New Roman"/>
          <w:color w:val="000000"/>
          <w:sz w:val="24"/>
          <w:szCs w:val="24"/>
        </w:rPr>
        <w:t xml:space="preserve">, nr. 57748/21, § 52, 3 </w:t>
      </w:r>
      <w:r w:rsidR="00B76F5D">
        <w:rPr>
          <w:rFonts w:ascii="Garamond" w:hAnsi="Garamond" w:cs="Times New Roman"/>
          <w:color w:val="000000"/>
          <w:sz w:val="24"/>
          <w:szCs w:val="24"/>
        </w:rPr>
        <w:t>p</w:t>
      </w:r>
      <w:r w:rsidRPr="00B76F5D">
        <w:rPr>
          <w:rFonts w:ascii="Garamond" w:hAnsi="Garamond" w:cs="Times New Roman"/>
          <w:color w:val="000000"/>
          <w:sz w:val="24"/>
          <w:szCs w:val="24"/>
        </w:rPr>
        <w:t>rill 2025).</w:t>
      </w:r>
    </w:p>
    <w:p w14:paraId="2F9B61D4" w14:textId="1A1B0E9B"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rPr>
      </w:pPr>
      <w:r w:rsidRPr="00B76F5D">
        <w:rPr>
          <w:rFonts w:ascii="Garamond" w:hAnsi="Garamond" w:cs="Times New Roman"/>
          <w:b/>
          <w:bCs/>
          <w:color w:val="000000"/>
          <w:sz w:val="24"/>
          <w:szCs w:val="24"/>
        </w:rPr>
        <w:t>B. Neni 8 i Konventës</w:t>
      </w:r>
    </w:p>
    <w:p w14:paraId="0F455FD0" w14:textId="365EE5AE"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rPr>
      </w:pPr>
      <w:r w:rsidRPr="00B76F5D">
        <w:rPr>
          <w:rFonts w:ascii="Garamond" w:hAnsi="Garamond" w:cs="Times New Roman"/>
          <w:i/>
          <w:iCs/>
          <w:color w:val="000000"/>
          <w:sz w:val="24"/>
          <w:szCs w:val="24"/>
        </w:rPr>
        <w:t>1. Parashtrimet e palëve</w:t>
      </w:r>
    </w:p>
    <w:p w14:paraId="143F9976" w14:textId="57616802"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10. Qeveria përsëriti gjetjet e KPA-së dhe argumentoi se ankesa ishte e pabazuar.</w:t>
      </w:r>
    </w:p>
    <w:p w14:paraId="66EEFDA3" w14:textId="04BDE6C7"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 xml:space="preserve">11. Kërkuesja argumentoi se ajo i kishte deklaruar </w:t>
      </w:r>
      <w:r w:rsidR="00B76F5D">
        <w:rPr>
          <w:rFonts w:ascii="Garamond" w:hAnsi="Garamond" w:cs="Times New Roman"/>
          <w:color w:val="000000"/>
          <w:sz w:val="24"/>
          <w:szCs w:val="24"/>
        </w:rPr>
        <w:t>huat</w:t>
      </w:r>
      <w:r w:rsidRPr="00B76F5D">
        <w:rPr>
          <w:rFonts w:ascii="Garamond" w:hAnsi="Garamond" w:cs="Times New Roman"/>
          <w:color w:val="000000"/>
          <w:sz w:val="24"/>
          <w:szCs w:val="24"/>
        </w:rPr>
        <w:t xml:space="preserve"> dhe shlyerjet në të gjitha deklarimet. Sipas Ligjit për Deklarimin e Pasurisë të vitit 2003, ajo ishte e de</w:t>
      </w:r>
      <w:r w:rsidR="00B76F5D">
        <w:rPr>
          <w:rFonts w:ascii="Garamond" w:hAnsi="Garamond" w:cs="Times New Roman"/>
          <w:color w:val="000000"/>
          <w:sz w:val="24"/>
          <w:szCs w:val="24"/>
        </w:rPr>
        <w:t>tyruar vetëm të deklaronte huat</w:t>
      </w:r>
      <w:r w:rsidRPr="00B76F5D">
        <w:rPr>
          <w:rFonts w:ascii="Garamond" w:hAnsi="Garamond" w:cs="Times New Roman"/>
          <w:color w:val="000000"/>
          <w:sz w:val="24"/>
          <w:szCs w:val="24"/>
        </w:rPr>
        <w:t xml:space="preserve"> dhe të dorëzonte marrëveshjet, gjë të cilën e kishte bërë. Duke qenë se në atë kohë nuk ekzistonte detyrimi për të verifikuar gjendjen financiare të huadhënësve, imponimi i kësaj kërkese nga organet e rivlerësimit kalimtar (</w:t>
      </w:r>
      <w:proofErr w:type="spellStart"/>
      <w:r w:rsidRPr="00B76F5D">
        <w:rPr>
          <w:rFonts w:ascii="Garamond" w:hAnsi="Garamond" w:cs="Times New Roman"/>
          <w:i/>
          <w:color w:val="000000"/>
          <w:sz w:val="24"/>
          <w:szCs w:val="24"/>
        </w:rPr>
        <w:t>vetting</w:t>
      </w:r>
      <w:proofErr w:type="spellEnd"/>
      <w:r w:rsidRPr="00B76F5D">
        <w:rPr>
          <w:rFonts w:ascii="Garamond" w:hAnsi="Garamond" w:cs="Times New Roman"/>
          <w:color w:val="000000"/>
          <w:sz w:val="24"/>
          <w:szCs w:val="24"/>
        </w:rPr>
        <w:t xml:space="preserve">-ut) kishte krijuar një barrë të paarsyeshme për të. Në çdo rast, kërkuesja kishte paraqitur prova që demonstronin, në një masë të arsyeshme dhe të mjaftueshme, kapacitetin financiar të huadhënësve. Organet e rivlerësimit kalimtar kishin anashkaluar xhiron e konsiderueshme të </w:t>
      </w:r>
      <w:proofErr w:type="spellStart"/>
      <w:r w:rsidRPr="00B76F5D">
        <w:rPr>
          <w:rFonts w:ascii="Garamond" w:hAnsi="Garamond" w:cs="Times New Roman"/>
          <w:color w:val="000000"/>
          <w:sz w:val="24"/>
          <w:szCs w:val="24"/>
        </w:rPr>
        <w:t>gjeneruar</w:t>
      </w:r>
      <w:proofErr w:type="spellEnd"/>
      <w:r w:rsidRPr="00B76F5D">
        <w:rPr>
          <w:rFonts w:ascii="Garamond" w:hAnsi="Garamond" w:cs="Times New Roman"/>
          <w:color w:val="000000"/>
          <w:sz w:val="24"/>
          <w:szCs w:val="24"/>
        </w:rPr>
        <w:t xml:space="preserve"> nga bizneset e tyre dhe nuk kishin kryer një vlerësim gjithëpërfshirës të pasurive të paluajtshme dhe kursimeve të tyre. Disa të dhëna, si ato që lidheshin me A.</w:t>
      </w:r>
      <w:r w:rsidR="00B76F5D">
        <w:rPr>
          <w:rFonts w:ascii="Garamond" w:hAnsi="Garamond" w:cs="Times New Roman"/>
          <w:color w:val="000000"/>
          <w:sz w:val="24"/>
          <w:szCs w:val="24"/>
        </w:rPr>
        <w:t xml:space="preserve"> </w:t>
      </w:r>
      <w:r w:rsidRPr="00B76F5D">
        <w:rPr>
          <w:rFonts w:ascii="Garamond" w:hAnsi="Garamond" w:cs="Times New Roman"/>
          <w:color w:val="000000"/>
          <w:sz w:val="24"/>
          <w:szCs w:val="24"/>
        </w:rPr>
        <w:t>M., i cili kishte ndërruar jetë në vitin 2013, kishin qenë të pamundura për t’u siguruar prej saj dhe pa rëndësi për integritetin e saj financiar (shih paragrafin 4(c) më lart).</w:t>
      </w:r>
    </w:p>
    <w:p w14:paraId="798531C6" w14:textId="6421D480"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12. Kërkuesja argumentoi</w:t>
      </w:r>
      <w:r w:rsidR="00B76F5D">
        <w:rPr>
          <w:rFonts w:ascii="Garamond" w:hAnsi="Garamond" w:cs="Times New Roman"/>
          <w:color w:val="000000"/>
          <w:sz w:val="24"/>
          <w:szCs w:val="24"/>
        </w:rPr>
        <w:t xml:space="preserve"> se nuk e kishte deklaruar huan</w:t>
      </w:r>
      <w:r w:rsidRPr="00B76F5D">
        <w:rPr>
          <w:rFonts w:ascii="Garamond" w:hAnsi="Garamond" w:cs="Times New Roman"/>
          <w:color w:val="000000"/>
          <w:sz w:val="24"/>
          <w:szCs w:val="24"/>
        </w:rPr>
        <w:t xml:space="preserve"> nga A.</w:t>
      </w:r>
      <w:r w:rsidR="00B76F5D">
        <w:rPr>
          <w:rFonts w:ascii="Garamond" w:hAnsi="Garamond" w:cs="Times New Roman"/>
          <w:color w:val="000000"/>
          <w:sz w:val="24"/>
          <w:szCs w:val="24"/>
        </w:rPr>
        <w:t xml:space="preserve"> </w:t>
      </w:r>
      <w:r w:rsidRPr="00B76F5D">
        <w:rPr>
          <w:rFonts w:ascii="Garamond" w:hAnsi="Garamond" w:cs="Times New Roman"/>
          <w:color w:val="000000"/>
          <w:sz w:val="24"/>
          <w:szCs w:val="24"/>
        </w:rPr>
        <w:t>L. në deklarimin e vitit 2009 për shkak të udhëz</w:t>
      </w:r>
      <w:r w:rsidR="00B76F5D">
        <w:rPr>
          <w:rFonts w:ascii="Garamond" w:hAnsi="Garamond" w:cs="Times New Roman"/>
          <w:color w:val="000000"/>
          <w:sz w:val="24"/>
          <w:szCs w:val="24"/>
        </w:rPr>
        <w:t>imeve të paqarta lidhur me huat</w:t>
      </w:r>
      <w:r w:rsidRPr="00B76F5D">
        <w:rPr>
          <w:rFonts w:ascii="Garamond" w:hAnsi="Garamond" w:cs="Times New Roman"/>
          <w:color w:val="000000"/>
          <w:sz w:val="24"/>
          <w:szCs w:val="24"/>
        </w:rPr>
        <w:t xml:space="preserve"> familjare (shih paragrafin 4(b) më sipër). Pasi </w:t>
      </w:r>
      <w:r w:rsidRPr="00B76F5D">
        <w:rPr>
          <w:rFonts w:ascii="Garamond" w:hAnsi="Garamond" w:cs="Times New Roman"/>
          <w:color w:val="000000"/>
          <w:sz w:val="24"/>
          <w:szCs w:val="24"/>
        </w:rPr>
        <w:lastRenderedPageBreak/>
        <w:t>ILDKPKI</w:t>
      </w:r>
      <w:r w:rsidR="00B76F5D">
        <w:rPr>
          <w:rFonts w:ascii="Garamond" w:hAnsi="Garamond" w:cs="Times New Roman"/>
          <w:color w:val="000000"/>
          <w:sz w:val="24"/>
          <w:szCs w:val="24"/>
        </w:rPr>
        <w:t>-ja</w:t>
      </w:r>
      <w:r w:rsidRPr="00B76F5D">
        <w:rPr>
          <w:rFonts w:ascii="Garamond" w:hAnsi="Garamond" w:cs="Times New Roman"/>
          <w:color w:val="000000"/>
          <w:sz w:val="24"/>
          <w:szCs w:val="24"/>
        </w:rPr>
        <w:t xml:space="preserve"> kishte vënë në dukje atë </w:t>
      </w:r>
      <w:proofErr w:type="spellStart"/>
      <w:r w:rsidRPr="00B76F5D">
        <w:rPr>
          <w:rFonts w:ascii="Garamond" w:hAnsi="Garamond" w:cs="Times New Roman"/>
          <w:color w:val="000000"/>
          <w:sz w:val="24"/>
          <w:szCs w:val="24"/>
        </w:rPr>
        <w:t>mosdeklarim</w:t>
      </w:r>
      <w:proofErr w:type="spellEnd"/>
      <w:r w:rsidRPr="00B76F5D">
        <w:rPr>
          <w:rFonts w:ascii="Garamond" w:hAnsi="Garamond" w:cs="Times New Roman"/>
          <w:color w:val="000000"/>
          <w:sz w:val="24"/>
          <w:szCs w:val="24"/>
        </w:rPr>
        <w:t>, kë</w:t>
      </w:r>
      <w:r w:rsidR="00B76F5D">
        <w:rPr>
          <w:rFonts w:ascii="Garamond" w:hAnsi="Garamond" w:cs="Times New Roman"/>
          <w:color w:val="000000"/>
          <w:sz w:val="24"/>
          <w:szCs w:val="24"/>
        </w:rPr>
        <w:t>rkuesja e kishte deklaruar huan</w:t>
      </w:r>
      <w:r w:rsidRPr="00B76F5D">
        <w:rPr>
          <w:rFonts w:ascii="Garamond" w:hAnsi="Garamond" w:cs="Times New Roman"/>
          <w:color w:val="000000"/>
          <w:sz w:val="24"/>
          <w:szCs w:val="24"/>
        </w:rPr>
        <w:t xml:space="preserve"> në të gjitha deklarimet pasuese. Fakti që bashkëshorti i saj dhe vëllai </w:t>
      </w:r>
      <w:r w:rsidR="00B76F5D">
        <w:rPr>
          <w:rFonts w:ascii="Garamond" w:hAnsi="Garamond" w:cs="Times New Roman"/>
          <w:color w:val="000000"/>
          <w:sz w:val="24"/>
          <w:szCs w:val="24"/>
        </w:rPr>
        <w:t xml:space="preserve">i tij e kishin </w:t>
      </w:r>
      <w:proofErr w:type="spellStart"/>
      <w:r w:rsidR="00B76F5D">
        <w:rPr>
          <w:rFonts w:ascii="Garamond" w:hAnsi="Garamond" w:cs="Times New Roman"/>
          <w:color w:val="000000"/>
          <w:sz w:val="24"/>
          <w:szCs w:val="24"/>
        </w:rPr>
        <w:t>formalizuar</w:t>
      </w:r>
      <w:proofErr w:type="spellEnd"/>
      <w:r w:rsidR="00B76F5D">
        <w:rPr>
          <w:rFonts w:ascii="Garamond" w:hAnsi="Garamond" w:cs="Times New Roman"/>
          <w:color w:val="000000"/>
          <w:sz w:val="24"/>
          <w:szCs w:val="24"/>
        </w:rPr>
        <w:t xml:space="preserve"> huan</w:t>
      </w:r>
      <w:r w:rsidRPr="00B76F5D">
        <w:rPr>
          <w:rFonts w:ascii="Garamond" w:hAnsi="Garamond" w:cs="Times New Roman"/>
          <w:color w:val="000000"/>
          <w:sz w:val="24"/>
          <w:szCs w:val="24"/>
        </w:rPr>
        <w:t xml:space="preserve"> vetëm në vitin 201</w:t>
      </w:r>
      <w:r w:rsidR="00B76F5D">
        <w:rPr>
          <w:rFonts w:ascii="Garamond" w:hAnsi="Garamond" w:cs="Times New Roman"/>
          <w:color w:val="000000"/>
          <w:sz w:val="24"/>
          <w:szCs w:val="24"/>
        </w:rPr>
        <w:t>0 nuk e bënte atë fiktive. Huat</w:t>
      </w:r>
      <w:r w:rsidRPr="00B76F5D">
        <w:rPr>
          <w:rFonts w:ascii="Garamond" w:hAnsi="Garamond" w:cs="Times New Roman"/>
          <w:color w:val="000000"/>
          <w:sz w:val="24"/>
          <w:szCs w:val="24"/>
        </w:rPr>
        <w:t xml:space="preserve"> familjare nuk kërkonin marrëveshje me shkrim dhe ata e kishin </w:t>
      </w:r>
      <w:proofErr w:type="spellStart"/>
      <w:r w:rsidRPr="00B76F5D">
        <w:rPr>
          <w:rFonts w:ascii="Garamond" w:hAnsi="Garamond" w:cs="Times New Roman"/>
          <w:color w:val="000000"/>
          <w:sz w:val="24"/>
          <w:szCs w:val="24"/>
        </w:rPr>
        <w:t>formalizuar</w:t>
      </w:r>
      <w:proofErr w:type="spellEnd"/>
      <w:r w:rsidRPr="00B76F5D">
        <w:rPr>
          <w:rFonts w:ascii="Garamond" w:hAnsi="Garamond" w:cs="Times New Roman"/>
          <w:color w:val="000000"/>
          <w:sz w:val="24"/>
          <w:szCs w:val="24"/>
        </w:rPr>
        <w:t xml:space="preserve"> atë për të siguruar përputhshmëri të plotë me ligjin. Organet e rivlerësimit kalimtar i kishin përdorur në mënyrë arbitrare përpjekjet e saj për transparencë kundër saj dhe kishin konstatuar një bilanc negativ për vitin 2009.</w:t>
      </w:r>
    </w:p>
    <w:p w14:paraId="05D377CA" w14:textId="568FDF8D"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13. Raportet e punës konfirmonin se M.</w:t>
      </w:r>
      <w:r w:rsidR="00B76F5D">
        <w:rPr>
          <w:rFonts w:ascii="Garamond" w:hAnsi="Garamond" w:cs="Times New Roman"/>
          <w:color w:val="000000"/>
          <w:sz w:val="24"/>
          <w:szCs w:val="24"/>
        </w:rPr>
        <w:t xml:space="preserve"> </w:t>
      </w:r>
      <w:r w:rsidRPr="00B76F5D">
        <w:rPr>
          <w:rFonts w:ascii="Garamond" w:hAnsi="Garamond" w:cs="Times New Roman"/>
          <w:color w:val="000000"/>
          <w:sz w:val="24"/>
          <w:szCs w:val="24"/>
        </w:rPr>
        <w:t xml:space="preserve">L. kishte financuar punimet e ndërtimit të apartamentit të vitit 2009 (shih paragrafin 4(d) më sipër). Çmimi ishte ulur me qëllim shpërblimin e tij dhe si kompensim </w:t>
      </w:r>
      <w:proofErr w:type="spellStart"/>
      <w:r w:rsidRPr="00B76F5D">
        <w:rPr>
          <w:rFonts w:ascii="Garamond" w:hAnsi="Garamond" w:cs="Times New Roman"/>
          <w:color w:val="000000"/>
          <w:sz w:val="24"/>
          <w:szCs w:val="24"/>
        </w:rPr>
        <w:t>kontraktual</w:t>
      </w:r>
      <w:proofErr w:type="spellEnd"/>
      <w:r w:rsidRPr="00B76F5D">
        <w:rPr>
          <w:rFonts w:ascii="Garamond" w:hAnsi="Garamond" w:cs="Times New Roman"/>
          <w:color w:val="000000"/>
          <w:sz w:val="24"/>
          <w:szCs w:val="24"/>
        </w:rPr>
        <w:t xml:space="preserve"> për vonesat. Masa e saktë e asaj uljeje ishte bërë e qartë vetëm në momentin e dorëzimit përfundimtar në vitin 2016. Kështu, kishte qenë e pajustifikuar të kërkohej nga kërkuesja që të deklaronte uljet vjetore të detyrimit të pashlyer bazuar në ecurinë e punimeve të ndërtimit. Ajo kishte dorëzuar raporte të ecurisë së punimeve për periudhën 2010</w:t>
      </w:r>
      <w:r w:rsidR="00B76F5D">
        <w:rPr>
          <w:rFonts w:ascii="Garamond" w:hAnsi="Garamond" w:cs="Times New Roman"/>
          <w:color w:val="000000"/>
          <w:sz w:val="24"/>
          <w:szCs w:val="24"/>
        </w:rPr>
        <w:t>–</w:t>
      </w:r>
      <w:r w:rsidRPr="00B76F5D">
        <w:rPr>
          <w:rFonts w:ascii="Garamond" w:hAnsi="Garamond" w:cs="Times New Roman"/>
          <w:color w:val="000000"/>
          <w:sz w:val="24"/>
          <w:szCs w:val="24"/>
        </w:rPr>
        <w:t>2015, të cilat dokumentonin punën e kryer, si dhe deklaratën e lëshuar nga kompania, e cila dokumentonte uljen e çmimit.</w:t>
      </w:r>
    </w:p>
    <w:p w14:paraId="1CA7216E" w14:textId="53553448"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 xml:space="preserve">14. Mospërputhja e pretenduar midis kontratës së blerjes për apartamentin e dytë në vitin 2016 dhe deklaratës së atij viti ishte e pabazuar: çmimi ishte paguar pjesërisht me paradhënie dhe pjesërisht në momentin e nënshkrimit të kontratës, dhe të gjitha pagesat ishin shlyer brenda atij viti (shih paragrafin 5 më sipër). Për këtë arsye, në deklaratë ishte pasqyruar saktë se pagesa ishte shlyer plotësisht në vitin 2016, ndërsa formulari i deklarimit nuk kërkonte që ajo të specifikonte këstet. Organet e rivlerësimit kalimtar nuk kishin shpjeguar se si ndikonte në përshtatshmërinë e saj për detyrën gjyqësore diferenca midis çmimit të blerjes dhe shumës që shitësit kishin paguar fillimisht. Prona ishte blerë në tregun e lirë, ku çmimet </w:t>
      </w:r>
      <w:proofErr w:type="spellStart"/>
      <w:r w:rsidRPr="00B76F5D">
        <w:rPr>
          <w:rFonts w:ascii="Garamond" w:hAnsi="Garamond" w:cs="Times New Roman"/>
          <w:color w:val="000000"/>
          <w:sz w:val="24"/>
          <w:szCs w:val="24"/>
        </w:rPr>
        <w:t>varionin</w:t>
      </w:r>
      <w:proofErr w:type="spellEnd"/>
      <w:r w:rsidRPr="00B76F5D">
        <w:rPr>
          <w:rFonts w:ascii="Garamond" w:hAnsi="Garamond" w:cs="Times New Roman"/>
          <w:color w:val="000000"/>
          <w:sz w:val="24"/>
          <w:szCs w:val="24"/>
        </w:rPr>
        <w:t xml:space="preserve"> për arsye të ndryshme, përfshirë urgjencën e shitësve për të shitur, siç ndodhi në këtë rast.</w:t>
      </w:r>
    </w:p>
    <w:p w14:paraId="52BA3068" w14:textId="2D233A23"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15. Gjetjet dhe përfundimet e tjera të KPA-së (shih paragrafët 6</w:t>
      </w:r>
      <w:r w:rsidR="00B76F5D">
        <w:rPr>
          <w:rFonts w:ascii="Garamond" w:hAnsi="Garamond" w:cs="Times New Roman"/>
          <w:color w:val="000000"/>
          <w:sz w:val="24"/>
          <w:szCs w:val="24"/>
        </w:rPr>
        <w:t>–</w:t>
      </w:r>
      <w:r w:rsidRPr="00B76F5D">
        <w:rPr>
          <w:rFonts w:ascii="Garamond" w:hAnsi="Garamond" w:cs="Times New Roman"/>
          <w:color w:val="000000"/>
          <w:sz w:val="24"/>
          <w:szCs w:val="24"/>
        </w:rPr>
        <w:t>7 më sipër) nuk e justifikonin shkarkimin e kërkueses nga detyra.</w:t>
      </w:r>
    </w:p>
    <w:p w14:paraId="68F40D04" w14:textId="403E23A8"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rPr>
      </w:pPr>
      <w:r w:rsidRPr="00B76F5D">
        <w:rPr>
          <w:rFonts w:ascii="Garamond" w:hAnsi="Garamond" w:cs="Times New Roman"/>
          <w:i/>
          <w:iCs/>
          <w:color w:val="000000"/>
          <w:sz w:val="24"/>
          <w:szCs w:val="24"/>
        </w:rPr>
        <w:t xml:space="preserve">2. Vlerësimi i Gjykatës </w:t>
      </w:r>
    </w:p>
    <w:p w14:paraId="37803CB1" w14:textId="6F661632"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 xml:space="preserve">16. Shkarkimi i kërkueses nga detyra përbënte ndërhyrje në të drejtën e saj për respektimin e jetës private dhe cenonte </w:t>
      </w:r>
      <w:r w:rsidR="00B76F5D">
        <w:rPr>
          <w:rFonts w:ascii="Garamond" w:hAnsi="Garamond" w:cs="Times New Roman"/>
          <w:color w:val="000000"/>
          <w:sz w:val="24"/>
          <w:szCs w:val="24"/>
        </w:rPr>
        <w:t>n</w:t>
      </w:r>
      <w:r w:rsidRPr="00B76F5D">
        <w:rPr>
          <w:rFonts w:ascii="Garamond" w:hAnsi="Garamond" w:cs="Times New Roman"/>
          <w:color w:val="000000"/>
          <w:sz w:val="24"/>
          <w:szCs w:val="24"/>
        </w:rPr>
        <w:t>enin 8 të Konventës, nëse nuk do të justifikohej si masë</w:t>
      </w:r>
      <w:r w:rsidR="00B76F5D">
        <w:rPr>
          <w:rFonts w:ascii="Garamond" w:hAnsi="Garamond" w:cs="Times New Roman"/>
          <w:color w:val="000000"/>
          <w:sz w:val="24"/>
          <w:szCs w:val="24"/>
        </w:rPr>
        <w:t>,</w:t>
      </w:r>
      <w:r w:rsidRPr="00B76F5D">
        <w:rPr>
          <w:rFonts w:ascii="Garamond" w:hAnsi="Garamond" w:cs="Times New Roman"/>
          <w:color w:val="000000"/>
          <w:sz w:val="24"/>
          <w:szCs w:val="24"/>
        </w:rPr>
        <w:t xml:space="preserve"> në përputhje me ligjin dhe e domosdoshme në një shoqëri demokratike për të arritur një qëllim legjitim (shih </w:t>
      </w:r>
      <w:proofErr w:type="spellStart"/>
      <w:r w:rsidRPr="00B76F5D">
        <w:rPr>
          <w:rFonts w:ascii="Garamond" w:hAnsi="Garamond" w:cs="Times New Roman"/>
          <w:i/>
          <w:iCs/>
          <w:color w:val="000000"/>
          <w:sz w:val="24"/>
          <w:szCs w:val="24"/>
        </w:rPr>
        <w:t>Thanza</w:t>
      </w:r>
      <w:proofErr w:type="spellEnd"/>
      <w:r w:rsidRPr="00B76F5D">
        <w:rPr>
          <w:rFonts w:ascii="Garamond" w:hAnsi="Garamond" w:cs="Times New Roman"/>
          <w:i/>
          <w:iCs/>
          <w:color w:val="000000"/>
          <w:sz w:val="24"/>
          <w:szCs w:val="24"/>
        </w:rPr>
        <w:t xml:space="preserve"> kundër Shqipërisë</w:t>
      </w:r>
      <w:r w:rsidRPr="00B76F5D">
        <w:rPr>
          <w:rFonts w:ascii="Garamond" w:hAnsi="Garamond" w:cs="Times New Roman"/>
          <w:color w:val="000000"/>
          <w:sz w:val="24"/>
          <w:szCs w:val="24"/>
        </w:rPr>
        <w:t xml:space="preserve">, nr. 41047/19, §§ 135 dhe 137, 4 </w:t>
      </w:r>
      <w:r w:rsidR="00B76F5D">
        <w:rPr>
          <w:rFonts w:ascii="Garamond" w:hAnsi="Garamond" w:cs="Times New Roman"/>
          <w:color w:val="000000"/>
          <w:sz w:val="24"/>
          <w:szCs w:val="24"/>
        </w:rPr>
        <w:t>k</w:t>
      </w:r>
      <w:r w:rsidRPr="00B76F5D">
        <w:rPr>
          <w:rFonts w:ascii="Garamond" w:hAnsi="Garamond" w:cs="Times New Roman"/>
          <w:color w:val="000000"/>
          <w:sz w:val="24"/>
          <w:szCs w:val="24"/>
        </w:rPr>
        <w:t>orrik 2023).</w:t>
      </w:r>
    </w:p>
    <w:p w14:paraId="4DA532BC" w14:textId="6E6121B7"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17. Gjykata fillimisht do të shqyrtojë pretendimet e kërkueses</w:t>
      </w:r>
      <w:r w:rsidR="00B76F5D">
        <w:rPr>
          <w:rFonts w:ascii="Garamond" w:hAnsi="Garamond" w:cs="Times New Roman"/>
          <w:color w:val="000000"/>
          <w:sz w:val="24"/>
          <w:szCs w:val="24"/>
        </w:rPr>
        <w:t>,</w:t>
      </w:r>
      <w:r w:rsidRPr="00B76F5D">
        <w:rPr>
          <w:rFonts w:ascii="Garamond" w:hAnsi="Garamond" w:cs="Times New Roman"/>
          <w:color w:val="000000"/>
          <w:sz w:val="24"/>
          <w:szCs w:val="24"/>
        </w:rPr>
        <w:t xml:space="preserve"> lidhur me gjetjet e Kolegjit </w:t>
      </w:r>
      <w:r w:rsidR="00B76F5D">
        <w:rPr>
          <w:rFonts w:ascii="Garamond" w:hAnsi="Garamond" w:cs="Times New Roman"/>
          <w:color w:val="000000"/>
          <w:sz w:val="24"/>
          <w:szCs w:val="24"/>
        </w:rPr>
        <w:t>të Posaçëm të Apelimit për huat</w:t>
      </w:r>
      <w:r w:rsidRPr="00B76F5D">
        <w:rPr>
          <w:rFonts w:ascii="Garamond" w:hAnsi="Garamond" w:cs="Times New Roman"/>
          <w:color w:val="000000"/>
          <w:sz w:val="24"/>
          <w:szCs w:val="24"/>
        </w:rPr>
        <w:t xml:space="preserve"> e konsiderueshme, uljen e pretenduar të çmimit për apartamentin e vitit 2009 dhe transaksionet me automjete.</w:t>
      </w:r>
    </w:p>
    <w:p w14:paraId="5598275E" w14:textId="058B2AC9"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 xml:space="preserve">18. Argumentet e kërkueses, me të cilat ajo kundërshton ligjshmërinë e shkarkimit të saj nga detyra, për aq sa ai bazohej në këto gjetje dhe konteston qëllimet legjitime, janë të ngjashme me ato që Gjykata i ka rrëzuar në një kontekst të ngjashëm (shih </w:t>
      </w:r>
      <w:proofErr w:type="spellStart"/>
      <w:r w:rsidRPr="00B76F5D">
        <w:rPr>
          <w:rFonts w:ascii="Garamond" w:hAnsi="Garamond" w:cs="Times New Roman"/>
          <w:i/>
          <w:iCs/>
          <w:color w:val="000000"/>
          <w:sz w:val="24"/>
          <w:szCs w:val="24"/>
        </w:rPr>
        <w:t>Thanza</w:t>
      </w:r>
      <w:proofErr w:type="spellEnd"/>
      <w:r w:rsidRPr="00B76F5D">
        <w:rPr>
          <w:rFonts w:ascii="Garamond" w:hAnsi="Garamond" w:cs="Times New Roman"/>
          <w:color w:val="000000"/>
          <w:sz w:val="24"/>
          <w:szCs w:val="24"/>
        </w:rPr>
        <w:t>, cituar më lart, §§ 141</w:t>
      </w:r>
      <w:r w:rsidR="00B76F5D">
        <w:rPr>
          <w:rFonts w:ascii="Garamond" w:hAnsi="Garamond" w:cs="Times New Roman"/>
          <w:color w:val="000000"/>
          <w:sz w:val="24"/>
          <w:szCs w:val="24"/>
        </w:rPr>
        <w:t>–</w:t>
      </w:r>
      <w:r w:rsidRPr="00B76F5D">
        <w:rPr>
          <w:rFonts w:ascii="Garamond" w:hAnsi="Garamond" w:cs="Times New Roman"/>
          <w:color w:val="000000"/>
          <w:sz w:val="24"/>
          <w:szCs w:val="24"/>
        </w:rPr>
        <w:t>47, me referenca të mëtejshme). Gjykata nuk gjen asnjë arsye për të mbajtur një qëndrim të ndryshëm.</w:t>
      </w:r>
    </w:p>
    <w:p w14:paraId="492B2F84" w14:textId="3E20C9A4"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19. Mbetet për t’u përcaktuar nëse ndërhyrja ishte proporcionale. Së pari, kërkuesja pretendoi se kishte mangësi procedurale</w:t>
      </w:r>
      <w:r w:rsidR="00B76F5D">
        <w:rPr>
          <w:rFonts w:ascii="Garamond" w:hAnsi="Garamond" w:cs="Times New Roman"/>
          <w:color w:val="000000"/>
          <w:sz w:val="24"/>
          <w:szCs w:val="24"/>
        </w:rPr>
        <w:t>,</w:t>
      </w:r>
      <w:r w:rsidRPr="00B76F5D">
        <w:rPr>
          <w:rFonts w:ascii="Garamond" w:hAnsi="Garamond" w:cs="Times New Roman"/>
          <w:color w:val="000000"/>
          <w:sz w:val="24"/>
          <w:szCs w:val="24"/>
        </w:rPr>
        <w:t xml:space="preserve"> lidhur me gjetjet e lartpërmendura, duke iu referuar </w:t>
      </w:r>
      <w:r w:rsidR="00B76F5D">
        <w:rPr>
          <w:rFonts w:ascii="Garamond" w:hAnsi="Garamond" w:cs="Times New Roman"/>
          <w:color w:val="000000"/>
          <w:sz w:val="24"/>
          <w:szCs w:val="24"/>
        </w:rPr>
        <w:t>n</w:t>
      </w:r>
      <w:r w:rsidRPr="00B76F5D">
        <w:rPr>
          <w:rFonts w:ascii="Garamond" w:hAnsi="Garamond" w:cs="Times New Roman"/>
          <w:color w:val="000000"/>
          <w:sz w:val="24"/>
          <w:szCs w:val="24"/>
        </w:rPr>
        <w:t xml:space="preserve">enit 6 të Konventës. Këto pretendime u shpallën të papranueshme në kohën e komunikimit të kësaj kërkese. Në vitin 2024, kërkuesja i përsëriti të njëjtat pretendime në mbështetje të </w:t>
      </w:r>
      <w:r w:rsidR="00B76F5D">
        <w:rPr>
          <w:rFonts w:ascii="Garamond" w:hAnsi="Garamond" w:cs="Times New Roman"/>
          <w:color w:val="000000"/>
          <w:sz w:val="24"/>
          <w:szCs w:val="24"/>
        </w:rPr>
        <w:t>n</w:t>
      </w:r>
      <w:r w:rsidRPr="00B76F5D">
        <w:rPr>
          <w:rFonts w:ascii="Garamond" w:hAnsi="Garamond" w:cs="Times New Roman"/>
          <w:color w:val="000000"/>
          <w:sz w:val="24"/>
          <w:szCs w:val="24"/>
        </w:rPr>
        <w:t>enit 8. Gjykata më parë nuk konstatoi mangësi serioze në procesin vendimmarrës përmes të cilit ishte arritur në këto gjetje në nivel kombëtar dhe nuk sheh asnjë arsye për të arritur në një përfundim të ndryshëm</w:t>
      </w:r>
      <w:r w:rsidR="00B76F5D">
        <w:rPr>
          <w:rFonts w:ascii="Garamond" w:hAnsi="Garamond" w:cs="Times New Roman"/>
          <w:color w:val="000000"/>
          <w:sz w:val="24"/>
          <w:szCs w:val="24"/>
        </w:rPr>
        <w:t>,</w:t>
      </w:r>
      <w:r w:rsidRPr="00B76F5D">
        <w:rPr>
          <w:rFonts w:ascii="Garamond" w:hAnsi="Garamond" w:cs="Times New Roman"/>
          <w:color w:val="000000"/>
          <w:sz w:val="24"/>
          <w:szCs w:val="24"/>
        </w:rPr>
        <w:t xml:space="preserve"> lidhur me </w:t>
      </w:r>
      <w:proofErr w:type="spellStart"/>
      <w:r w:rsidRPr="00B76F5D">
        <w:rPr>
          <w:rFonts w:ascii="Garamond" w:hAnsi="Garamond" w:cs="Times New Roman"/>
          <w:color w:val="000000"/>
          <w:sz w:val="24"/>
          <w:szCs w:val="24"/>
        </w:rPr>
        <w:t>pranueshmërinë</w:t>
      </w:r>
      <w:proofErr w:type="spellEnd"/>
      <w:r w:rsidRPr="00B76F5D">
        <w:rPr>
          <w:rFonts w:ascii="Garamond" w:hAnsi="Garamond" w:cs="Times New Roman"/>
          <w:color w:val="000000"/>
          <w:sz w:val="24"/>
          <w:szCs w:val="24"/>
        </w:rPr>
        <w:t xml:space="preserve"> e atyre pretendimeve sipas </w:t>
      </w:r>
      <w:r w:rsidR="00B76F5D">
        <w:rPr>
          <w:rFonts w:ascii="Garamond" w:hAnsi="Garamond" w:cs="Times New Roman"/>
          <w:color w:val="000000"/>
          <w:sz w:val="24"/>
          <w:szCs w:val="24"/>
        </w:rPr>
        <w:t>n</w:t>
      </w:r>
      <w:r w:rsidRPr="00B76F5D">
        <w:rPr>
          <w:rFonts w:ascii="Garamond" w:hAnsi="Garamond" w:cs="Times New Roman"/>
          <w:color w:val="000000"/>
          <w:sz w:val="24"/>
          <w:szCs w:val="24"/>
        </w:rPr>
        <w:t xml:space="preserve">enit 8 (krahasoni </w:t>
      </w:r>
      <w:proofErr w:type="spellStart"/>
      <w:r w:rsidRPr="00B76F5D">
        <w:rPr>
          <w:rFonts w:ascii="Garamond" w:hAnsi="Garamond" w:cs="Times New Roman"/>
          <w:i/>
          <w:iCs/>
          <w:color w:val="000000"/>
          <w:sz w:val="24"/>
          <w:szCs w:val="24"/>
        </w:rPr>
        <w:t>Thanza</w:t>
      </w:r>
      <w:proofErr w:type="spellEnd"/>
      <w:r w:rsidRPr="00B76F5D">
        <w:rPr>
          <w:rFonts w:ascii="Garamond" w:hAnsi="Garamond" w:cs="Times New Roman"/>
          <w:color w:val="000000"/>
          <w:sz w:val="24"/>
          <w:szCs w:val="24"/>
        </w:rPr>
        <w:t xml:space="preserve">, cituar më lart, § 158). Së dyti, kërkuesja kundërshtoi si arbitrare gjetjet dhe interpretimin e ligjit të brendshëm nga ana e KPA-së. Këto pretendime nuk tregojnë asnjë shenjë arbitrariteti ose nuk manifestojnë </w:t>
      </w:r>
      <w:proofErr w:type="spellStart"/>
      <w:r w:rsidRPr="00B76F5D">
        <w:rPr>
          <w:rFonts w:ascii="Garamond" w:hAnsi="Garamond" w:cs="Times New Roman"/>
          <w:color w:val="000000"/>
          <w:sz w:val="24"/>
          <w:szCs w:val="24"/>
        </w:rPr>
        <w:t>paarsyeshmëri</w:t>
      </w:r>
      <w:proofErr w:type="spellEnd"/>
      <w:r w:rsidRPr="00B76F5D">
        <w:rPr>
          <w:rFonts w:ascii="Garamond" w:hAnsi="Garamond" w:cs="Times New Roman"/>
          <w:color w:val="000000"/>
          <w:sz w:val="24"/>
          <w:szCs w:val="24"/>
        </w:rPr>
        <w:t xml:space="preserve"> (shih </w:t>
      </w:r>
      <w:proofErr w:type="spellStart"/>
      <w:r w:rsidRPr="00B76F5D">
        <w:rPr>
          <w:rFonts w:ascii="Garamond" w:hAnsi="Garamond" w:cs="Times New Roman"/>
          <w:color w:val="000000"/>
          <w:sz w:val="24"/>
          <w:szCs w:val="24"/>
        </w:rPr>
        <w:t>Yüksel</w:t>
      </w:r>
      <w:proofErr w:type="spellEnd"/>
      <w:r w:rsidRPr="00B76F5D">
        <w:rPr>
          <w:rFonts w:ascii="Garamond" w:hAnsi="Garamond" w:cs="Times New Roman"/>
          <w:color w:val="000000"/>
          <w:sz w:val="24"/>
          <w:szCs w:val="24"/>
        </w:rPr>
        <w:t xml:space="preserve"> </w:t>
      </w:r>
      <w:proofErr w:type="spellStart"/>
      <w:r w:rsidRPr="00B76F5D">
        <w:rPr>
          <w:rFonts w:ascii="Garamond" w:hAnsi="Garamond" w:cs="Times New Roman"/>
          <w:i/>
          <w:iCs/>
          <w:color w:val="000000"/>
          <w:sz w:val="24"/>
          <w:szCs w:val="24"/>
        </w:rPr>
        <w:t>Yalçınkaya</w:t>
      </w:r>
      <w:proofErr w:type="spellEnd"/>
      <w:r w:rsidRPr="00B76F5D">
        <w:rPr>
          <w:rFonts w:ascii="Garamond" w:hAnsi="Garamond" w:cs="Times New Roman"/>
          <w:i/>
          <w:iCs/>
          <w:color w:val="000000"/>
          <w:sz w:val="24"/>
          <w:szCs w:val="24"/>
        </w:rPr>
        <w:t xml:space="preserve"> kundër Turqisë</w:t>
      </w:r>
      <w:r w:rsidRPr="00B76F5D">
        <w:rPr>
          <w:rFonts w:ascii="Garamond" w:hAnsi="Garamond" w:cs="Times New Roman"/>
          <w:color w:val="000000"/>
          <w:sz w:val="24"/>
          <w:szCs w:val="24"/>
        </w:rPr>
        <w:t xml:space="preserve"> [DHM], nr. 15669/20, § 304 </w:t>
      </w:r>
      <w:r w:rsidRPr="00B76F5D">
        <w:rPr>
          <w:rFonts w:ascii="Garamond" w:hAnsi="Garamond" w:cs="Times New Roman"/>
          <w:i/>
          <w:iCs/>
          <w:color w:val="000000"/>
          <w:sz w:val="24"/>
          <w:szCs w:val="24"/>
        </w:rPr>
        <w:t>in fine</w:t>
      </w:r>
      <w:r w:rsidRPr="00B76F5D">
        <w:rPr>
          <w:rFonts w:ascii="Garamond" w:hAnsi="Garamond" w:cs="Times New Roman"/>
          <w:color w:val="000000"/>
          <w:sz w:val="24"/>
          <w:szCs w:val="24"/>
        </w:rPr>
        <w:t xml:space="preserve">, 26 </w:t>
      </w:r>
      <w:r w:rsidR="00B76F5D">
        <w:rPr>
          <w:rFonts w:ascii="Garamond" w:hAnsi="Garamond" w:cs="Times New Roman"/>
          <w:color w:val="000000"/>
          <w:sz w:val="24"/>
          <w:szCs w:val="24"/>
        </w:rPr>
        <w:t>s</w:t>
      </w:r>
      <w:r w:rsidRPr="00B76F5D">
        <w:rPr>
          <w:rFonts w:ascii="Garamond" w:hAnsi="Garamond" w:cs="Times New Roman"/>
          <w:color w:val="000000"/>
          <w:sz w:val="24"/>
          <w:szCs w:val="24"/>
        </w:rPr>
        <w:t xml:space="preserve">htator 2023). Prandaj, Gjykata do ta shqyrtojë pretendimin fillestar për mungesë </w:t>
      </w:r>
      <w:proofErr w:type="spellStart"/>
      <w:r w:rsidRPr="00B76F5D">
        <w:rPr>
          <w:rFonts w:ascii="Garamond" w:hAnsi="Garamond" w:cs="Times New Roman"/>
          <w:color w:val="000000"/>
          <w:sz w:val="24"/>
          <w:szCs w:val="24"/>
        </w:rPr>
        <w:t>proporcionaliteti</w:t>
      </w:r>
      <w:proofErr w:type="spellEnd"/>
      <w:r w:rsidRPr="00B76F5D">
        <w:rPr>
          <w:rFonts w:ascii="Garamond" w:hAnsi="Garamond" w:cs="Times New Roman"/>
          <w:color w:val="000000"/>
          <w:sz w:val="24"/>
          <w:szCs w:val="24"/>
        </w:rPr>
        <w:t xml:space="preserve"> mbi bazën e fakteve, ashtu siç këto fakte janë konstatuar dhe vlerësuar në nivel kombëtar.</w:t>
      </w:r>
    </w:p>
    <w:p w14:paraId="18CACA26" w14:textId="1BC534F7"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lastRenderedPageBreak/>
        <w:t xml:space="preserve">20. Mosrespektime të caktuara nga ana e zyrtarëve publikë të detyrimeve që lidhen me deklarimin e pasurisë mund të konsiderohet përgjithësisht serioze (shih </w:t>
      </w:r>
      <w:proofErr w:type="spellStart"/>
      <w:r w:rsidRPr="00B76F5D">
        <w:rPr>
          <w:rFonts w:ascii="Garamond" w:hAnsi="Garamond" w:cs="Times New Roman"/>
          <w:i/>
          <w:iCs/>
          <w:color w:val="000000"/>
          <w:sz w:val="24"/>
          <w:szCs w:val="24"/>
        </w:rPr>
        <w:t>Thanza</w:t>
      </w:r>
      <w:proofErr w:type="spellEnd"/>
      <w:r w:rsidRPr="00B76F5D">
        <w:rPr>
          <w:rFonts w:ascii="Garamond" w:hAnsi="Garamond" w:cs="Times New Roman"/>
          <w:color w:val="000000"/>
          <w:sz w:val="24"/>
          <w:szCs w:val="24"/>
        </w:rPr>
        <w:t xml:space="preserve">, të cituar më lart, § 153). Kjo mund të përfshijë pamundësinë për të justifikuar blerje të mëdha përmes kursimeve ose burimeve legjitime dhe të mjaftueshme që disponoheshin në kohën e blerjes, ose pamundësinë për të justifikuar një stil jetese të tepruar apo shpenzime ekstravagante që tejkalojnë qartazi të ardhurat e ligjshme të deklaruara të zyrtarit përkatës dhe familjes së tij ose të saj. Mund të jetë e ligjshme të merren parasysh të ardhurat dhe </w:t>
      </w:r>
      <w:r w:rsidR="00B76F5D">
        <w:rPr>
          <w:rFonts w:ascii="Garamond" w:hAnsi="Garamond" w:cs="Times New Roman"/>
          <w:color w:val="000000"/>
          <w:sz w:val="24"/>
          <w:szCs w:val="24"/>
        </w:rPr>
        <w:t>deklarimet e bashkëshortit/</w:t>
      </w:r>
      <w:proofErr w:type="spellStart"/>
      <w:r w:rsidR="00B76F5D">
        <w:rPr>
          <w:rFonts w:ascii="Garamond" w:hAnsi="Garamond" w:cs="Times New Roman"/>
          <w:color w:val="000000"/>
          <w:sz w:val="24"/>
          <w:szCs w:val="24"/>
        </w:rPr>
        <w:t>es</w:t>
      </w:r>
      <w:proofErr w:type="spellEnd"/>
      <w:r w:rsidR="00B76F5D">
        <w:rPr>
          <w:rFonts w:ascii="Garamond" w:hAnsi="Garamond" w:cs="Times New Roman"/>
          <w:color w:val="000000"/>
          <w:sz w:val="24"/>
          <w:szCs w:val="24"/>
        </w:rPr>
        <w:t xml:space="preserve"> </w:t>
      </w:r>
      <w:r w:rsidRPr="00B76F5D">
        <w:rPr>
          <w:rFonts w:ascii="Garamond" w:hAnsi="Garamond" w:cs="Times New Roman"/>
          <w:color w:val="000000"/>
          <w:sz w:val="24"/>
          <w:szCs w:val="24"/>
        </w:rPr>
        <w:t>së zyrtarit (po aty).</w:t>
      </w:r>
    </w:p>
    <w:p w14:paraId="36B9DC90" w14:textId="5B338349"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 xml:space="preserve">21. Për sa u përket huave, Gjykata vlerëson se kërkesa për të provuar besueshmërinë e një huaje të konsiderueshme dhe </w:t>
      </w:r>
      <w:proofErr w:type="spellStart"/>
      <w:r w:rsidRPr="00B76F5D">
        <w:rPr>
          <w:rFonts w:ascii="Garamond" w:hAnsi="Garamond" w:cs="Times New Roman"/>
          <w:color w:val="000000"/>
          <w:sz w:val="24"/>
          <w:szCs w:val="24"/>
        </w:rPr>
        <w:t>mjaftueshmërinë</w:t>
      </w:r>
      <w:proofErr w:type="spellEnd"/>
      <w:r w:rsidRPr="00B76F5D">
        <w:rPr>
          <w:rFonts w:ascii="Garamond" w:hAnsi="Garamond" w:cs="Times New Roman"/>
          <w:color w:val="000000"/>
          <w:sz w:val="24"/>
          <w:szCs w:val="24"/>
        </w:rPr>
        <w:t xml:space="preserve"> e të ardhurave të huadhënësit të përdorura për atë hua është, në parim, në përputhje me funksionimin efektiv të mekanizmave të rivlerësimit kalimtar (</w:t>
      </w:r>
      <w:proofErr w:type="spellStart"/>
      <w:r w:rsidRPr="00B76F5D">
        <w:rPr>
          <w:rFonts w:ascii="Garamond" w:hAnsi="Garamond" w:cs="Times New Roman"/>
          <w:i/>
          <w:color w:val="000000"/>
          <w:sz w:val="24"/>
          <w:szCs w:val="24"/>
        </w:rPr>
        <w:t>vetting</w:t>
      </w:r>
      <w:proofErr w:type="spellEnd"/>
      <w:r w:rsidRPr="00B76F5D">
        <w:rPr>
          <w:rFonts w:ascii="Garamond" w:hAnsi="Garamond" w:cs="Times New Roman"/>
          <w:color w:val="000000"/>
          <w:sz w:val="24"/>
          <w:szCs w:val="24"/>
        </w:rPr>
        <w:t>-ut), duke kundërshtuar përdorimin e huave fiktive për të “pastruar” pasurinë e pashpjeguar të zyrtarëve publikë ose të familjeve të tyre. Transaksione të tilla mund të ngrenë</w:t>
      </w:r>
      <w:r w:rsidR="00B76F5D">
        <w:rPr>
          <w:rFonts w:ascii="Garamond" w:hAnsi="Garamond" w:cs="Times New Roman"/>
          <w:color w:val="000000"/>
          <w:sz w:val="24"/>
          <w:szCs w:val="24"/>
        </w:rPr>
        <w:t>,</w:t>
      </w:r>
      <w:r w:rsidRPr="00B76F5D">
        <w:rPr>
          <w:rFonts w:ascii="Garamond" w:hAnsi="Garamond" w:cs="Times New Roman"/>
          <w:color w:val="000000"/>
          <w:sz w:val="24"/>
          <w:szCs w:val="24"/>
        </w:rPr>
        <w:t xml:space="preserve"> gjithashtu</w:t>
      </w:r>
      <w:r w:rsidR="00B76F5D">
        <w:rPr>
          <w:rFonts w:ascii="Garamond" w:hAnsi="Garamond" w:cs="Times New Roman"/>
          <w:color w:val="000000"/>
          <w:sz w:val="24"/>
          <w:szCs w:val="24"/>
        </w:rPr>
        <w:t>,</w:t>
      </w:r>
      <w:r w:rsidRPr="00B76F5D">
        <w:rPr>
          <w:rFonts w:ascii="Garamond" w:hAnsi="Garamond" w:cs="Times New Roman"/>
          <w:color w:val="000000"/>
          <w:sz w:val="24"/>
          <w:szCs w:val="24"/>
        </w:rPr>
        <w:t xml:space="preserve"> çështje të konfliktit të interesit ose përfitime të tjera të paligjshme të marra nga një gjyqtar. Megjithatë, zbatimi i kësaj kërkese nuk duhet të krijojë një barrë të tepruar ose </w:t>
      </w:r>
      <w:proofErr w:type="spellStart"/>
      <w:r w:rsidRPr="00B76F5D">
        <w:rPr>
          <w:rFonts w:ascii="Garamond" w:hAnsi="Garamond" w:cs="Times New Roman"/>
          <w:color w:val="000000"/>
          <w:sz w:val="24"/>
          <w:szCs w:val="24"/>
        </w:rPr>
        <w:t>joproporcionale</w:t>
      </w:r>
      <w:proofErr w:type="spellEnd"/>
      <w:r w:rsidRPr="00B76F5D">
        <w:rPr>
          <w:rFonts w:ascii="Garamond" w:hAnsi="Garamond" w:cs="Times New Roman"/>
          <w:color w:val="000000"/>
          <w:sz w:val="24"/>
          <w:szCs w:val="24"/>
        </w:rPr>
        <w:t xml:space="preserve"> dhe duhet të vendosë një ekuilibër të drejtë midis interesit publik dhe të drejtave të ankuesit. Individi duhet të ketë një mundësi efektive dhe reale për të provuar </w:t>
      </w:r>
      <w:proofErr w:type="spellStart"/>
      <w:r w:rsidRPr="00B76F5D">
        <w:rPr>
          <w:rFonts w:ascii="Garamond" w:hAnsi="Garamond" w:cs="Times New Roman"/>
          <w:color w:val="000000"/>
          <w:sz w:val="24"/>
          <w:szCs w:val="24"/>
        </w:rPr>
        <w:t>mjaftueshmërinë</w:t>
      </w:r>
      <w:proofErr w:type="spellEnd"/>
      <w:r w:rsidRPr="00B76F5D">
        <w:rPr>
          <w:rFonts w:ascii="Garamond" w:hAnsi="Garamond" w:cs="Times New Roman"/>
          <w:color w:val="000000"/>
          <w:sz w:val="24"/>
          <w:szCs w:val="24"/>
        </w:rPr>
        <w:t xml:space="preserve"> e burimeve financiare të përdorura, dhe kërkesat lidhur me provat duhet të jenë të arsyeshme, duke marrë parasysh, ndër të tjera, kalimin e kohës dhe kontekstin social e ekonomik në të cilin ato kanë ndodhur (krahasoni </w:t>
      </w:r>
      <w:proofErr w:type="spellStart"/>
      <w:r w:rsidRPr="00B76F5D">
        <w:rPr>
          <w:rFonts w:ascii="Garamond" w:hAnsi="Garamond" w:cs="Times New Roman"/>
          <w:i/>
          <w:iCs/>
          <w:color w:val="000000"/>
          <w:sz w:val="24"/>
          <w:szCs w:val="24"/>
        </w:rPr>
        <w:t>Thanza</w:t>
      </w:r>
      <w:proofErr w:type="spellEnd"/>
      <w:r w:rsidRPr="00B76F5D">
        <w:rPr>
          <w:rFonts w:ascii="Garamond" w:hAnsi="Garamond" w:cs="Times New Roman"/>
          <w:color w:val="000000"/>
          <w:sz w:val="24"/>
          <w:szCs w:val="24"/>
        </w:rPr>
        <w:t>, cituar më lart, §§ 155</w:t>
      </w:r>
      <w:r w:rsidR="00B76F5D">
        <w:rPr>
          <w:rFonts w:ascii="Garamond" w:hAnsi="Garamond" w:cs="Times New Roman"/>
          <w:color w:val="000000"/>
          <w:sz w:val="24"/>
          <w:szCs w:val="24"/>
        </w:rPr>
        <w:t>–</w:t>
      </w:r>
      <w:r w:rsidRPr="00B76F5D">
        <w:rPr>
          <w:rFonts w:ascii="Garamond" w:hAnsi="Garamond" w:cs="Times New Roman"/>
          <w:color w:val="000000"/>
          <w:sz w:val="24"/>
          <w:szCs w:val="24"/>
        </w:rPr>
        <w:t xml:space="preserve">56, dhe </w:t>
      </w:r>
      <w:proofErr w:type="spellStart"/>
      <w:r w:rsidRPr="00B76F5D">
        <w:rPr>
          <w:rFonts w:ascii="Garamond" w:hAnsi="Garamond" w:cs="Times New Roman"/>
          <w:i/>
          <w:iCs/>
          <w:color w:val="000000"/>
          <w:sz w:val="24"/>
          <w:szCs w:val="24"/>
        </w:rPr>
        <w:t>Gogitidze</w:t>
      </w:r>
      <w:proofErr w:type="spellEnd"/>
      <w:r w:rsidRPr="00B76F5D">
        <w:rPr>
          <w:rFonts w:ascii="Garamond" w:hAnsi="Garamond" w:cs="Times New Roman"/>
          <w:i/>
          <w:iCs/>
          <w:color w:val="000000"/>
          <w:sz w:val="24"/>
          <w:szCs w:val="24"/>
        </w:rPr>
        <w:t xml:space="preserve"> dhe të Tjerë kundër Gjeorgjisë</w:t>
      </w:r>
      <w:r w:rsidRPr="00B76F5D">
        <w:rPr>
          <w:rFonts w:ascii="Garamond" w:hAnsi="Garamond" w:cs="Times New Roman"/>
          <w:color w:val="000000"/>
          <w:sz w:val="24"/>
          <w:szCs w:val="24"/>
        </w:rPr>
        <w:t>, nr. 36862/05, §§ 99</w:t>
      </w:r>
      <w:r w:rsidR="00B76F5D">
        <w:rPr>
          <w:rFonts w:ascii="Garamond" w:hAnsi="Garamond" w:cs="Times New Roman"/>
          <w:color w:val="000000"/>
          <w:sz w:val="24"/>
          <w:szCs w:val="24"/>
        </w:rPr>
        <w:t>–</w:t>
      </w:r>
      <w:r w:rsidRPr="00B76F5D">
        <w:rPr>
          <w:rFonts w:ascii="Garamond" w:hAnsi="Garamond" w:cs="Times New Roman"/>
          <w:color w:val="000000"/>
          <w:sz w:val="24"/>
          <w:szCs w:val="24"/>
        </w:rPr>
        <w:t xml:space="preserve">115, 12 </w:t>
      </w:r>
      <w:r w:rsidR="00B76F5D">
        <w:rPr>
          <w:rFonts w:ascii="Garamond" w:hAnsi="Garamond" w:cs="Times New Roman"/>
          <w:color w:val="000000"/>
          <w:sz w:val="24"/>
          <w:szCs w:val="24"/>
        </w:rPr>
        <w:t>m</w:t>
      </w:r>
      <w:r w:rsidRPr="00B76F5D">
        <w:rPr>
          <w:rFonts w:ascii="Garamond" w:hAnsi="Garamond" w:cs="Times New Roman"/>
          <w:color w:val="000000"/>
          <w:sz w:val="24"/>
          <w:szCs w:val="24"/>
        </w:rPr>
        <w:t>aj 2015).</w:t>
      </w:r>
    </w:p>
    <w:p w14:paraId="134F421A" w14:textId="5EC0FCB0"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22. Gjatë procedurave të rivlerësimit, kërkuesja iu referua huave nga A.</w:t>
      </w:r>
      <w:r w:rsidR="00B76F5D">
        <w:rPr>
          <w:rFonts w:ascii="Garamond" w:hAnsi="Garamond" w:cs="Times New Roman"/>
          <w:color w:val="000000"/>
          <w:sz w:val="24"/>
          <w:szCs w:val="24"/>
        </w:rPr>
        <w:t xml:space="preserve"> </w:t>
      </w:r>
      <w:r w:rsidRPr="00B76F5D">
        <w:rPr>
          <w:rFonts w:ascii="Garamond" w:hAnsi="Garamond" w:cs="Times New Roman"/>
          <w:color w:val="000000"/>
          <w:sz w:val="24"/>
          <w:szCs w:val="24"/>
        </w:rPr>
        <w:t>M. dhe A.</w:t>
      </w:r>
      <w:r w:rsidR="00B76F5D">
        <w:rPr>
          <w:rFonts w:ascii="Garamond" w:hAnsi="Garamond" w:cs="Times New Roman"/>
          <w:color w:val="000000"/>
          <w:sz w:val="24"/>
          <w:szCs w:val="24"/>
        </w:rPr>
        <w:t xml:space="preserve"> </w:t>
      </w:r>
      <w:r w:rsidRPr="00B76F5D">
        <w:rPr>
          <w:rFonts w:ascii="Garamond" w:hAnsi="Garamond" w:cs="Times New Roman"/>
          <w:color w:val="000000"/>
          <w:sz w:val="24"/>
          <w:szCs w:val="24"/>
        </w:rPr>
        <w:t>L. si burime financimi për apartamentin e parë të blerë në Tiranë</w:t>
      </w:r>
      <w:r w:rsidR="00B76F5D">
        <w:rPr>
          <w:rFonts w:ascii="Garamond" w:hAnsi="Garamond" w:cs="Times New Roman"/>
          <w:color w:val="000000"/>
          <w:sz w:val="24"/>
          <w:szCs w:val="24"/>
        </w:rPr>
        <w:t>,</w:t>
      </w:r>
      <w:r w:rsidRPr="00B76F5D">
        <w:rPr>
          <w:rFonts w:ascii="Garamond" w:hAnsi="Garamond" w:cs="Times New Roman"/>
          <w:color w:val="000000"/>
          <w:sz w:val="24"/>
          <w:szCs w:val="24"/>
        </w:rPr>
        <w:t xml:space="preserve"> në vitin 2009. Ajo iu referua</w:t>
      </w:r>
      <w:r w:rsidR="00B76F5D">
        <w:rPr>
          <w:rFonts w:ascii="Garamond" w:hAnsi="Garamond" w:cs="Times New Roman"/>
          <w:color w:val="000000"/>
          <w:sz w:val="24"/>
          <w:szCs w:val="24"/>
        </w:rPr>
        <w:t>,</w:t>
      </w:r>
      <w:r w:rsidRPr="00B76F5D">
        <w:rPr>
          <w:rFonts w:ascii="Garamond" w:hAnsi="Garamond" w:cs="Times New Roman"/>
          <w:color w:val="000000"/>
          <w:sz w:val="24"/>
          <w:szCs w:val="24"/>
        </w:rPr>
        <w:t xml:space="preserve"> gjithashtu</w:t>
      </w:r>
      <w:r w:rsidR="00B76F5D">
        <w:rPr>
          <w:rFonts w:ascii="Garamond" w:hAnsi="Garamond" w:cs="Times New Roman"/>
          <w:color w:val="000000"/>
          <w:sz w:val="24"/>
          <w:szCs w:val="24"/>
        </w:rPr>
        <w:t>,</w:t>
      </w:r>
      <w:r w:rsidRPr="00B76F5D">
        <w:rPr>
          <w:rFonts w:ascii="Garamond" w:hAnsi="Garamond" w:cs="Times New Roman"/>
          <w:color w:val="000000"/>
          <w:sz w:val="24"/>
          <w:szCs w:val="24"/>
        </w:rPr>
        <w:t xml:space="preserve"> një huaje nga L.</w:t>
      </w:r>
      <w:r w:rsidR="00B76F5D">
        <w:rPr>
          <w:rFonts w:ascii="Garamond" w:hAnsi="Garamond" w:cs="Times New Roman"/>
          <w:color w:val="000000"/>
          <w:sz w:val="24"/>
          <w:szCs w:val="24"/>
        </w:rPr>
        <w:t xml:space="preserve"> </w:t>
      </w:r>
      <w:r w:rsidRPr="00B76F5D">
        <w:rPr>
          <w:rFonts w:ascii="Garamond" w:hAnsi="Garamond" w:cs="Times New Roman"/>
          <w:color w:val="000000"/>
          <w:sz w:val="24"/>
          <w:szCs w:val="24"/>
        </w:rPr>
        <w:t>S. si burimi i vetëm i financimit për një apartament tjetër në vitin 2016, pra në një kohë kur legjislacioni i rivlerësimit, që kërkonte justifikimin e burimeve të huadhënësve, kishte hyrë tashmë në fuqi. A.</w:t>
      </w:r>
      <w:r w:rsidR="00B76F5D">
        <w:rPr>
          <w:rFonts w:ascii="Garamond" w:hAnsi="Garamond" w:cs="Times New Roman"/>
          <w:color w:val="000000"/>
          <w:sz w:val="24"/>
          <w:szCs w:val="24"/>
        </w:rPr>
        <w:t xml:space="preserve"> </w:t>
      </w:r>
      <w:r w:rsidRPr="00B76F5D">
        <w:rPr>
          <w:rFonts w:ascii="Garamond" w:hAnsi="Garamond" w:cs="Times New Roman"/>
          <w:color w:val="000000"/>
          <w:sz w:val="24"/>
          <w:szCs w:val="24"/>
        </w:rPr>
        <w:t>L. dhe L.</w:t>
      </w:r>
      <w:r w:rsidR="00B76F5D">
        <w:rPr>
          <w:rFonts w:ascii="Garamond" w:hAnsi="Garamond" w:cs="Times New Roman"/>
          <w:color w:val="000000"/>
          <w:sz w:val="24"/>
          <w:szCs w:val="24"/>
        </w:rPr>
        <w:t xml:space="preserve"> </w:t>
      </w:r>
      <w:r w:rsidRPr="00B76F5D">
        <w:rPr>
          <w:rFonts w:ascii="Garamond" w:hAnsi="Garamond" w:cs="Times New Roman"/>
          <w:color w:val="000000"/>
          <w:sz w:val="24"/>
          <w:szCs w:val="24"/>
        </w:rPr>
        <w:t>S. treguan burime specifike për shumat e huazuara kërkueses (shih paragrafët 4(b) dhe 5 më lart). Nuk rezulton që ajo të ketë provuar para organeve të rivlerësimit se e kishte të pamundur të siguronte informacione ose dokumente vendimtare</w:t>
      </w:r>
      <w:r w:rsidR="00B76F5D">
        <w:rPr>
          <w:rFonts w:ascii="Garamond" w:hAnsi="Garamond" w:cs="Times New Roman"/>
          <w:color w:val="000000"/>
          <w:sz w:val="24"/>
          <w:szCs w:val="24"/>
        </w:rPr>
        <w:t>,</w:t>
      </w:r>
      <w:r w:rsidRPr="00B76F5D">
        <w:rPr>
          <w:rFonts w:ascii="Garamond" w:hAnsi="Garamond" w:cs="Times New Roman"/>
          <w:color w:val="000000"/>
          <w:sz w:val="24"/>
          <w:szCs w:val="24"/>
        </w:rPr>
        <w:t xml:space="preserve"> lidhur me burimet specifike të këtyre huadhënësve. A.</w:t>
      </w:r>
      <w:r w:rsidR="00B76F5D">
        <w:rPr>
          <w:rFonts w:ascii="Garamond" w:hAnsi="Garamond" w:cs="Times New Roman"/>
          <w:color w:val="000000"/>
          <w:sz w:val="24"/>
          <w:szCs w:val="24"/>
        </w:rPr>
        <w:t xml:space="preserve"> </w:t>
      </w:r>
      <w:r w:rsidRPr="00B76F5D">
        <w:rPr>
          <w:rFonts w:ascii="Garamond" w:hAnsi="Garamond" w:cs="Times New Roman"/>
          <w:color w:val="000000"/>
          <w:sz w:val="24"/>
          <w:szCs w:val="24"/>
        </w:rPr>
        <w:t>L. dhe L.</w:t>
      </w:r>
      <w:r w:rsidR="00B76F5D">
        <w:rPr>
          <w:rFonts w:ascii="Garamond" w:hAnsi="Garamond" w:cs="Times New Roman"/>
          <w:color w:val="000000"/>
          <w:sz w:val="24"/>
          <w:szCs w:val="24"/>
        </w:rPr>
        <w:t xml:space="preserve"> </w:t>
      </w:r>
      <w:r w:rsidRPr="00B76F5D">
        <w:rPr>
          <w:rFonts w:ascii="Garamond" w:hAnsi="Garamond" w:cs="Times New Roman"/>
          <w:color w:val="000000"/>
          <w:sz w:val="24"/>
          <w:szCs w:val="24"/>
        </w:rPr>
        <w:t>S. duket se kanë bashkëpunuar plotësisht me kërkuesen</w:t>
      </w:r>
      <w:r w:rsidR="00B76F5D">
        <w:rPr>
          <w:rFonts w:ascii="Garamond" w:hAnsi="Garamond" w:cs="Times New Roman"/>
          <w:color w:val="000000"/>
          <w:sz w:val="24"/>
          <w:szCs w:val="24"/>
        </w:rPr>
        <w:t>,</w:t>
      </w:r>
      <w:r w:rsidRPr="00B76F5D">
        <w:rPr>
          <w:rFonts w:ascii="Garamond" w:hAnsi="Garamond" w:cs="Times New Roman"/>
          <w:color w:val="000000"/>
          <w:sz w:val="24"/>
          <w:szCs w:val="24"/>
        </w:rPr>
        <w:t xml:space="preserve"> duke vënë në dispozicion prova për origjinën e huave. Dokumentacioni i tyre personal dhe ai përkatës i shoqërive duket se ka qenë i </w:t>
      </w:r>
      <w:proofErr w:type="spellStart"/>
      <w:r w:rsidRPr="00B76F5D">
        <w:rPr>
          <w:rFonts w:ascii="Garamond" w:hAnsi="Garamond" w:cs="Times New Roman"/>
          <w:color w:val="000000"/>
          <w:sz w:val="24"/>
          <w:szCs w:val="24"/>
        </w:rPr>
        <w:t>aksesueshëm</w:t>
      </w:r>
      <w:proofErr w:type="spellEnd"/>
      <w:r w:rsidRPr="00B76F5D">
        <w:rPr>
          <w:rFonts w:ascii="Garamond" w:hAnsi="Garamond" w:cs="Times New Roman"/>
          <w:color w:val="000000"/>
          <w:sz w:val="24"/>
          <w:szCs w:val="24"/>
        </w:rPr>
        <w:t xml:space="preserve"> për të. Për sa i përket të ndjerit A.</w:t>
      </w:r>
      <w:r w:rsidR="00B76F5D">
        <w:rPr>
          <w:rFonts w:ascii="Garamond" w:hAnsi="Garamond" w:cs="Times New Roman"/>
          <w:color w:val="000000"/>
          <w:sz w:val="24"/>
          <w:szCs w:val="24"/>
        </w:rPr>
        <w:t xml:space="preserve"> </w:t>
      </w:r>
      <w:r w:rsidRPr="00B76F5D">
        <w:rPr>
          <w:rFonts w:ascii="Garamond" w:hAnsi="Garamond" w:cs="Times New Roman"/>
          <w:color w:val="000000"/>
          <w:sz w:val="24"/>
          <w:szCs w:val="24"/>
        </w:rPr>
        <w:t xml:space="preserve">M., kërkuesja nuk ka specifikuar se cila provë thelbësore ishte e </w:t>
      </w:r>
      <w:proofErr w:type="spellStart"/>
      <w:r w:rsidRPr="00B76F5D">
        <w:rPr>
          <w:rFonts w:ascii="Garamond" w:hAnsi="Garamond" w:cs="Times New Roman"/>
          <w:color w:val="000000"/>
          <w:sz w:val="24"/>
          <w:szCs w:val="24"/>
        </w:rPr>
        <w:t>padisponueshme</w:t>
      </w:r>
      <w:proofErr w:type="spellEnd"/>
      <w:r w:rsidRPr="00B76F5D">
        <w:rPr>
          <w:rFonts w:ascii="Garamond" w:hAnsi="Garamond" w:cs="Times New Roman"/>
          <w:color w:val="000000"/>
          <w:sz w:val="24"/>
          <w:szCs w:val="24"/>
        </w:rPr>
        <w:t xml:space="preserve"> si pasojë e vdekjes së tij në vitin 2013, veçanërisht duke pasur parasysh se KPK-ja kishte siguruar dhe verifikuar të dhënat e tij bankare (shih paragrafin 4(c) më lart). Për këtë arsye, nuk është vërtetuar se, në rrethanat specifike të çështjes në fjalë, kërkuesja është ngarkuar me një barrë të pamundur për të provuar kapacitetin e huadhënësve për të dhënë hua (shih </w:t>
      </w:r>
      <w:proofErr w:type="spellStart"/>
      <w:r w:rsidRPr="00B76F5D">
        <w:rPr>
          <w:rFonts w:ascii="Garamond" w:hAnsi="Garamond" w:cs="Times New Roman"/>
          <w:i/>
          <w:iCs/>
          <w:color w:val="000000"/>
          <w:sz w:val="24"/>
          <w:szCs w:val="24"/>
        </w:rPr>
        <w:t>Thanza</w:t>
      </w:r>
      <w:proofErr w:type="spellEnd"/>
      <w:r w:rsidRPr="00B76F5D">
        <w:rPr>
          <w:rFonts w:ascii="Garamond" w:hAnsi="Garamond" w:cs="Times New Roman"/>
          <w:color w:val="000000"/>
          <w:sz w:val="24"/>
          <w:szCs w:val="24"/>
        </w:rPr>
        <w:t xml:space="preserve">, cituar më lart, § 156). </w:t>
      </w:r>
      <w:proofErr w:type="spellStart"/>
      <w:r w:rsidRPr="00B76F5D">
        <w:rPr>
          <w:rFonts w:ascii="Garamond" w:hAnsi="Garamond" w:cs="Times New Roman"/>
          <w:color w:val="000000"/>
          <w:sz w:val="24"/>
          <w:szCs w:val="24"/>
        </w:rPr>
        <w:t>Mjaftueshmëria</w:t>
      </w:r>
      <w:proofErr w:type="spellEnd"/>
      <w:r w:rsidRPr="00B76F5D">
        <w:rPr>
          <w:rFonts w:ascii="Garamond" w:hAnsi="Garamond" w:cs="Times New Roman"/>
          <w:color w:val="000000"/>
          <w:sz w:val="24"/>
          <w:szCs w:val="24"/>
        </w:rPr>
        <w:t xml:space="preserve"> e të ardhurave të </w:t>
      </w:r>
      <w:proofErr w:type="spellStart"/>
      <w:r w:rsidRPr="00B76F5D">
        <w:rPr>
          <w:rFonts w:ascii="Garamond" w:hAnsi="Garamond" w:cs="Times New Roman"/>
          <w:color w:val="000000"/>
          <w:sz w:val="24"/>
          <w:szCs w:val="24"/>
        </w:rPr>
        <w:t>disponueshme</w:t>
      </w:r>
      <w:proofErr w:type="spellEnd"/>
      <w:r w:rsidRPr="00B76F5D">
        <w:rPr>
          <w:rFonts w:ascii="Garamond" w:hAnsi="Garamond" w:cs="Times New Roman"/>
          <w:color w:val="000000"/>
          <w:sz w:val="24"/>
          <w:szCs w:val="24"/>
        </w:rPr>
        <w:t xml:space="preserve"> të huadhënësve nuk u konfirmua për një pjesë të konsiderueshme të fondeve të huazuara kërkueses.</w:t>
      </w:r>
    </w:p>
    <w:p w14:paraId="62A7A55A" w14:textId="3D367111"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23. Në arritjen e këtij përfundimi, KPA</w:t>
      </w:r>
      <w:r w:rsidR="00B76F5D">
        <w:rPr>
          <w:rFonts w:ascii="Garamond" w:hAnsi="Garamond" w:cs="Times New Roman"/>
          <w:color w:val="000000"/>
          <w:sz w:val="24"/>
          <w:szCs w:val="24"/>
        </w:rPr>
        <w:t>-ja</w:t>
      </w:r>
      <w:r w:rsidRPr="00B76F5D">
        <w:rPr>
          <w:rFonts w:ascii="Garamond" w:hAnsi="Garamond" w:cs="Times New Roman"/>
          <w:color w:val="000000"/>
          <w:sz w:val="24"/>
          <w:szCs w:val="24"/>
        </w:rPr>
        <w:t xml:space="preserve"> iu referua</w:t>
      </w:r>
      <w:r w:rsidR="00B76F5D">
        <w:rPr>
          <w:rFonts w:ascii="Garamond" w:hAnsi="Garamond" w:cs="Times New Roman"/>
          <w:color w:val="000000"/>
          <w:sz w:val="24"/>
          <w:szCs w:val="24"/>
        </w:rPr>
        <w:t>,</w:t>
      </w:r>
      <w:r w:rsidRPr="00B76F5D">
        <w:rPr>
          <w:rFonts w:ascii="Garamond" w:hAnsi="Garamond" w:cs="Times New Roman"/>
          <w:color w:val="000000"/>
          <w:sz w:val="24"/>
          <w:szCs w:val="24"/>
        </w:rPr>
        <w:t xml:space="preserve"> gjithashtu</w:t>
      </w:r>
      <w:r w:rsidR="00B76F5D">
        <w:rPr>
          <w:rFonts w:ascii="Garamond" w:hAnsi="Garamond" w:cs="Times New Roman"/>
          <w:color w:val="000000"/>
          <w:sz w:val="24"/>
          <w:szCs w:val="24"/>
        </w:rPr>
        <w:t>,</w:t>
      </w:r>
      <w:r w:rsidRPr="00B76F5D">
        <w:rPr>
          <w:rFonts w:ascii="Garamond" w:hAnsi="Garamond" w:cs="Times New Roman"/>
          <w:color w:val="000000"/>
          <w:sz w:val="24"/>
          <w:szCs w:val="24"/>
        </w:rPr>
        <w:t xml:space="preserve"> faktorëve të tjerë që kishin cenuar besueshmërinë e huave. Në veçanti, asnjë hua nga A.</w:t>
      </w:r>
      <w:r w:rsidR="00B76F5D">
        <w:rPr>
          <w:rFonts w:ascii="Garamond" w:hAnsi="Garamond" w:cs="Times New Roman"/>
          <w:color w:val="000000"/>
          <w:sz w:val="24"/>
          <w:szCs w:val="24"/>
        </w:rPr>
        <w:t xml:space="preserve"> </w:t>
      </w:r>
      <w:r w:rsidRPr="00B76F5D">
        <w:rPr>
          <w:rFonts w:ascii="Garamond" w:hAnsi="Garamond" w:cs="Times New Roman"/>
          <w:color w:val="000000"/>
          <w:sz w:val="24"/>
          <w:szCs w:val="24"/>
        </w:rPr>
        <w:t xml:space="preserve">L. nuk ishte deklaruar në deklaratat e pasurisë së kërkueses të bëra në kohën përkatëse, qoftë si burim për apartamentin e parë apo si detyrim financiar (shih </w:t>
      </w:r>
      <w:proofErr w:type="spellStart"/>
      <w:r w:rsidRPr="00B76F5D">
        <w:rPr>
          <w:rFonts w:ascii="Garamond" w:hAnsi="Garamond" w:cs="Times New Roman"/>
          <w:i/>
          <w:iCs/>
          <w:color w:val="000000"/>
          <w:sz w:val="24"/>
          <w:szCs w:val="24"/>
        </w:rPr>
        <w:t>Xhoxhaj</w:t>
      </w:r>
      <w:proofErr w:type="spellEnd"/>
      <w:r w:rsidRPr="00B76F5D">
        <w:rPr>
          <w:rFonts w:ascii="Garamond" w:hAnsi="Garamond" w:cs="Times New Roman"/>
          <w:color w:val="000000"/>
          <w:sz w:val="24"/>
          <w:szCs w:val="24"/>
        </w:rPr>
        <w:t>, cituar më lart, § 202), e as në deklarimet e vetë A.</w:t>
      </w:r>
      <w:r w:rsidR="00B76F5D">
        <w:rPr>
          <w:rFonts w:ascii="Garamond" w:hAnsi="Garamond" w:cs="Times New Roman"/>
          <w:color w:val="000000"/>
          <w:sz w:val="24"/>
          <w:szCs w:val="24"/>
        </w:rPr>
        <w:t xml:space="preserve"> </w:t>
      </w:r>
      <w:r w:rsidRPr="00B76F5D">
        <w:rPr>
          <w:rFonts w:ascii="Garamond" w:hAnsi="Garamond" w:cs="Times New Roman"/>
          <w:color w:val="000000"/>
          <w:sz w:val="24"/>
          <w:szCs w:val="24"/>
        </w:rPr>
        <w:t>L.-së sipas Ligjit për Deklarimin e Pasurive (shih paragrafin 4(b) më lart). Pretendimet e kërkueses lidhur me shly</w:t>
      </w:r>
      <w:r w:rsidR="00B76F5D">
        <w:rPr>
          <w:rFonts w:ascii="Garamond" w:hAnsi="Garamond" w:cs="Times New Roman"/>
          <w:color w:val="000000"/>
          <w:sz w:val="24"/>
          <w:szCs w:val="24"/>
        </w:rPr>
        <w:t>erjen e huas</w:t>
      </w:r>
      <w:r w:rsidRPr="00B76F5D">
        <w:rPr>
          <w:rFonts w:ascii="Garamond" w:hAnsi="Garamond" w:cs="Times New Roman"/>
          <w:color w:val="000000"/>
          <w:sz w:val="24"/>
          <w:szCs w:val="24"/>
        </w:rPr>
        <w:t xml:space="preserve"> nga A.</w:t>
      </w:r>
      <w:r w:rsidR="00B76F5D">
        <w:rPr>
          <w:rFonts w:ascii="Garamond" w:hAnsi="Garamond" w:cs="Times New Roman"/>
          <w:color w:val="000000"/>
          <w:sz w:val="24"/>
          <w:szCs w:val="24"/>
        </w:rPr>
        <w:t xml:space="preserve"> </w:t>
      </w:r>
      <w:r w:rsidRPr="00B76F5D">
        <w:rPr>
          <w:rFonts w:ascii="Garamond" w:hAnsi="Garamond" w:cs="Times New Roman"/>
          <w:color w:val="000000"/>
          <w:sz w:val="24"/>
          <w:szCs w:val="24"/>
        </w:rPr>
        <w:t>M., përfshirë përmes një huaje në para në dorë nga K.</w:t>
      </w:r>
      <w:r w:rsidR="00B76F5D">
        <w:rPr>
          <w:rFonts w:ascii="Garamond" w:hAnsi="Garamond" w:cs="Times New Roman"/>
          <w:color w:val="000000"/>
          <w:sz w:val="24"/>
          <w:szCs w:val="24"/>
        </w:rPr>
        <w:t xml:space="preserve"> </w:t>
      </w:r>
      <w:r w:rsidRPr="00B76F5D">
        <w:rPr>
          <w:rFonts w:ascii="Garamond" w:hAnsi="Garamond" w:cs="Times New Roman"/>
          <w:color w:val="000000"/>
          <w:sz w:val="24"/>
          <w:szCs w:val="24"/>
        </w:rPr>
        <w:t xml:space="preserve">S., ishin jo </w:t>
      </w:r>
      <w:proofErr w:type="spellStart"/>
      <w:r w:rsidRPr="00B76F5D">
        <w:rPr>
          <w:rFonts w:ascii="Garamond" w:hAnsi="Garamond" w:cs="Times New Roman"/>
          <w:color w:val="000000"/>
          <w:sz w:val="24"/>
          <w:szCs w:val="24"/>
        </w:rPr>
        <w:t>konsistente</w:t>
      </w:r>
      <w:proofErr w:type="spellEnd"/>
      <w:r w:rsidRPr="00B76F5D">
        <w:rPr>
          <w:rFonts w:ascii="Garamond" w:hAnsi="Garamond" w:cs="Times New Roman"/>
          <w:color w:val="000000"/>
          <w:sz w:val="24"/>
          <w:szCs w:val="24"/>
        </w:rPr>
        <w:t xml:space="preserve"> ose të pambështetura në prova (shih paragrafët 4(c) dhe 6 më lart).</w:t>
      </w:r>
    </w:p>
    <w:p w14:paraId="547F5997" w14:textId="1C6054F1"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 xml:space="preserve">24. Duke pasur parasysh problemet serioze me kredi të shumta të konsiderueshme që pretendohet se kanë financuar pronën martesore (shih paragrafin 3 më sipër), vendimi i KPA-së për të shkarkuar kërkuesen mbi këtë bazë nuk ishte </w:t>
      </w:r>
      <w:proofErr w:type="spellStart"/>
      <w:r w:rsidRPr="00B76F5D">
        <w:rPr>
          <w:rFonts w:ascii="Garamond" w:hAnsi="Garamond" w:cs="Times New Roman"/>
          <w:color w:val="000000"/>
          <w:sz w:val="24"/>
          <w:szCs w:val="24"/>
        </w:rPr>
        <w:t>disproporcional</w:t>
      </w:r>
      <w:proofErr w:type="spellEnd"/>
      <w:r w:rsidRPr="00B76F5D">
        <w:rPr>
          <w:rFonts w:ascii="Garamond" w:hAnsi="Garamond" w:cs="Times New Roman"/>
          <w:color w:val="000000"/>
          <w:sz w:val="24"/>
          <w:szCs w:val="24"/>
        </w:rPr>
        <w:t xml:space="preserve"> (shih</w:t>
      </w:r>
      <w:r w:rsidR="00EB1C7E">
        <w:rPr>
          <w:rFonts w:ascii="Garamond" w:hAnsi="Garamond" w:cs="Times New Roman"/>
          <w:color w:val="000000"/>
          <w:sz w:val="24"/>
          <w:szCs w:val="24"/>
        </w:rPr>
        <w:t>,</w:t>
      </w:r>
      <w:r w:rsidRPr="00B76F5D">
        <w:rPr>
          <w:rFonts w:ascii="Garamond" w:hAnsi="Garamond" w:cs="Times New Roman"/>
          <w:color w:val="000000"/>
          <w:sz w:val="24"/>
          <w:szCs w:val="24"/>
        </w:rPr>
        <w:t xml:space="preserve"> gjithashtu</w:t>
      </w:r>
      <w:r w:rsidR="00EB1C7E">
        <w:rPr>
          <w:rFonts w:ascii="Garamond" w:hAnsi="Garamond" w:cs="Times New Roman"/>
          <w:color w:val="000000"/>
          <w:sz w:val="24"/>
          <w:szCs w:val="24"/>
        </w:rPr>
        <w:t>,</w:t>
      </w:r>
      <w:r w:rsidRPr="00B76F5D">
        <w:rPr>
          <w:rFonts w:ascii="Garamond" w:hAnsi="Garamond" w:cs="Times New Roman"/>
          <w:color w:val="000000"/>
          <w:sz w:val="24"/>
          <w:szCs w:val="24"/>
        </w:rPr>
        <w:t xml:space="preserve"> </w:t>
      </w:r>
      <w:proofErr w:type="spellStart"/>
      <w:r w:rsidRPr="00B76F5D">
        <w:rPr>
          <w:rFonts w:ascii="Garamond" w:hAnsi="Garamond" w:cs="Times New Roman"/>
          <w:i/>
          <w:iCs/>
          <w:color w:val="000000"/>
          <w:sz w:val="24"/>
          <w:szCs w:val="24"/>
        </w:rPr>
        <w:t>Nikëhasani</w:t>
      </w:r>
      <w:proofErr w:type="spellEnd"/>
      <w:r w:rsidRPr="00B76F5D">
        <w:rPr>
          <w:rFonts w:ascii="Garamond" w:hAnsi="Garamond" w:cs="Times New Roman"/>
          <w:i/>
          <w:iCs/>
          <w:color w:val="000000"/>
          <w:sz w:val="24"/>
          <w:szCs w:val="24"/>
        </w:rPr>
        <w:t xml:space="preserve"> kundër Shqipërisë</w:t>
      </w:r>
      <w:r w:rsidRPr="00B76F5D">
        <w:rPr>
          <w:rFonts w:ascii="Garamond" w:hAnsi="Garamond" w:cs="Times New Roman"/>
          <w:color w:val="000000"/>
          <w:sz w:val="24"/>
          <w:szCs w:val="24"/>
        </w:rPr>
        <w:t xml:space="preserve">, nr. 58997/18, § 123, 13 </w:t>
      </w:r>
      <w:r w:rsidR="00EB1C7E">
        <w:rPr>
          <w:rFonts w:ascii="Garamond" w:hAnsi="Garamond" w:cs="Times New Roman"/>
          <w:color w:val="000000"/>
          <w:sz w:val="24"/>
          <w:szCs w:val="24"/>
        </w:rPr>
        <w:t>d</w:t>
      </w:r>
      <w:r w:rsidRPr="00B76F5D">
        <w:rPr>
          <w:rFonts w:ascii="Garamond" w:hAnsi="Garamond" w:cs="Times New Roman"/>
          <w:color w:val="000000"/>
          <w:sz w:val="24"/>
          <w:szCs w:val="24"/>
        </w:rPr>
        <w:t>hjetor 2022).</w:t>
      </w:r>
    </w:p>
    <w:p w14:paraId="349CE546" w14:textId="7A029518"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25. Gjithashtu, KPA</w:t>
      </w:r>
      <w:r w:rsidR="00EB1C7E">
        <w:rPr>
          <w:rFonts w:ascii="Garamond" w:hAnsi="Garamond" w:cs="Times New Roman"/>
          <w:color w:val="000000"/>
          <w:sz w:val="24"/>
          <w:szCs w:val="24"/>
        </w:rPr>
        <w:t>-ja</w:t>
      </w:r>
      <w:r w:rsidRPr="00B76F5D">
        <w:rPr>
          <w:rFonts w:ascii="Garamond" w:hAnsi="Garamond" w:cs="Times New Roman"/>
          <w:color w:val="000000"/>
          <w:sz w:val="24"/>
          <w:szCs w:val="24"/>
        </w:rPr>
        <w:t xml:space="preserve"> shqyrtoi rregullisht argumentet e kërkueses</w:t>
      </w:r>
      <w:r w:rsidR="00EB1C7E">
        <w:rPr>
          <w:rFonts w:ascii="Garamond" w:hAnsi="Garamond" w:cs="Times New Roman"/>
          <w:color w:val="000000"/>
          <w:sz w:val="24"/>
          <w:szCs w:val="24"/>
        </w:rPr>
        <w:t>,</w:t>
      </w:r>
      <w:r w:rsidRPr="00B76F5D">
        <w:rPr>
          <w:rFonts w:ascii="Garamond" w:hAnsi="Garamond" w:cs="Times New Roman"/>
          <w:color w:val="000000"/>
          <w:sz w:val="24"/>
          <w:szCs w:val="24"/>
        </w:rPr>
        <w:t xml:space="preserve"> në lidhje me uljen e pretenduar prej 25,664 eurosh dhe dokumentet e paraqitura prej saj. Të marrë së bashku, faktorët e përcaktuar </w:t>
      </w:r>
      <w:r w:rsidRPr="00B76F5D">
        <w:rPr>
          <w:rFonts w:ascii="Garamond" w:hAnsi="Garamond" w:cs="Times New Roman"/>
          <w:color w:val="000000"/>
          <w:sz w:val="24"/>
          <w:szCs w:val="24"/>
        </w:rPr>
        <w:lastRenderedPageBreak/>
        <w:t>nga KPA</w:t>
      </w:r>
      <w:r w:rsidR="00EB1C7E">
        <w:rPr>
          <w:rFonts w:ascii="Garamond" w:hAnsi="Garamond" w:cs="Times New Roman"/>
          <w:color w:val="000000"/>
          <w:sz w:val="24"/>
          <w:szCs w:val="24"/>
        </w:rPr>
        <w:t>-ja</w:t>
      </w:r>
      <w:r w:rsidRPr="00B76F5D">
        <w:rPr>
          <w:rFonts w:ascii="Garamond" w:hAnsi="Garamond" w:cs="Times New Roman"/>
          <w:color w:val="000000"/>
          <w:sz w:val="24"/>
          <w:szCs w:val="24"/>
        </w:rPr>
        <w:t xml:space="preserve"> për periudhën deri në fund të vitit 2016 tregojnë, të paktën, </w:t>
      </w:r>
      <w:proofErr w:type="spellStart"/>
      <w:r w:rsidRPr="00B76F5D">
        <w:rPr>
          <w:rFonts w:ascii="Garamond" w:hAnsi="Garamond" w:cs="Times New Roman"/>
          <w:color w:val="000000"/>
          <w:sz w:val="24"/>
          <w:szCs w:val="24"/>
        </w:rPr>
        <w:t>mosdokumentimin</w:t>
      </w:r>
      <w:proofErr w:type="spellEnd"/>
      <w:r w:rsidRPr="00B76F5D">
        <w:rPr>
          <w:rFonts w:ascii="Garamond" w:hAnsi="Garamond" w:cs="Times New Roman"/>
          <w:color w:val="000000"/>
          <w:sz w:val="24"/>
          <w:szCs w:val="24"/>
        </w:rPr>
        <w:t xml:space="preserve"> e duhur nga ana e saj të një pjese të madhe të asaj shume (shih paragrafin 4(a) dhe (d) më sipër).</w:t>
      </w:r>
    </w:p>
    <w:p w14:paraId="02148C18" w14:textId="501EAE62"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26. Së fundmi, transaksionet e makinave ishin të tilla që ngritën pyetje serioze</w:t>
      </w:r>
      <w:r w:rsidR="00EB1C7E">
        <w:rPr>
          <w:rFonts w:ascii="Garamond" w:hAnsi="Garamond" w:cs="Times New Roman"/>
          <w:color w:val="000000"/>
          <w:sz w:val="24"/>
          <w:szCs w:val="24"/>
        </w:rPr>
        <w:t>,</w:t>
      </w:r>
      <w:r w:rsidRPr="00B76F5D">
        <w:rPr>
          <w:rFonts w:ascii="Garamond" w:hAnsi="Garamond" w:cs="Times New Roman"/>
          <w:color w:val="000000"/>
          <w:sz w:val="24"/>
          <w:szCs w:val="24"/>
        </w:rPr>
        <w:t xml:space="preserve"> në lidhje me korrektësinë financiare në marrëdhëniet private brenda familjes së kërkueses (shih paragrafët 3 dhe 6 më sipër).</w:t>
      </w:r>
    </w:p>
    <w:p w14:paraId="694F2A24" w14:textId="0AD691E8"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 xml:space="preserve">27. Në rastin kur gjykatat vendase i kanë shqyrtuar me kujdes faktet, i kanë zbatuar standardet përkatëse të </w:t>
      </w:r>
      <w:proofErr w:type="spellStart"/>
      <w:r w:rsidRPr="00B76F5D">
        <w:rPr>
          <w:rFonts w:ascii="Garamond" w:hAnsi="Garamond" w:cs="Times New Roman"/>
          <w:color w:val="000000"/>
          <w:sz w:val="24"/>
          <w:szCs w:val="24"/>
        </w:rPr>
        <w:t>të</w:t>
      </w:r>
      <w:proofErr w:type="spellEnd"/>
      <w:r w:rsidRPr="00B76F5D">
        <w:rPr>
          <w:rFonts w:ascii="Garamond" w:hAnsi="Garamond" w:cs="Times New Roman"/>
          <w:color w:val="000000"/>
          <w:sz w:val="24"/>
          <w:szCs w:val="24"/>
        </w:rPr>
        <w:t xml:space="preserve"> drejtave të njeriut</w:t>
      </w:r>
      <w:r w:rsidR="00EB1C7E">
        <w:rPr>
          <w:rFonts w:ascii="Garamond" w:hAnsi="Garamond" w:cs="Times New Roman"/>
          <w:color w:val="000000"/>
          <w:sz w:val="24"/>
          <w:szCs w:val="24"/>
        </w:rPr>
        <w:t>,</w:t>
      </w:r>
      <w:r w:rsidRPr="00B76F5D">
        <w:rPr>
          <w:rFonts w:ascii="Garamond" w:hAnsi="Garamond" w:cs="Times New Roman"/>
          <w:color w:val="000000"/>
          <w:sz w:val="24"/>
          <w:szCs w:val="24"/>
        </w:rPr>
        <w:t xml:space="preserve"> në përputhje me Konventën dhe praktikën gjyqësore të saj, si dhe kanë balancuar në mënyrë të përshtatshme interesat individual</w:t>
      </w:r>
      <w:r w:rsidR="00EB1C7E">
        <w:rPr>
          <w:rFonts w:ascii="Garamond" w:hAnsi="Garamond" w:cs="Times New Roman"/>
          <w:color w:val="000000"/>
          <w:sz w:val="24"/>
          <w:szCs w:val="24"/>
        </w:rPr>
        <w:t>ë</w:t>
      </w:r>
      <w:r w:rsidRPr="00B76F5D">
        <w:rPr>
          <w:rFonts w:ascii="Garamond" w:hAnsi="Garamond" w:cs="Times New Roman"/>
          <w:color w:val="000000"/>
          <w:sz w:val="24"/>
          <w:szCs w:val="24"/>
        </w:rPr>
        <w:t xml:space="preserve"> me interesin publik në një çështje, Gjykata do të kërkonte arsye të forta për të zëvendësuar këndvështrimin e saj me atë të gjykatave vendase (shih </w:t>
      </w:r>
      <w:proofErr w:type="spellStart"/>
      <w:r w:rsidRPr="00B76F5D">
        <w:rPr>
          <w:rFonts w:ascii="Garamond" w:hAnsi="Garamond" w:cs="Times New Roman"/>
          <w:i/>
          <w:iCs/>
          <w:color w:val="000000"/>
          <w:sz w:val="24"/>
          <w:szCs w:val="24"/>
        </w:rPr>
        <w:t>Danileţ</w:t>
      </w:r>
      <w:proofErr w:type="spellEnd"/>
      <w:r w:rsidRPr="00B76F5D">
        <w:rPr>
          <w:rFonts w:ascii="Garamond" w:hAnsi="Garamond" w:cs="Times New Roman"/>
          <w:i/>
          <w:iCs/>
          <w:color w:val="000000"/>
          <w:sz w:val="24"/>
          <w:szCs w:val="24"/>
        </w:rPr>
        <w:t xml:space="preserve"> kundër Rumanisë</w:t>
      </w:r>
      <w:r w:rsidRPr="00B76F5D">
        <w:rPr>
          <w:rFonts w:ascii="Garamond" w:hAnsi="Garamond" w:cs="Times New Roman"/>
          <w:color w:val="000000"/>
          <w:sz w:val="24"/>
          <w:szCs w:val="24"/>
        </w:rPr>
        <w:t xml:space="preserve"> [DHM], nr. 16915/21, § 168, 15 </w:t>
      </w:r>
      <w:r w:rsidR="00EB1C7E">
        <w:rPr>
          <w:rFonts w:ascii="Garamond" w:hAnsi="Garamond" w:cs="Times New Roman"/>
          <w:color w:val="000000"/>
          <w:sz w:val="24"/>
          <w:szCs w:val="24"/>
        </w:rPr>
        <w:t>d</w:t>
      </w:r>
      <w:r w:rsidRPr="00B76F5D">
        <w:rPr>
          <w:rFonts w:ascii="Garamond" w:hAnsi="Garamond" w:cs="Times New Roman"/>
          <w:color w:val="000000"/>
          <w:sz w:val="24"/>
          <w:szCs w:val="24"/>
        </w:rPr>
        <w:t xml:space="preserve">hjetor 2025). Duke marrë parasysh gjetjet në paragrafët 9 dhe 19 më sipër, parregullsitë e përmendura dhe pozicionin e ankueses si gjyqtare dhe kryetare e një gjykate apeli – ku prej saj pritej të përmbushte standarde të larta integriteti dhe ndershmërie në administrimin e çështjeve të saj financiare personale dhe atyre të familjes së saj (shih </w:t>
      </w:r>
      <w:proofErr w:type="spellStart"/>
      <w:r w:rsidRPr="00B76F5D">
        <w:rPr>
          <w:rFonts w:ascii="Garamond" w:hAnsi="Garamond" w:cs="Times New Roman"/>
          <w:i/>
          <w:iCs/>
          <w:color w:val="000000"/>
          <w:sz w:val="24"/>
          <w:szCs w:val="24"/>
        </w:rPr>
        <w:t>Xhoxhaj</w:t>
      </w:r>
      <w:proofErr w:type="spellEnd"/>
      <w:r w:rsidRPr="00B76F5D">
        <w:rPr>
          <w:rFonts w:ascii="Garamond" w:hAnsi="Garamond" w:cs="Times New Roman"/>
          <w:color w:val="000000"/>
          <w:sz w:val="24"/>
          <w:szCs w:val="24"/>
        </w:rPr>
        <w:t xml:space="preserve">, cituar më sipër, § 407 </w:t>
      </w:r>
      <w:r w:rsidRPr="00B76F5D">
        <w:rPr>
          <w:rFonts w:ascii="Garamond" w:hAnsi="Garamond" w:cs="Times New Roman"/>
          <w:i/>
          <w:iCs/>
          <w:color w:val="000000"/>
          <w:sz w:val="24"/>
          <w:szCs w:val="24"/>
        </w:rPr>
        <w:t>in fine</w:t>
      </w:r>
      <w:r w:rsidRPr="00B76F5D">
        <w:rPr>
          <w:rFonts w:ascii="Garamond" w:hAnsi="Garamond" w:cs="Times New Roman"/>
          <w:color w:val="000000"/>
          <w:sz w:val="24"/>
          <w:szCs w:val="24"/>
        </w:rPr>
        <w:t>) – Gjykata nuk sheh asnjë arsye për t’u distancuar nga përfundimet e KPA-së</w:t>
      </w:r>
      <w:r w:rsidR="00EB1C7E">
        <w:rPr>
          <w:rFonts w:ascii="Garamond" w:hAnsi="Garamond" w:cs="Times New Roman"/>
          <w:color w:val="000000"/>
          <w:sz w:val="24"/>
          <w:szCs w:val="24"/>
        </w:rPr>
        <w:t>,</w:t>
      </w:r>
      <w:r w:rsidRPr="00B76F5D">
        <w:rPr>
          <w:rFonts w:ascii="Garamond" w:hAnsi="Garamond" w:cs="Times New Roman"/>
          <w:color w:val="000000"/>
          <w:sz w:val="24"/>
          <w:szCs w:val="24"/>
        </w:rPr>
        <w:t xml:space="preserve"> lidhur me pasuritë e përmendura më sipër dhe, në mënyrë më të përgjithshme, me rezultatin e çështjes së rivlerësimit (shih, në të kundërt, </w:t>
      </w:r>
      <w:proofErr w:type="spellStart"/>
      <w:r w:rsidRPr="00B76F5D">
        <w:rPr>
          <w:rFonts w:ascii="Garamond" w:hAnsi="Garamond" w:cs="Times New Roman"/>
          <w:i/>
          <w:iCs/>
          <w:color w:val="000000"/>
          <w:sz w:val="24"/>
          <w:szCs w:val="24"/>
        </w:rPr>
        <w:t>Sevdari</w:t>
      </w:r>
      <w:proofErr w:type="spellEnd"/>
      <w:r w:rsidRPr="00B76F5D">
        <w:rPr>
          <w:rFonts w:ascii="Garamond" w:hAnsi="Garamond" w:cs="Times New Roman"/>
          <w:i/>
          <w:iCs/>
          <w:color w:val="000000"/>
          <w:sz w:val="24"/>
          <w:szCs w:val="24"/>
        </w:rPr>
        <w:t xml:space="preserve"> kundër Shqipërisë</w:t>
      </w:r>
      <w:r w:rsidRPr="00B76F5D">
        <w:rPr>
          <w:rFonts w:ascii="Garamond" w:hAnsi="Garamond" w:cs="Times New Roman"/>
          <w:color w:val="000000"/>
          <w:sz w:val="24"/>
          <w:szCs w:val="24"/>
        </w:rPr>
        <w:t xml:space="preserve">, nr. 40662/19, §§ 93 dhe 96, 13 </w:t>
      </w:r>
      <w:r w:rsidR="00EB1C7E">
        <w:rPr>
          <w:rFonts w:ascii="Garamond" w:hAnsi="Garamond" w:cs="Times New Roman"/>
          <w:color w:val="000000"/>
          <w:sz w:val="24"/>
          <w:szCs w:val="24"/>
        </w:rPr>
        <w:t>d</w:t>
      </w:r>
      <w:r w:rsidRPr="00B76F5D">
        <w:rPr>
          <w:rFonts w:ascii="Garamond" w:hAnsi="Garamond" w:cs="Times New Roman"/>
          <w:color w:val="000000"/>
          <w:sz w:val="24"/>
          <w:szCs w:val="24"/>
        </w:rPr>
        <w:t xml:space="preserve">hjetor 2022). Rrjedhimisht, Gjykata nuk konstaton se shkarkimi i saj nga detyra ishte </w:t>
      </w:r>
      <w:proofErr w:type="spellStart"/>
      <w:r w:rsidRPr="00B76F5D">
        <w:rPr>
          <w:rFonts w:ascii="Garamond" w:hAnsi="Garamond" w:cs="Times New Roman"/>
          <w:color w:val="000000"/>
          <w:sz w:val="24"/>
          <w:szCs w:val="24"/>
        </w:rPr>
        <w:t>joproporcional</w:t>
      </w:r>
      <w:proofErr w:type="spellEnd"/>
      <w:r w:rsidRPr="00B76F5D">
        <w:rPr>
          <w:rFonts w:ascii="Garamond" w:hAnsi="Garamond" w:cs="Times New Roman"/>
          <w:color w:val="000000"/>
          <w:sz w:val="24"/>
          <w:szCs w:val="24"/>
        </w:rPr>
        <w:t>.</w:t>
      </w:r>
    </w:p>
    <w:p w14:paraId="1D10947A" w14:textId="64A83863"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28. Për këtë arsye, nuk është e nevojshme të kryhet një shqyrtim i hollësishëm i argumenteve të ankueses</w:t>
      </w:r>
      <w:r w:rsidR="00EB1C7E">
        <w:rPr>
          <w:rFonts w:ascii="Garamond" w:hAnsi="Garamond" w:cs="Times New Roman"/>
          <w:color w:val="000000"/>
          <w:sz w:val="24"/>
          <w:szCs w:val="24"/>
        </w:rPr>
        <w:t>,</w:t>
      </w:r>
      <w:r w:rsidRPr="00B76F5D">
        <w:rPr>
          <w:rFonts w:ascii="Garamond" w:hAnsi="Garamond" w:cs="Times New Roman"/>
          <w:color w:val="000000"/>
          <w:sz w:val="24"/>
          <w:szCs w:val="24"/>
        </w:rPr>
        <w:t xml:space="preserve"> lidhur me gjetjet dhe përfundimet e tjera të KPA-së (krahasoni </w:t>
      </w:r>
      <w:proofErr w:type="spellStart"/>
      <w:r w:rsidRPr="00B76F5D">
        <w:rPr>
          <w:rFonts w:ascii="Garamond" w:hAnsi="Garamond" w:cs="Times New Roman"/>
          <w:i/>
          <w:iCs/>
          <w:color w:val="000000"/>
          <w:sz w:val="24"/>
          <w:szCs w:val="24"/>
        </w:rPr>
        <w:t>Thanza</w:t>
      </w:r>
      <w:proofErr w:type="spellEnd"/>
      <w:r w:rsidRPr="00B76F5D">
        <w:rPr>
          <w:rFonts w:ascii="Garamond" w:hAnsi="Garamond" w:cs="Times New Roman"/>
          <w:color w:val="000000"/>
          <w:sz w:val="24"/>
          <w:szCs w:val="24"/>
        </w:rPr>
        <w:t>, cituar më sipër, § 160).</w:t>
      </w:r>
    </w:p>
    <w:p w14:paraId="201CDE4B" w14:textId="13CB028D"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 xml:space="preserve">29. Rrjedhimisht, ankesa është qartazi e pabazuar dhe duhet të rrëzohet në përputhje me </w:t>
      </w:r>
      <w:r w:rsidR="00EB1C7E">
        <w:rPr>
          <w:rFonts w:ascii="Garamond" w:hAnsi="Garamond" w:cs="Times New Roman"/>
          <w:color w:val="000000"/>
          <w:sz w:val="24"/>
          <w:szCs w:val="24"/>
        </w:rPr>
        <w:t>n</w:t>
      </w:r>
      <w:r w:rsidRPr="00B76F5D">
        <w:rPr>
          <w:rFonts w:ascii="Garamond" w:hAnsi="Garamond" w:cs="Times New Roman"/>
          <w:color w:val="000000"/>
          <w:sz w:val="24"/>
          <w:szCs w:val="24"/>
        </w:rPr>
        <w:t>enin 35 §§ 3 (a) dhe 4 të Konventës.</w:t>
      </w:r>
    </w:p>
    <w:p w14:paraId="2D27198C" w14:textId="64DAFD61"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 xml:space="preserve"> Për këto arsye, Gjykata, unanimisht, </w:t>
      </w:r>
    </w:p>
    <w:p w14:paraId="722E5F6C" w14:textId="279068DB"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i/>
          <w:iCs/>
          <w:color w:val="000000"/>
          <w:sz w:val="24"/>
          <w:szCs w:val="24"/>
        </w:rPr>
        <w:t xml:space="preserve"> E shpall </w:t>
      </w:r>
      <w:r w:rsidRPr="00B76F5D">
        <w:rPr>
          <w:rFonts w:ascii="Garamond" w:hAnsi="Garamond" w:cs="Times New Roman"/>
          <w:color w:val="000000"/>
          <w:sz w:val="24"/>
          <w:szCs w:val="24"/>
        </w:rPr>
        <w:t>kërkesën të papranueshme.</w:t>
      </w:r>
    </w:p>
    <w:p w14:paraId="0D71021C" w14:textId="6640C9C1"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76F5D">
        <w:rPr>
          <w:rFonts w:ascii="Garamond" w:hAnsi="Garamond" w:cs="Times New Roman"/>
          <w:color w:val="000000"/>
          <w:sz w:val="24"/>
          <w:szCs w:val="24"/>
        </w:rPr>
        <w:t xml:space="preserve"> Hartuar në anglisht dhe njoftuar me shkrim më 9 </w:t>
      </w:r>
      <w:r w:rsidR="00EB1C7E">
        <w:rPr>
          <w:rFonts w:ascii="Garamond" w:hAnsi="Garamond" w:cs="Times New Roman"/>
          <w:color w:val="000000"/>
          <w:sz w:val="24"/>
          <w:szCs w:val="24"/>
        </w:rPr>
        <w:t>k</w:t>
      </w:r>
      <w:r w:rsidRPr="00B76F5D">
        <w:rPr>
          <w:rFonts w:ascii="Garamond" w:hAnsi="Garamond" w:cs="Times New Roman"/>
          <w:color w:val="000000"/>
          <w:sz w:val="24"/>
          <w:szCs w:val="24"/>
        </w:rPr>
        <w:t xml:space="preserve">orrik 2026. </w:t>
      </w:r>
    </w:p>
    <w:p w14:paraId="436AA8CA" w14:textId="77777777" w:rsidR="00AB61D3" w:rsidRPr="00B76F5D" w:rsidRDefault="00AB61D3" w:rsidP="00AB61D3">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p>
    <w:p w14:paraId="493F6A64" w14:textId="77777777" w:rsidR="004B0006" w:rsidRPr="00B76F5D" w:rsidRDefault="00AB61D3" w:rsidP="009A549A">
      <w:pPr>
        <w:tabs>
          <w:tab w:val="left" w:pos="560"/>
          <w:tab w:val="left" w:pos="1120"/>
        </w:tabs>
        <w:autoSpaceDE w:val="0"/>
        <w:autoSpaceDN w:val="0"/>
        <w:adjustRightInd w:val="0"/>
        <w:spacing w:after="0" w:line="240" w:lineRule="auto"/>
        <w:ind w:firstLine="284"/>
        <w:jc w:val="right"/>
        <w:rPr>
          <w:rFonts w:ascii="Garamond" w:hAnsi="Garamond" w:cs="Times New Roman"/>
          <w:b/>
          <w:color w:val="000000"/>
          <w:sz w:val="24"/>
          <w:szCs w:val="24"/>
        </w:rPr>
      </w:pPr>
      <w:bookmarkStart w:id="0" w:name="_GoBack"/>
      <w:proofErr w:type="spellStart"/>
      <w:r w:rsidRPr="00B76F5D">
        <w:rPr>
          <w:rFonts w:ascii="Garamond" w:hAnsi="Garamond" w:cs="Times New Roman"/>
          <w:b/>
          <w:color w:val="000000"/>
          <w:sz w:val="24"/>
          <w:szCs w:val="24"/>
        </w:rPr>
        <w:t>Olga</w:t>
      </w:r>
      <w:proofErr w:type="spellEnd"/>
      <w:r w:rsidRPr="00B76F5D">
        <w:rPr>
          <w:rFonts w:ascii="Garamond" w:hAnsi="Garamond" w:cs="Times New Roman"/>
          <w:b/>
          <w:color w:val="000000"/>
          <w:sz w:val="24"/>
          <w:szCs w:val="24"/>
        </w:rPr>
        <w:t xml:space="preserve"> </w:t>
      </w:r>
      <w:proofErr w:type="spellStart"/>
      <w:r w:rsidRPr="00B76F5D">
        <w:rPr>
          <w:rFonts w:ascii="Garamond" w:hAnsi="Garamond" w:cs="Times New Roman"/>
          <w:b/>
          <w:color w:val="000000"/>
          <w:sz w:val="24"/>
          <w:szCs w:val="24"/>
        </w:rPr>
        <w:t>Chernishova</w:t>
      </w:r>
      <w:proofErr w:type="spellEnd"/>
      <w:r w:rsidRPr="00B76F5D">
        <w:rPr>
          <w:rFonts w:ascii="Garamond" w:hAnsi="Garamond" w:cs="Times New Roman"/>
          <w:b/>
          <w:color w:val="000000"/>
          <w:sz w:val="24"/>
          <w:szCs w:val="24"/>
        </w:rPr>
        <w:t xml:space="preserve"> </w:t>
      </w:r>
    </w:p>
    <w:p w14:paraId="0095B492" w14:textId="4625C787" w:rsidR="004B0006" w:rsidRPr="00B76F5D" w:rsidRDefault="00EB1C7E" w:rsidP="009A549A">
      <w:pPr>
        <w:tabs>
          <w:tab w:val="left" w:pos="560"/>
          <w:tab w:val="left" w:pos="1120"/>
        </w:tabs>
        <w:autoSpaceDE w:val="0"/>
        <w:autoSpaceDN w:val="0"/>
        <w:adjustRightInd w:val="0"/>
        <w:spacing w:after="0" w:line="240" w:lineRule="auto"/>
        <w:ind w:firstLine="284"/>
        <w:jc w:val="right"/>
        <w:rPr>
          <w:rFonts w:ascii="Garamond" w:hAnsi="Garamond" w:cs="Times New Roman"/>
          <w:color w:val="000000"/>
          <w:sz w:val="24"/>
          <w:szCs w:val="24"/>
        </w:rPr>
      </w:pPr>
      <w:r w:rsidRPr="00B76F5D">
        <w:rPr>
          <w:rFonts w:ascii="Garamond" w:hAnsi="Garamond" w:cs="Times New Roman"/>
          <w:color w:val="000000"/>
          <w:sz w:val="24"/>
          <w:szCs w:val="24"/>
        </w:rPr>
        <w:t>ZËVENDËSSEKRETARE</w:t>
      </w:r>
    </w:p>
    <w:p w14:paraId="396DA185" w14:textId="77777777" w:rsidR="004B0006" w:rsidRPr="00B76F5D" w:rsidRDefault="004B0006" w:rsidP="009A549A">
      <w:pPr>
        <w:tabs>
          <w:tab w:val="left" w:pos="560"/>
          <w:tab w:val="left" w:pos="1120"/>
        </w:tabs>
        <w:autoSpaceDE w:val="0"/>
        <w:autoSpaceDN w:val="0"/>
        <w:adjustRightInd w:val="0"/>
        <w:spacing w:after="0" w:line="240" w:lineRule="auto"/>
        <w:ind w:firstLine="284"/>
        <w:jc w:val="right"/>
        <w:rPr>
          <w:rFonts w:ascii="Garamond" w:hAnsi="Garamond" w:cs="Times New Roman"/>
          <w:color w:val="000000"/>
          <w:sz w:val="24"/>
          <w:szCs w:val="24"/>
        </w:rPr>
      </w:pPr>
    </w:p>
    <w:p w14:paraId="642C42A7" w14:textId="4DB87BAE" w:rsidR="00AB61D3" w:rsidRPr="00B76F5D" w:rsidRDefault="00AB61D3" w:rsidP="009A549A">
      <w:pPr>
        <w:tabs>
          <w:tab w:val="left" w:pos="560"/>
          <w:tab w:val="left" w:pos="1120"/>
        </w:tabs>
        <w:autoSpaceDE w:val="0"/>
        <w:autoSpaceDN w:val="0"/>
        <w:adjustRightInd w:val="0"/>
        <w:spacing w:after="0" w:line="240" w:lineRule="auto"/>
        <w:ind w:firstLine="284"/>
        <w:jc w:val="right"/>
        <w:rPr>
          <w:rFonts w:ascii="Garamond" w:hAnsi="Garamond" w:cs="Times New Roman"/>
          <w:b/>
          <w:color w:val="000000"/>
          <w:sz w:val="24"/>
          <w:szCs w:val="24"/>
        </w:rPr>
      </w:pPr>
      <w:proofErr w:type="spellStart"/>
      <w:r w:rsidRPr="00B76F5D">
        <w:rPr>
          <w:rFonts w:ascii="Garamond" w:hAnsi="Garamond" w:cs="Times New Roman"/>
          <w:b/>
          <w:color w:val="000000"/>
          <w:sz w:val="24"/>
          <w:szCs w:val="24"/>
        </w:rPr>
        <w:t>Diana</w:t>
      </w:r>
      <w:proofErr w:type="spellEnd"/>
      <w:r w:rsidRPr="00B76F5D">
        <w:rPr>
          <w:rFonts w:ascii="Garamond" w:hAnsi="Garamond" w:cs="Times New Roman"/>
          <w:b/>
          <w:color w:val="000000"/>
          <w:sz w:val="24"/>
          <w:szCs w:val="24"/>
        </w:rPr>
        <w:t xml:space="preserve"> </w:t>
      </w:r>
      <w:proofErr w:type="spellStart"/>
      <w:r w:rsidRPr="00B76F5D">
        <w:rPr>
          <w:rFonts w:ascii="Garamond" w:hAnsi="Garamond" w:cs="Times New Roman"/>
          <w:b/>
          <w:color w:val="000000"/>
          <w:sz w:val="24"/>
          <w:szCs w:val="24"/>
        </w:rPr>
        <w:t>Kovatcheva</w:t>
      </w:r>
      <w:proofErr w:type="spellEnd"/>
    </w:p>
    <w:p w14:paraId="1105F21D" w14:textId="529F11AA" w:rsidR="00AB61D3" w:rsidRPr="00B76F5D" w:rsidRDefault="00EB1C7E" w:rsidP="009A549A">
      <w:pPr>
        <w:tabs>
          <w:tab w:val="left" w:pos="560"/>
          <w:tab w:val="left" w:pos="1120"/>
        </w:tabs>
        <w:autoSpaceDE w:val="0"/>
        <w:autoSpaceDN w:val="0"/>
        <w:adjustRightInd w:val="0"/>
        <w:spacing w:after="0" w:line="240" w:lineRule="auto"/>
        <w:ind w:firstLine="284"/>
        <w:jc w:val="right"/>
        <w:rPr>
          <w:rFonts w:ascii="Garamond" w:hAnsi="Garamond" w:cs="Times New Roman"/>
          <w:color w:val="000000"/>
          <w:sz w:val="24"/>
          <w:szCs w:val="24"/>
        </w:rPr>
      </w:pPr>
      <w:r w:rsidRPr="00B76F5D">
        <w:rPr>
          <w:rFonts w:ascii="Garamond" w:hAnsi="Garamond" w:cs="Times New Roman"/>
          <w:color w:val="000000"/>
          <w:sz w:val="24"/>
          <w:szCs w:val="24"/>
        </w:rPr>
        <w:t>KRYETARE</w:t>
      </w:r>
    </w:p>
    <w:bookmarkEnd w:id="0"/>
    <w:p w14:paraId="1236975C" w14:textId="5B5F2B45" w:rsidR="00F5332C" w:rsidRPr="00B76F5D" w:rsidRDefault="00F5332C" w:rsidP="00AB61D3">
      <w:pPr>
        <w:spacing w:after="0" w:line="240" w:lineRule="auto"/>
        <w:ind w:firstLine="284"/>
        <w:rPr>
          <w:rFonts w:ascii="Garamond" w:hAnsi="Garamond"/>
          <w:sz w:val="24"/>
          <w:szCs w:val="24"/>
        </w:rPr>
      </w:pPr>
    </w:p>
    <w:sectPr w:rsidR="00F5332C" w:rsidRPr="00B76F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1A19"/>
    <w:rsid w:val="0001697C"/>
    <w:rsid w:val="0002776F"/>
    <w:rsid w:val="00071BB9"/>
    <w:rsid w:val="0007396F"/>
    <w:rsid w:val="000843A3"/>
    <w:rsid w:val="00093903"/>
    <w:rsid w:val="000A33D3"/>
    <w:rsid w:val="000C5E68"/>
    <w:rsid w:val="000F74B6"/>
    <w:rsid w:val="00126DFF"/>
    <w:rsid w:val="00127287"/>
    <w:rsid w:val="00131897"/>
    <w:rsid w:val="001551BD"/>
    <w:rsid w:val="001574C5"/>
    <w:rsid w:val="0016691A"/>
    <w:rsid w:val="001C517C"/>
    <w:rsid w:val="001D4E73"/>
    <w:rsid w:val="00204D6F"/>
    <w:rsid w:val="00206E43"/>
    <w:rsid w:val="00214D39"/>
    <w:rsid w:val="002165F3"/>
    <w:rsid w:val="00232150"/>
    <w:rsid w:val="0023482E"/>
    <w:rsid w:val="00261F38"/>
    <w:rsid w:val="0028358F"/>
    <w:rsid w:val="002A21F8"/>
    <w:rsid w:val="002C21B1"/>
    <w:rsid w:val="002E28BA"/>
    <w:rsid w:val="00302224"/>
    <w:rsid w:val="0036540F"/>
    <w:rsid w:val="00366A81"/>
    <w:rsid w:val="0038268C"/>
    <w:rsid w:val="00387FA9"/>
    <w:rsid w:val="003A1254"/>
    <w:rsid w:val="003B574B"/>
    <w:rsid w:val="003F3D67"/>
    <w:rsid w:val="00417D0D"/>
    <w:rsid w:val="00420FCC"/>
    <w:rsid w:val="004326E6"/>
    <w:rsid w:val="004429C1"/>
    <w:rsid w:val="00451F03"/>
    <w:rsid w:val="004943C8"/>
    <w:rsid w:val="00495544"/>
    <w:rsid w:val="00496D91"/>
    <w:rsid w:val="004A4F21"/>
    <w:rsid w:val="004B0006"/>
    <w:rsid w:val="004C76A2"/>
    <w:rsid w:val="004D435F"/>
    <w:rsid w:val="004E4C93"/>
    <w:rsid w:val="004F213F"/>
    <w:rsid w:val="004F68C5"/>
    <w:rsid w:val="0050561C"/>
    <w:rsid w:val="00507D84"/>
    <w:rsid w:val="00522C30"/>
    <w:rsid w:val="00523786"/>
    <w:rsid w:val="005330BF"/>
    <w:rsid w:val="0055109C"/>
    <w:rsid w:val="00553524"/>
    <w:rsid w:val="0055445D"/>
    <w:rsid w:val="00591C6C"/>
    <w:rsid w:val="005B5F43"/>
    <w:rsid w:val="005C0089"/>
    <w:rsid w:val="005C18A7"/>
    <w:rsid w:val="005F421D"/>
    <w:rsid w:val="0061636A"/>
    <w:rsid w:val="00631241"/>
    <w:rsid w:val="00662063"/>
    <w:rsid w:val="0066478B"/>
    <w:rsid w:val="00692570"/>
    <w:rsid w:val="00710A9D"/>
    <w:rsid w:val="007165FA"/>
    <w:rsid w:val="00717CAD"/>
    <w:rsid w:val="00724FF2"/>
    <w:rsid w:val="007436A1"/>
    <w:rsid w:val="0076077B"/>
    <w:rsid w:val="0077573A"/>
    <w:rsid w:val="00784F15"/>
    <w:rsid w:val="00790CF7"/>
    <w:rsid w:val="00797BDC"/>
    <w:rsid w:val="007A00F9"/>
    <w:rsid w:val="007A461B"/>
    <w:rsid w:val="007A657F"/>
    <w:rsid w:val="007B57F6"/>
    <w:rsid w:val="007E0E9E"/>
    <w:rsid w:val="00881836"/>
    <w:rsid w:val="008846AE"/>
    <w:rsid w:val="008C7EE7"/>
    <w:rsid w:val="008D15FD"/>
    <w:rsid w:val="008F0E16"/>
    <w:rsid w:val="009053DA"/>
    <w:rsid w:val="00961A75"/>
    <w:rsid w:val="009747BE"/>
    <w:rsid w:val="009822A2"/>
    <w:rsid w:val="009A549A"/>
    <w:rsid w:val="009B37C3"/>
    <w:rsid w:val="009C472E"/>
    <w:rsid w:val="00A10771"/>
    <w:rsid w:val="00A4634C"/>
    <w:rsid w:val="00A84B62"/>
    <w:rsid w:val="00A95DBE"/>
    <w:rsid w:val="00AB61D3"/>
    <w:rsid w:val="00AB7D07"/>
    <w:rsid w:val="00AD6F91"/>
    <w:rsid w:val="00B022DA"/>
    <w:rsid w:val="00B119FC"/>
    <w:rsid w:val="00B363FA"/>
    <w:rsid w:val="00B76F5D"/>
    <w:rsid w:val="00B95EFE"/>
    <w:rsid w:val="00BB50B0"/>
    <w:rsid w:val="00BB777A"/>
    <w:rsid w:val="00BF482C"/>
    <w:rsid w:val="00C0163A"/>
    <w:rsid w:val="00C12399"/>
    <w:rsid w:val="00C833EA"/>
    <w:rsid w:val="00C9462E"/>
    <w:rsid w:val="00C95924"/>
    <w:rsid w:val="00CA5391"/>
    <w:rsid w:val="00CC1BA0"/>
    <w:rsid w:val="00CC5B7C"/>
    <w:rsid w:val="00D13DCA"/>
    <w:rsid w:val="00D238CA"/>
    <w:rsid w:val="00D55481"/>
    <w:rsid w:val="00D624AB"/>
    <w:rsid w:val="00D67644"/>
    <w:rsid w:val="00D8245B"/>
    <w:rsid w:val="00D83955"/>
    <w:rsid w:val="00DA512A"/>
    <w:rsid w:val="00DB3128"/>
    <w:rsid w:val="00DB4920"/>
    <w:rsid w:val="00E11D35"/>
    <w:rsid w:val="00E13DFD"/>
    <w:rsid w:val="00E154BC"/>
    <w:rsid w:val="00E53E37"/>
    <w:rsid w:val="00E6558D"/>
    <w:rsid w:val="00E7372A"/>
    <w:rsid w:val="00EA6DB4"/>
    <w:rsid w:val="00EB1C7E"/>
    <w:rsid w:val="00EE1F4A"/>
    <w:rsid w:val="00EF009A"/>
    <w:rsid w:val="00EF200C"/>
    <w:rsid w:val="00EF2A0A"/>
    <w:rsid w:val="00F23FBB"/>
    <w:rsid w:val="00F244E5"/>
    <w:rsid w:val="00F5332C"/>
    <w:rsid w:val="00FA2E72"/>
    <w:rsid w:val="00FB5224"/>
    <w:rsid w:val="00FB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C7A04"/>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DecisionBody">
    <w:name w:val="ECHR_Decision_Body"/>
    <w:aliases w:val="Ju_Judges"/>
    <w:basedOn w:val="Normal"/>
    <w:rsid w:val="00AB61D3"/>
    <w:pPr>
      <w:tabs>
        <w:tab w:val="left" w:pos="560"/>
        <w:tab w:val="left" w:pos="1120"/>
      </w:tabs>
      <w:autoSpaceDE w:val="0"/>
      <w:autoSpaceDN w:val="0"/>
      <w:adjustRightInd w:val="0"/>
      <w:spacing w:after="200" w:line="330" w:lineRule="atLeast"/>
    </w:pPr>
    <w:rPr>
      <w:rFonts w:ascii="Times New Roman" w:hAnsi="Times New Roman" w:cs="Times New Roman"/>
      <w:color w:val="000000"/>
      <w:sz w:val="24"/>
      <w:szCs w:val="24"/>
    </w:rPr>
  </w:style>
  <w:style w:type="paragraph" w:customStyle="1" w:styleId="ECHRPara">
    <w:name w:val="ECHR_Para"/>
    <w:aliases w:val="Ju_Para"/>
    <w:basedOn w:val="Normal"/>
    <w:uiPriority w:val="99"/>
    <w:rsid w:val="00AB61D3"/>
    <w:pPr>
      <w:autoSpaceDE w:val="0"/>
      <w:autoSpaceDN w:val="0"/>
      <w:adjustRightInd w:val="0"/>
      <w:spacing w:after="200" w:line="330" w:lineRule="atLeast"/>
      <w:ind w:firstLine="280"/>
      <w:jc w:val="both"/>
    </w:pPr>
    <w:rPr>
      <w:rFonts w:ascii="Times New Roman" w:hAnsi="Times New Roman" w:cs="Times New Roman"/>
      <w:color w:val="000000"/>
      <w:sz w:val="24"/>
      <w:szCs w:val="24"/>
    </w:rPr>
  </w:style>
  <w:style w:type="paragraph" w:styleId="NoSpacing">
    <w:name w:val="No Spacing"/>
    <w:uiPriority w:val="99"/>
    <w:qFormat/>
    <w:rsid w:val="00AB61D3"/>
    <w:pPr>
      <w:autoSpaceDE w:val="0"/>
      <w:autoSpaceDN w:val="0"/>
      <w:adjustRightInd w:val="0"/>
      <w:spacing w:after="0" w:line="240" w:lineRule="auto"/>
    </w:pPr>
    <w:rPr>
      <w:rFonts w:ascii="Times New Roman" w:hAnsi="Times New Roman" w:cs="Times New Roman"/>
      <w:color w:val="00000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16399-20</Nr_x002e__x0020_akti>
    <Data_x0020_e_x0020_Krijimit xmlns="0e656187-b300-4fb0-8bf4-3a50f872073c">2026-08-07T07:34:40Z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2026-08-06T00:00:00Z</Date_x0020_protokolli>
    <Titulli xmlns="0e656187-b300-4fb0-8bf4-3a50f872073c">Çështja Alma Liçaj kundër Shqipërisë (kërkesa nr.16399-20)</Titulli>
    <Modifikuesi xmlns="0e656187-b300-4fb0-8bf4-3a50f872073c">Fjora.Cahani</Modifikuesi>
    <Nr_x002e__x0020_prot_x0020_QBZ xmlns="0e656187-b300-4fb0-8bf4-3a50f872073c">1834/1</Nr_x002e__x0020_prot_x0020_QBZ>
    <Data_x0020_e_x0020_Modifikimit xmlns="0e656187-b300-4fb0-8bf4-3a50f872073c">2026-08-11T08:07:39Z</Data_x0020_e_x0020_Modifikimit>
    <Dekretuar xmlns="0e656187-b300-4fb0-8bf4-3a50f872073c">false</Dekretuar>
    <Data xmlns="0e656187-b300-4fb0-8bf4-3a50f872073c">2026-07-09T00:00:00Z</Data>
    <Nr_x002e__x0020_protokolli_x0020_i_x0020_aktit xmlns="0e656187-b300-4fb0-8bf4-3a50f872073c">4535/1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1998288F80A41DC8E77119A0451463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A1998288F80A41DC8E77119A0451463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59D8BC-99BB-47EF-B8D9-15748A88C419}">
  <ds:schemaRefs>
    <ds:schemaRef ds:uri="http://schemas.microsoft.com/office/2006/metadata/properties"/>
    <ds:schemaRef ds:uri="0e656187-b300-4fb0-8bf4-3a50f872073c"/>
    <ds:schemaRef ds:uri="http://purl.org/dc/elements/1.1/"/>
    <ds:schemaRef ds:uri="http://purl.org/dc/dcmitype/"/>
    <ds:schemaRef ds:uri="http://schemas.microsoft.com/office/2006/documentManagement/types"/>
    <ds:schemaRef ds:uri="http://www.w3.org/XML/1998/namespace"/>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F1AC47CE-6F0F-412D-A5F3-B999E327BD68}">
  <ds:schemaRefs>
    <ds:schemaRef ds:uri="http://schemas.microsoft.com/sharepoint/v3/contenttype/forms"/>
  </ds:schemaRefs>
</ds:datastoreItem>
</file>

<file path=customXml/itemProps3.xml><?xml version="1.0" encoding="utf-8"?>
<ds:datastoreItem xmlns:ds="http://schemas.openxmlformats.org/officeDocument/2006/customXml" ds:itemID="{7E466704-6459-4138-BBCE-3FC5ACDC3B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67973E4-4F4C-4194-9183-D2CCD8542B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2B82ABF-BF62-4F87-8426-0B2260055E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3449</Words>
  <Characters>19660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Çështja Alma Liçaj kundër Shqipërisë (kërkesa nr.16399-20)</vt:lpstr>
    </vt:vector>
  </TitlesOfParts>
  <Company/>
  <LinksUpToDate>false</LinksUpToDate>
  <CharactersWithSpaces>23063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Alma Liçaj kundër Shqipërisë (kërkesa nr.16399-20)</dc:title>
  <dc:creator>Entela Suli</dc:creator>
  <cp:lastModifiedBy>Amarilda Muja</cp:lastModifiedBy>
  <cp:revision>10</cp:revision>
  <dcterms:created xsi:type="dcterms:W3CDTF">2026-08-07T07:23:00Z</dcterms:created>
  <dcterms:modified xsi:type="dcterms:W3CDTF">2026-08-11T08:32:00Z</dcterms:modified>
</cp:coreProperties>
</file>