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467" w:rsidRPr="003874DE" w:rsidRDefault="00EE0467" w:rsidP="00EE0467">
      <w:pPr>
        <w:pStyle w:val="Akti"/>
      </w:pPr>
      <w:bookmarkStart w:id="0" w:name="_GoBack"/>
      <w:bookmarkEnd w:id="0"/>
      <w:r w:rsidRPr="003874DE">
        <w:t>V E N D I M</w:t>
      </w:r>
    </w:p>
    <w:p w:rsidR="00EE0467" w:rsidRPr="003874DE" w:rsidRDefault="00EE0467" w:rsidP="00EE0467">
      <w:pPr>
        <w:pStyle w:val="NumriData"/>
      </w:pPr>
      <w:r>
        <w:t>Nr.4, datë 2.6.1995</w:t>
      </w:r>
    </w:p>
    <w:p w:rsidR="00EE0467" w:rsidRDefault="00EE0467" w:rsidP="00EE0467">
      <w:pPr>
        <w:pStyle w:val="Paragrafi"/>
      </w:pPr>
    </w:p>
    <w:p w:rsidR="00EE0467" w:rsidRPr="003874DE" w:rsidRDefault="00EE0467" w:rsidP="00EE0467">
      <w:pPr>
        <w:pStyle w:val="Paragrafi"/>
      </w:pPr>
      <w:r w:rsidRPr="003874DE">
        <w:t>Gjykata Kushtetuese e Republikës së Shqipërisë e përbërë nga:</w:t>
      </w: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Paragrafi"/>
      </w:pPr>
      <w:r w:rsidRPr="003874DE">
        <w:t xml:space="preserve">Rustem Gjata, </w:t>
      </w:r>
      <w:r>
        <w:tab/>
      </w:r>
      <w:r>
        <w:tab/>
      </w:r>
      <w:r w:rsidRPr="003874DE">
        <w:t>Kryetar    i Gjykatës Kushtetuese</w:t>
      </w:r>
    </w:p>
    <w:p w:rsidR="00EE0467" w:rsidRPr="003874DE" w:rsidRDefault="00EE0467" w:rsidP="00EE0467">
      <w:pPr>
        <w:pStyle w:val="Paragrafi"/>
      </w:pPr>
      <w:r w:rsidRPr="003874DE">
        <w:t xml:space="preserve">Feti Gjilani, </w:t>
      </w:r>
      <w:r>
        <w:tab/>
      </w:r>
      <w:r>
        <w:tab/>
        <w:t xml:space="preserve">Zv/kryetar i    </w:t>
      </w:r>
      <w:r w:rsidRPr="003874DE">
        <w:t>““</w:t>
      </w:r>
    </w:p>
    <w:p w:rsidR="00EE0467" w:rsidRPr="003874DE" w:rsidRDefault="00EE0467" w:rsidP="00EE0467">
      <w:pPr>
        <w:pStyle w:val="Paragrafi"/>
      </w:pPr>
      <w:r w:rsidRPr="003874DE">
        <w:t xml:space="preserve">Hilmi Dakli, </w:t>
      </w:r>
      <w:r>
        <w:tab/>
      </w:r>
      <w:r>
        <w:tab/>
      </w:r>
      <w:r w:rsidRPr="003874DE">
        <w:t>Anëtar     i     ““</w:t>
      </w:r>
    </w:p>
    <w:p w:rsidR="00EE0467" w:rsidRPr="003874DE" w:rsidRDefault="00EE0467" w:rsidP="00EE0467">
      <w:pPr>
        <w:pStyle w:val="Paragrafi"/>
      </w:pPr>
      <w:r w:rsidRPr="003874DE">
        <w:t xml:space="preserve">Manol Konomi, </w:t>
      </w:r>
      <w:r>
        <w:tab/>
      </w:r>
      <w:r w:rsidRPr="003874DE">
        <w:t>Anëtar     i     ““</w:t>
      </w:r>
    </w:p>
    <w:p w:rsidR="00EE0467" w:rsidRPr="003874DE" w:rsidRDefault="00EE0467" w:rsidP="00EE0467">
      <w:pPr>
        <w:pStyle w:val="Paragrafi"/>
      </w:pPr>
      <w:r w:rsidRPr="003874DE">
        <w:t xml:space="preserve">Veli Budo, </w:t>
      </w:r>
      <w:r>
        <w:tab/>
      </w:r>
      <w:r>
        <w:tab/>
      </w:r>
      <w:r w:rsidRPr="003874DE">
        <w:t>Anëtar     i     ““</w:t>
      </w:r>
    </w:p>
    <w:p w:rsidR="00EE0467" w:rsidRDefault="00EE0467" w:rsidP="00EE0467">
      <w:pPr>
        <w:pStyle w:val="Paragrafi"/>
      </w:pPr>
      <w:r w:rsidRPr="003874DE">
        <w:t xml:space="preserve">Franc Jakova, </w:t>
      </w:r>
      <w:r>
        <w:tab/>
      </w:r>
      <w:r>
        <w:tab/>
      </w:r>
      <w:r w:rsidRPr="003874DE">
        <w:t xml:space="preserve">Anëtar     i    ““ </w:t>
      </w:r>
    </w:p>
    <w:p w:rsidR="00EE0467" w:rsidRPr="003874DE" w:rsidRDefault="00EE0467" w:rsidP="00EE0467">
      <w:pPr>
        <w:pStyle w:val="Paragrafi"/>
      </w:pPr>
      <w:r w:rsidRPr="003874DE">
        <w:t xml:space="preserve">Zija Vuci, </w:t>
      </w:r>
      <w:r>
        <w:tab/>
      </w:r>
      <w:r>
        <w:tab/>
      </w:r>
      <w:r w:rsidRPr="003874DE">
        <w:t>Anëtar     i     ““</w:t>
      </w:r>
    </w:p>
    <w:p w:rsidR="00EE0467" w:rsidRPr="003874DE" w:rsidRDefault="00EE0467" w:rsidP="00EE0467">
      <w:pPr>
        <w:pStyle w:val="Paragrafi"/>
      </w:pPr>
      <w:r w:rsidRPr="003874DE">
        <w:t xml:space="preserve">Metush Saraçi, </w:t>
      </w:r>
      <w:r>
        <w:tab/>
      </w:r>
      <w:r>
        <w:tab/>
      </w:r>
      <w:r w:rsidRPr="003874DE">
        <w:t>Anëtar     i     ““</w:t>
      </w:r>
    </w:p>
    <w:p w:rsidR="00EE0467" w:rsidRPr="003874DE" w:rsidRDefault="00EE0467" w:rsidP="00EE0467">
      <w:pPr>
        <w:pStyle w:val="Paragrafi"/>
      </w:pPr>
      <w:r w:rsidRPr="003874DE">
        <w:t xml:space="preserve">Alfred Karamuço, </w:t>
      </w:r>
      <w:r>
        <w:tab/>
      </w:r>
      <w:r w:rsidRPr="003874DE">
        <w:t>Anëtar     i     ““</w:t>
      </w: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Paragrafi"/>
      </w:pPr>
      <w:r w:rsidRPr="003874DE">
        <w:t>me sekretare Drita Filto, më datat 19.5.1995, 22.5.1995, 24.5.1995 dhe 2.6.1995, mori në shqyrtim në seancë gjyqësore me nismën e saj, çështjen nr.6 Akti, me</w:t>
      </w: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VENDOSI"/>
      </w:pPr>
      <w:r w:rsidRPr="003874DE">
        <w:t xml:space="preserve">O B J E K T </w:t>
      </w: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Paragrafi"/>
      </w:pPr>
      <w:r w:rsidRPr="003874DE">
        <w:t>“Interpretimi i nenit 18 paragrafi i tretë i ligjit nr.7561, datë 29.4.1992 “Për disa ndryshime e plotësime në ligjin “Për dispozitat kryesore kushtetuese” në lidhje me ripërtëritjen e përbërjes së Gjykatës Kushtetuese”.</w:t>
      </w: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VENDOSI"/>
      </w:pPr>
      <w:r w:rsidRPr="003874DE">
        <w:t>GJYKATA KUSHTETUESE ,</w:t>
      </w: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Paragrafi"/>
      </w:pPr>
      <w:r w:rsidRPr="003874DE">
        <w:t>pasi dëgjoi relacionin përkatës,</w:t>
      </w: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VENDOSI"/>
      </w:pPr>
      <w:r w:rsidRPr="003874DE">
        <w:t>V Ë R E N :</w:t>
      </w: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Paragrafi"/>
      </w:pPr>
      <w:r w:rsidRPr="003874DE">
        <w:t>Gjykata Kushtetuese e Republikës së Shqipërisë ka bërë betimin para Presidentit të Republikës në datën 19 maj 1992 dhe ka filluar nga funksionet e saj më 1 qershor 1992.</w:t>
      </w:r>
    </w:p>
    <w:p w:rsidR="00EE0467" w:rsidRPr="003874DE" w:rsidRDefault="00EE0467" w:rsidP="00EE0467">
      <w:pPr>
        <w:pStyle w:val="Paragrafi"/>
      </w:pPr>
      <w:r w:rsidRPr="003874DE">
        <w:t>Në janar të vitit 1995 kanë filluar punën në Gjykatën Kushtetuese, tre anëtarë të rinj, të caktuar sipas përkatësisë në vend të tre anëtarëve që kishin dhënë dorëheqjen nga detyra.</w:t>
      </w:r>
    </w:p>
    <w:p w:rsidR="00EE0467" w:rsidRPr="003874DE" w:rsidRDefault="00EE0467" w:rsidP="00EE0467">
      <w:pPr>
        <w:pStyle w:val="Paragrafi"/>
      </w:pPr>
      <w:r w:rsidRPr="003874DE">
        <w:t xml:space="preserve">Sipas nenit 18, paragrafi i tretë i ligjit nr.7561, datë 29.4.1992 “Afati i tre anëtarëve të Gjykatës Kushtetuese, të caktuar në zgjedhjen e parë mbaron në krye të tre vjetëve. Emrat </w:t>
      </w:r>
    </w:p>
    <w:p w:rsidR="00EE0467" w:rsidRPr="003874DE" w:rsidRDefault="00EE0467" w:rsidP="00EE0467">
      <w:pPr>
        <w:pStyle w:val="Paragrafi"/>
      </w:pPr>
      <w:r w:rsidRPr="003874DE">
        <w:t>e tyre caktohen me short, në secilin grup gjyqtarësh të zgjedhur nga Kuvendi Popullor dhe nga Presidenti i Republikës. Pas tre vjetëve të tjerë zëvendësohen në të njëjtën mënyrë, me short, nga tre gjyqtarë të tjerë. Gjyqtarët zëvëndësues qëndrojnë në detyrë 12 vjet, pa të drejtë rizgjedhje”.</w:t>
      </w:r>
    </w:p>
    <w:p w:rsidR="00EE0467" w:rsidRPr="003874DE" w:rsidRDefault="00EE0467" w:rsidP="00EE0467">
      <w:pPr>
        <w:pStyle w:val="Paragrafi"/>
      </w:pPr>
      <w:r w:rsidRPr="003874DE">
        <w:t>Siç shihet, kjo dispozitë parashikon ripërtëritjen graduale të Gjykatës Kushtetuese, duke ruajtur gjithmonë në përbërje shumicën prej 2/3 e anëtarëve me stazh në detyrë në Gjykatë. Ky është një parim organizativ, i pranuar edhe në dispozita kushtetuese të vendeve të tjera, nisur nga veçoritë specifike të procesit gjyqësor kushtetues i cili përveç njohurive kërkon dhe përvojën e duhur.</w:t>
      </w:r>
    </w:p>
    <w:p w:rsidR="00EE0467" w:rsidRPr="003874DE" w:rsidRDefault="00EE0467" w:rsidP="00EE0467">
      <w:pPr>
        <w:pStyle w:val="Paragrafi"/>
      </w:pPr>
      <w:r w:rsidRPr="003874DE">
        <w:t>Hedhja e shortit vetëm në fund të afatit të parë e të dytë trevjeçar të Gjykatës është një rregull proceduror parashikuar nga ligjvënësi për zëvendësimin gradual të anëtarëve të zgjedhur në fillimin e veprimtarisë së Gjykatës, për të arritur në zëvendësimin periodik në mbarim të çdo mandati. Në këtë mënyrë realizohet qëllimi i ligjvënësit që gjithmonë në përbërje të Gjykatës do të jenë 2/3 e anëtarëve me stazh në detyrë jo më pak se tre vjet.</w:t>
      </w:r>
    </w:p>
    <w:p w:rsidR="00EE0467" w:rsidRPr="003874DE" w:rsidRDefault="00EE0467" w:rsidP="00EE0467">
      <w:pPr>
        <w:pStyle w:val="Paragrafi"/>
      </w:pPr>
      <w:r w:rsidRPr="003874DE">
        <w:t xml:space="preserve">Nga sa u tha më lart, Gjykata arrin në përfundim se me ardhjen e tre anëtarëve të rinj disa muaj para mbarimit të afatit të parë trevjeçar, qëllimi i ligjit për ripërtëritjen graduale të Gjykatës çdo tre vjet është arritur plotësisht, duke mos qenë e nevojshme në këtë rast që të hidhet shorti. </w:t>
      </w:r>
    </w:p>
    <w:p w:rsidR="00EE0467" w:rsidRPr="003874DE" w:rsidRDefault="00EE0467" w:rsidP="00EE0467">
      <w:pPr>
        <w:pStyle w:val="Paragrafi"/>
      </w:pPr>
      <w:r w:rsidRPr="003874DE">
        <w:t xml:space="preserve">     Po të pranohej një interpretim i kundërt dhe të hidhej shorti, do të shkaktohej që të ripërtërihej, brenda muajve të fundit të të njëjtit trevjeçar, jo 1/3 por 2/3 e përbërjes së Gjykatës, domethënë do të zëvendësoheshin njëherësh gjashtë gjyqtarë kushtetues, çka nuk pajtohet me qëllimin e ligjit dhe do të dëmtonte cilësinë e dhënies së drejtësisë kushtetuese.</w:t>
      </w:r>
    </w:p>
    <w:p w:rsidR="00EE0467" w:rsidRPr="003874DE" w:rsidRDefault="00EE0467" w:rsidP="00EE0467">
      <w:pPr>
        <w:pStyle w:val="Paragrafi"/>
      </w:pPr>
      <w:r w:rsidRPr="003874DE">
        <w:lastRenderedPageBreak/>
        <w:t>Megjithëse ky interpretim ka për objekt ripërtëritjen e përbërjes së Gjykatës Kushtetuese, ai kryhet nga vetë kjo Gjykatë, sepse paketa e ligjeve tona kushtetuese nuk ia le këtë kompetencë edhe ndonjë organi tjetër. Rrjedhimisht, gjersa interpretimi i ligjeve kushtetuese është prerogativë vetëm e kësaj Gjykate, nuk ka në rastin konkret asnjë shkelje të parimit se askush nuk mund të jetë gjyqtar në çështjen gjyqësore të vetë. (“Nemo judex in causa sua”)</w:t>
      </w: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VENDOSI"/>
      </w:pPr>
      <w:r w:rsidRPr="003874DE">
        <w:t>PËR KËTO ARSYE ,</w:t>
      </w: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Paragrafi"/>
      </w:pPr>
      <w:r w:rsidRPr="003874DE">
        <w:t>Gjykata Kushtetuese e Republikës së Shqipërisë, në bazë të neneve 24 pika 1, 25 e 26 të ligjit nr.7561, datë 29.04.1992 “Për disa ndryshime e plotësime në ligjin nr.7491, datë 29.04.1991 “Për dispozitat kryesore kushtetuese” me shumicë votash,</w:t>
      </w: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VENDOSI"/>
      </w:pPr>
      <w:r w:rsidRPr="003874DE">
        <w:t>V E N D O S I:</w:t>
      </w: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Paragrafi"/>
      </w:pPr>
      <w:r w:rsidRPr="003874DE">
        <w:t>Ripërtëritja e përbërjes të Gjykatës Kushtetuese është bërë, rrjedhimisht nuk ka vend për hedhjen e shortit.</w:t>
      </w:r>
    </w:p>
    <w:p w:rsidR="00EE0467" w:rsidRPr="003874DE" w:rsidRDefault="00EE0467" w:rsidP="00EE0467">
      <w:pPr>
        <w:pStyle w:val="Paragrafi"/>
      </w:pPr>
      <w:r w:rsidRPr="003874DE">
        <w:t>Ky vendim është përfundimtar, i formës së prerë, dhe hyn në fuqi menjëherë.</w:t>
      </w:r>
    </w:p>
    <w:p w:rsidR="00EE0467" w:rsidRPr="003874DE" w:rsidRDefault="00EE0467" w:rsidP="00EE0467">
      <w:pPr>
        <w:pStyle w:val="Paragrafi"/>
      </w:pPr>
      <w:r w:rsidRPr="003874DE">
        <w:t>Votuan kundër këtij vendimi : Hilmi Dakli, Manol Konomi e Metush Saraçi.</w:t>
      </w: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TitulliTitull"/>
      </w:pPr>
      <w:r w:rsidRPr="003874DE">
        <w:t>MENDIMI I PAKICES</w:t>
      </w: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Paragrafi"/>
      </w:pPr>
      <w:r w:rsidRPr="003874DE">
        <w:t>Nuk mund të bashkohemi me pikëpamjen e shumicës në lidhje me interpretimin e nenit 18, paragrafi i tretë.</w:t>
      </w:r>
    </w:p>
    <w:p w:rsidR="00EE0467" w:rsidRPr="003874DE" w:rsidRDefault="00EE0467" w:rsidP="00EE0467">
      <w:pPr>
        <w:pStyle w:val="Paragrafi"/>
      </w:pPr>
      <w:r w:rsidRPr="003874DE">
        <w:t>1. Paragrafi i fundit i këtij neni shtron parimin se Gjykata Kushtetuese, me mbarimin e afatit të parë dhe të dytë trevjeçar, duhet të ndryshohet në përbërjen e saj në një të tretën. Në një kohë kjo dispozitë shtron rregullin me përmbajtje precize se mandati i tre gjyqtarëve të kësaj Gjykate mbaron në krye të tre vjetëve dhe emrat e tyre caktohen me short.</w:t>
      </w:r>
    </w:p>
    <w:p w:rsidR="00EE0467" w:rsidRPr="003874DE" w:rsidRDefault="00EE0467" w:rsidP="00EE0467">
      <w:pPr>
        <w:pStyle w:val="Paragrafi"/>
      </w:pPr>
      <w:r w:rsidRPr="003874DE">
        <w:t>2. Sistemi që parashikon neni 18, paragrafi i tretë, për ndryshimet që duhet të bëhen në përbërjen e Gjykatës Kushtetuese, është i qartë dhe koherent. Për pasojë, nuk lihet asnjë hapësirë e mundshme për interpretimin e kësaj norme në mënyrën që është vendosur nga shumica.</w:t>
      </w:r>
    </w:p>
    <w:p w:rsidR="00EE0467" w:rsidRPr="003874DE" w:rsidRDefault="00EE0467" w:rsidP="00EE0467">
      <w:pPr>
        <w:pStyle w:val="Paragrafi"/>
      </w:pPr>
      <w:r w:rsidRPr="003874DE">
        <w:t>3. Ligji ka parasysh ndryshimet që duhet të bëhen detyrimisht dhe me qëllim natyrisht përtëritje, me plotësimin e afateve që ky ligj cakton dhe jo ndryshimet që mund t’i vijnë Gjykatës për shkaqet që parashikohen nga neni 23 ose dhe për shkaqe të tjera.</w:t>
      </w:r>
    </w:p>
    <w:p w:rsidR="00EE0467" w:rsidRPr="003874DE" w:rsidRDefault="00EE0467" w:rsidP="00EE0467">
      <w:pPr>
        <w:pStyle w:val="Paragrafi"/>
      </w:pPr>
      <w:r w:rsidRPr="003874DE">
        <w:t xml:space="preserve">4. Me zëvendësimin e tre gjyqtarëve të larguar, para mbarimit të trevjeçarit të parë, me tre gjyqtarë të rinj nuk mund të arrihet në konkluzion se përtëritja e Gjykatës dhe si rrjedhim dhe hedhja e shortit është tanimë e panevojshme për arsye se u arrit qëllimi i ligjvënësit: përtëritja e Gjykatës në një të tretën. Këtu duhet shtuar se gjyqtarët e rinj kanë zënë vendin (për të gjitha efektet e ligjit duke përfshirë edhe zbatimin e nenit 18, paragrafi i tretë) e gjyqtarëve të larguar, gjë që </w:t>
      </w:r>
      <w:smartTag w:uri="urn:schemas-microsoft-com:office:smarttags" w:element="State">
        <w:smartTag w:uri="urn:schemas-microsoft-com:office:smarttags" w:element="place">
          <w:r w:rsidRPr="003874DE">
            <w:t>del</w:t>
          </w:r>
        </w:smartTag>
      </w:smartTag>
      <w:r w:rsidRPr="003874DE">
        <w:t xml:space="preserve"> e qartë edhe nga përmbajtja e nenit 23, paragrafi i fundit.</w:t>
      </w:r>
    </w:p>
    <w:p w:rsidR="00EE0467" w:rsidRPr="003874DE" w:rsidRDefault="00EE0467" w:rsidP="00EE0467">
      <w:pPr>
        <w:pStyle w:val="Paragrafi"/>
      </w:pPr>
      <w:r w:rsidRPr="003874DE">
        <w:t>5. Ndryshimet (në masë dhe në kohë) që mund të pësojë Gjykata gjatë ushtrimit të funksionit të saj (mandatit) janë të shumta, por ato nuk kanë karakterin e përtëritjes në kuptimin e normës të nenit 18 dhe nuk mund të përdoren si argumente në favor ose kundër të njërës pikëpamje ose tjetrës.</w:t>
      </w:r>
    </w:p>
    <w:p w:rsidR="00EE0467" w:rsidRPr="003874DE" w:rsidRDefault="00EE0467" w:rsidP="00EE0467">
      <w:pPr>
        <w:pStyle w:val="Paragrafi"/>
      </w:pPr>
      <w:r w:rsidRPr="003874DE">
        <w:t>6. Gjykata Kushtetuese, brenda kuadrit të detyrës së vet për interpretimin e normave kushtetuese, mund të nxjerrë të gjitha rrjedhimet e mundshme, por nuk mund të kalojë në një interpretim shumë të gjerë, sepse në këtë rast do t’i atribuonte vetes funksione legjislative.</w:t>
      </w:r>
    </w:p>
    <w:p w:rsidR="00EE0467" w:rsidRPr="003874DE" w:rsidRDefault="00EE0467" w:rsidP="00EE0467">
      <w:pPr>
        <w:pStyle w:val="Paragrafi"/>
      </w:pPr>
    </w:p>
    <w:p w:rsidR="00EE0467" w:rsidRPr="003874DE" w:rsidRDefault="00EE0467" w:rsidP="00EE0467">
      <w:pPr>
        <w:pStyle w:val="Paragrafi"/>
      </w:pPr>
      <w:r w:rsidRPr="003874DE">
        <w:t>Tiranë, më 2.6.1995</w:t>
      </w:r>
    </w:p>
    <w:p w:rsidR="00EE0467" w:rsidRPr="003874DE" w:rsidRDefault="00EE0467" w:rsidP="00EE0467">
      <w:pPr>
        <w:pStyle w:val="Paragrafi"/>
      </w:pPr>
    </w:p>
    <w:p w:rsidR="00EE0467" w:rsidRDefault="00EE0467" w:rsidP="00EE0467">
      <w:pPr>
        <w:pStyle w:val="Paragrafi"/>
      </w:pPr>
    </w:p>
    <w:sectPr w:rsidR="00EE046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23F52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3719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0467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090462-86AE-4EFB-9F25-78B4F886E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2019-03-27T08:59:00Z</dcterms:created>
  <dcterms:modified xsi:type="dcterms:W3CDTF">2019-03-27T08:59:00Z</dcterms:modified>
</cp:coreProperties>
</file>