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ECB" w:rsidRPr="003A3E3B" w:rsidRDefault="006F6ECB" w:rsidP="006F6ECB">
      <w:pPr>
        <w:pStyle w:val="Paragrafi"/>
      </w:pPr>
      <w:bookmarkStart w:id="0" w:name="_GoBack"/>
      <w:bookmarkEnd w:id="0"/>
    </w:p>
    <w:p w:rsidR="006F6ECB" w:rsidRPr="003A3E3B" w:rsidRDefault="006F6ECB" w:rsidP="006F6ECB">
      <w:pPr>
        <w:pStyle w:val="Akti"/>
      </w:pPr>
      <w:r w:rsidRPr="003A3E3B">
        <w:t>V E N D I M</w:t>
      </w:r>
    </w:p>
    <w:p w:rsidR="006F6ECB" w:rsidRPr="003A3E3B" w:rsidRDefault="006F6ECB" w:rsidP="006F6ECB">
      <w:pPr>
        <w:pStyle w:val="NumriData"/>
      </w:pPr>
      <w:r w:rsidRPr="003A3E3B">
        <w:t>Nr. 49, datë 26.7.1999</w:t>
      </w:r>
    </w:p>
    <w:p w:rsidR="006F6ECB" w:rsidRPr="003A3E3B" w:rsidRDefault="006F6ECB" w:rsidP="006F6ECB">
      <w:pPr>
        <w:pStyle w:val="Paragrafi"/>
      </w:pPr>
    </w:p>
    <w:p w:rsidR="006F6ECB" w:rsidRPr="003A3E3B" w:rsidRDefault="006F6ECB" w:rsidP="006F6ECB">
      <w:pPr>
        <w:pStyle w:val="Paragrafi"/>
      </w:pPr>
      <w:r w:rsidRPr="003A3E3B">
        <w:t>Gjykata Kushtetuese e Republikës së Shqipërisë e përbërë nga :</w:t>
      </w:r>
    </w:p>
    <w:p w:rsidR="006F6ECB" w:rsidRPr="003A3E3B" w:rsidRDefault="006F6ECB" w:rsidP="006F6ECB">
      <w:pPr>
        <w:pStyle w:val="Paragrafi"/>
      </w:pPr>
      <w:r w:rsidRPr="003A3E3B">
        <w:t>Fehmi Abdiu,</w:t>
      </w:r>
      <w:r>
        <w:tab/>
      </w:r>
      <w:r>
        <w:tab/>
      </w:r>
      <w:r w:rsidRPr="003A3E3B">
        <w:t>Kryetar i Gjykatës Kushtetuese</w:t>
      </w:r>
    </w:p>
    <w:p w:rsidR="006F6ECB" w:rsidRPr="003A3E3B" w:rsidRDefault="006F6ECB" w:rsidP="006F6ECB">
      <w:pPr>
        <w:pStyle w:val="Paragrafi"/>
      </w:pPr>
      <w:r w:rsidRPr="003A3E3B">
        <w:t>Hilmi Dakli,</w:t>
      </w:r>
      <w:r>
        <w:tab/>
      </w:r>
      <w:r>
        <w:tab/>
      </w:r>
      <w:r w:rsidRPr="003A3E3B">
        <w:t xml:space="preserve">Anëtar   </w:t>
      </w:r>
      <w:r>
        <w:t>i</w:t>
      </w:r>
      <w:r>
        <w:tab/>
      </w:r>
      <w:r w:rsidRPr="003A3E3B">
        <w:t>““</w:t>
      </w:r>
    </w:p>
    <w:p w:rsidR="006F6ECB" w:rsidRPr="003A3E3B" w:rsidRDefault="006F6ECB" w:rsidP="006F6ECB">
      <w:pPr>
        <w:pStyle w:val="Paragrafi"/>
      </w:pPr>
      <w:r w:rsidRPr="003A3E3B">
        <w:t>Zija Vuci,</w:t>
      </w:r>
      <w:r>
        <w:tab/>
      </w:r>
      <w:r>
        <w:tab/>
      </w:r>
      <w:r w:rsidRPr="003A3E3B">
        <w:t xml:space="preserve">Anëtar   </w:t>
      </w:r>
      <w:r>
        <w:t>i</w:t>
      </w:r>
      <w:r>
        <w:tab/>
      </w:r>
      <w:r w:rsidRPr="003A3E3B">
        <w:t>““</w:t>
      </w:r>
    </w:p>
    <w:p w:rsidR="006F6ECB" w:rsidRPr="003A3E3B" w:rsidRDefault="006F6ECB" w:rsidP="006F6ECB">
      <w:pPr>
        <w:pStyle w:val="Paragrafi"/>
      </w:pPr>
      <w:r w:rsidRPr="003A3E3B">
        <w:t>Hajredin Fuga,</w:t>
      </w:r>
      <w:r>
        <w:tab/>
      </w:r>
      <w:r>
        <w:tab/>
      </w:r>
      <w:r w:rsidRPr="003A3E3B">
        <w:t xml:space="preserve">Anëtar   </w:t>
      </w:r>
      <w:r>
        <w:t>i</w:t>
      </w:r>
      <w:r>
        <w:tab/>
      </w:r>
      <w:r w:rsidRPr="003A3E3B">
        <w:t>““</w:t>
      </w:r>
    </w:p>
    <w:p w:rsidR="006F6ECB" w:rsidRPr="003A3E3B" w:rsidRDefault="006F6ECB" w:rsidP="006F6ECB">
      <w:pPr>
        <w:pStyle w:val="Paragrafi"/>
      </w:pPr>
      <w:r w:rsidRPr="003A3E3B">
        <w:t>Alfred Karamuço,</w:t>
      </w:r>
      <w:r>
        <w:tab/>
      </w:r>
      <w:r w:rsidRPr="003A3E3B">
        <w:t xml:space="preserve">Anëtar   </w:t>
      </w:r>
      <w:r>
        <w:t>i</w:t>
      </w:r>
      <w:r>
        <w:tab/>
      </w:r>
      <w:r w:rsidRPr="003A3E3B">
        <w:t xml:space="preserve">““ </w:t>
      </w:r>
    </w:p>
    <w:p w:rsidR="006F6ECB" w:rsidRPr="003A3E3B" w:rsidRDefault="006F6ECB" w:rsidP="006F6ECB">
      <w:pPr>
        <w:pStyle w:val="Paragrafi"/>
      </w:pPr>
      <w:r w:rsidRPr="003A3E3B">
        <w:t>Kujtim Puto,</w:t>
      </w:r>
      <w:r>
        <w:tab/>
      </w:r>
      <w:r>
        <w:tab/>
      </w:r>
      <w:r w:rsidRPr="003A3E3B">
        <w:t xml:space="preserve">Anëtar   </w:t>
      </w:r>
      <w:r>
        <w:t>i</w:t>
      </w:r>
      <w:r>
        <w:tab/>
      </w:r>
      <w:r w:rsidRPr="003A3E3B">
        <w:t>““</w:t>
      </w:r>
    </w:p>
    <w:p w:rsidR="006F6ECB" w:rsidRPr="003A3E3B" w:rsidRDefault="006F6ECB" w:rsidP="006F6ECB">
      <w:pPr>
        <w:pStyle w:val="Paragrafi"/>
      </w:pPr>
      <w:r w:rsidRPr="003A3E3B">
        <w:t>Sokol Sadushi,</w:t>
      </w:r>
      <w:r>
        <w:tab/>
      </w:r>
      <w:r>
        <w:tab/>
      </w:r>
      <w:r w:rsidRPr="003A3E3B">
        <w:t xml:space="preserve">Anëtar   </w:t>
      </w:r>
      <w:r>
        <w:t>i</w:t>
      </w:r>
      <w:r>
        <w:tab/>
      </w:r>
      <w:r w:rsidRPr="003A3E3B">
        <w:t>““</w:t>
      </w:r>
    </w:p>
    <w:p w:rsidR="006F6ECB" w:rsidRPr="003A3E3B" w:rsidRDefault="006F6ECB" w:rsidP="006F6ECB">
      <w:pPr>
        <w:pStyle w:val="Paragrafi"/>
      </w:pPr>
      <w:r w:rsidRPr="003A3E3B">
        <w:t>Kristofor Peçi,</w:t>
      </w:r>
      <w:r>
        <w:tab/>
      </w:r>
      <w:r>
        <w:tab/>
      </w:r>
      <w:r w:rsidRPr="003A3E3B">
        <w:t xml:space="preserve">Anëtar   </w:t>
      </w:r>
      <w:r>
        <w:t>i</w:t>
      </w:r>
      <w:r>
        <w:tab/>
      </w:r>
      <w:r w:rsidRPr="003A3E3B">
        <w:t>““</w:t>
      </w:r>
    </w:p>
    <w:p w:rsidR="006F6ECB" w:rsidRPr="003A3E3B" w:rsidRDefault="006F6ECB" w:rsidP="006F6ECB">
      <w:pPr>
        <w:pStyle w:val="Paragrafi"/>
      </w:pPr>
      <w:r w:rsidRPr="003A3E3B">
        <w:t>më datë 26.7.1999, mori në shqyrtim paraprak kërkesën me nr.53 Akti që i përket :</w:t>
      </w:r>
    </w:p>
    <w:p w:rsidR="006F6ECB" w:rsidRPr="003A3E3B" w:rsidRDefault="006F6ECB" w:rsidP="006F6ECB">
      <w:pPr>
        <w:pStyle w:val="Paragrafi"/>
      </w:pPr>
      <w:r w:rsidRPr="003A3E3B">
        <w:t>KËRKUES: BAJAZIT BECI</w:t>
      </w:r>
    </w:p>
    <w:p w:rsidR="006F6ECB" w:rsidRPr="003A3E3B" w:rsidRDefault="006F6ECB" w:rsidP="006F6ECB">
      <w:pPr>
        <w:pStyle w:val="Paragrafi"/>
      </w:pPr>
      <w:r w:rsidRPr="003A3E3B">
        <w:t>OBJEKTI: Papajtueshmëria me Kushtetutën e dekretit nr.2318, datë 19.2.1999 të Presidentit të Republikës.</w:t>
      </w:r>
    </w:p>
    <w:p w:rsidR="006F6ECB" w:rsidRPr="003A3E3B" w:rsidRDefault="006F6ECB" w:rsidP="006F6ECB">
      <w:pPr>
        <w:pStyle w:val="Paragrafi"/>
      </w:pPr>
      <w:r w:rsidRPr="003A3E3B">
        <w:t>Gjykata Kushtetuese, pasi shqyrtoi kërkesën,</w:t>
      </w:r>
    </w:p>
    <w:p w:rsidR="006F6ECB" w:rsidRPr="003A3E3B" w:rsidRDefault="006F6ECB" w:rsidP="006F6ECB">
      <w:pPr>
        <w:pStyle w:val="Paragrafi"/>
      </w:pPr>
    </w:p>
    <w:p w:rsidR="006F6ECB" w:rsidRPr="003A3E3B" w:rsidRDefault="006F6ECB" w:rsidP="006F6ECB">
      <w:pPr>
        <w:pStyle w:val="VENDOSI"/>
      </w:pPr>
      <w:r w:rsidRPr="003A3E3B">
        <w:t xml:space="preserve">V Ë R E N: </w:t>
      </w:r>
    </w:p>
    <w:p w:rsidR="006F6ECB" w:rsidRPr="003A3E3B" w:rsidRDefault="006F6ECB" w:rsidP="006F6ECB">
      <w:pPr>
        <w:pStyle w:val="Paragrafi"/>
      </w:pPr>
    </w:p>
    <w:p w:rsidR="006F6ECB" w:rsidRPr="003A3E3B" w:rsidRDefault="006F6ECB" w:rsidP="006F6ECB">
      <w:pPr>
        <w:pStyle w:val="Paragrafi"/>
      </w:pPr>
      <w:r w:rsidRPr="003A3E3B">
        <w:t xml:space="preserve">Kërkuesi ka parashtruar para kësaj Gjykate që t’i garantohet zbatimi i Kushtetutës për gjykimin e padisë të paraqitur në Gjykatën e Lartë, pasi kjo e fundit me qëndrimin e mbajtur i ka krijuar bindjen se nuk do ta shqyrtojë atë, megjithëse mundësitë ligjore për shqyrtimin e saj ekzistojnë. </w:t>
      </w:r>
    </w:p>
    <w:p w:rsidR="006F6ECB" w:rsidRPr="003A3E3B" w:rsidRDefault="006F6ECB" w:rsidP="006F6ECB">
      <w:pPr>
        <w:pStyle w:val="Paragrafi"/>
      </w:pPr>
      <w:r w:rsidRPr="003A3E3B">
        <w:t xml:space="preserve">Sipas nenit 131/c të Kushtetutës të Republikës së Shqipërisë, Gjykata Kushtetuese shqyrton kërkesat për papajtueshmërinë e akteve normative të organeve qendrore me Kushtetutën, por në këto raste ajo mund të vihet në lëvizje nga organet e përcaktuara në nenin 134 të Kushtetutës dhe jo nga individët. Këta të fundit mund të venë në lëvizje Gjykatën Kushtetuese vetëm kur u shkelen të drejtat e tyre kushtetuese nga një proces i parregullt ligjor në kuptim të nenit 131/f të Kushtetutës. </w:t>
      </w:r>
    </w:p>
    <w:p w:rsidR="006F6ECB" w:rsidRPr="003A3E3B" w:rsidRDefault="006F6ECB" w:rsidP="006F6ECB">
      <w:pPr>
        <w:pStyle w:val="Paragrafi"/>
      </w:pPr>
      <w:r w:rsidRPr="003A3E3B">
        <w:t>Në këto kushte kërkuesi nuk legjitimohet për ngritjen e kësaj kërkese.</w:t>
      </w:r>
    </w:p>
    <w:p w:rsidR="006F6ECB" w:rsidRPr="003A3E3B" w:rsidRDefault="006F6ECB" w:rsidP="006F6ECB">
      <w:pPr>
        <w:pStyle w:val="Paragrafi"/>
      </w:pPr>
    </w:p>
    <w:p w:rsidR="006F6ECB" w:rsidRPr="003A3E3B" w:rsidRDefault="006F6ECB" w:rsidP="006F6ECB">
      <w:pPr>
        <w:pStyle w:val="VENDOSI"/>
      </w:pPr>
      <w:r w:rsidRPr="003A3E3B">
        <w:t>PëR KëTO ARSYE,</w:t>
      </w:r>
    </w:p>
    <w:p w:rsidR="006F6ECB" w:rsidRPr="003A3E3B" w:rsidRDefault="006F6ECB" w:rsidP="006F6ECB">
      <w:pPr>
        <w:pStyle w:val="Paragrafi"/>
      </w:pPr>
    </w:p>
    <w:p w:rsidR="006F6ECB" w:rsidRPr="003A3E3B" w:rsidRDefault="006F6ECB" w:rsidP="006F6ECB">
      <w:pPr>
        <w:pStyle w:val="Paragrafi"/>
      </w:pPr>
      <w:r w:rsidRPr="003A3E3B">
        <w:t xml:space="preserve">Gjykata Kushtetuese e Republikës së Shqipërisë, në bazë të nenit 38 të Ligjit nr.8373, datë 15.7.1998 “Për organizimin dhe funksionimin e Gjykatës Kushtetuese të Republikës së Shqipërisë”, </w:t>
      </w:r>
    </w:p>
    <w:p w:rsidR="006F6ECB" w:rsidRPr="003A3E3B" w:rsidRDefault="006F6ECB" w:rsidP="006F6ECB">
      <w:pPr>
        <w:pStyle w:val="VENDOSI"/>
      </w:pPr>
      <w:r w:rsidRPr="003A3E3B">
        <w:t>V E N D O S I:</w:t>
      </w:r>
    </w:p>
    <w:p w:rsidR="006F6ECB" w:rsidRPr="003A3E3B" w:rsidRDefault="006F6ECB" w:rsidP="006F6ECB">
      <w:pPr>
        <w:pStyle w:val="Paragrafi"/>
      </w:pPr>
    </w:p>
    <w:p w:rsidR="006F6ECB" w:rsidRPr="003A3E3B" w:rsidRDefault="006F6ECB" w:rsidP="006F6ECB">
      <w:pPr>
        <w:pStyle w:val="Paragrafi"/>
      </w:pPr>
      <w:r w:rsidRPr="003A3E3B">
        <w:t>Moskalimin e çështjes për shqyrtim në seancë gjyqësore.</w:t>
      </w:r>
    </w:p>
    <w:p w:rsidR="006F6ECB" w:rsidRPr="003A3E3B" w:rsidRDefault="006F6ECB" w:rsidP="006F6ECB">
      <w:pPr>
        <w:pStyle w:val="Paragrafi"/>
      </w:pPr>
    </w:p>
    <w:p w:rsidR="006F6ECB" w:rsidRPr="003A3E3B" w:rsidRDefault="006F6ECB" w:rsidP="006F6ECB">
      <w:pPr>
        <w:pStyle w:val="Paragrafi"/>
      </w:pPr>
      <w:r w:rsidRPr="003A3E3B">
        <w:t>Tiranë, më 26.7.1999</w:t>
      </w:r>
    </w:p>
    <w:p w:rsidR="006F6ECB" w:rsidRPr="003A3E3B" w:rsidRDefault="006F6ECB" w:rsidP="006F6ECB">
      <w:pPr>
        <w:pStyle w:val="Paragrafi"/>
      </w:pPr>
    </w:p>
    <w:p w:rsidR="006F6ECB" w:rsidRPr="003A3E3B" w:rsidRDefault="006F6ECB" w:rsidP="006F6ECB">
      <w:pPr>
        <w:pStyle w:val="Paragrafi"/>
      </w:pPr>
      <w:r w:rsidRPr="003A3E3B">
        <w:t>Nr. 52  i regjistrit themeltar</w:t>
      </w:r>
    </w:p>
    <w:p w:rsidR="006F6ECB" w:rsidRPr="003A3E3B" w:rsidRDefault="006F6ECB" w:rsidP="006F6ECB">
      <w:pPr>
        <w:pStyle w:val="Paragrafi"/>
      </w:pPr>
      <w:r w:rsidRPr="003A3E3B">
        <w:t>Nr. 49  i Vendimit.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4D5A46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6F6ECB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7C202B5-3D78-4CEC-879D-51AFA519F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2019-03-27T09:55:00Z</dcterms:created>
  <dcterms:modified xsi:type="dcterms:W3CDTF">2019-03-27T09:55:00Z</dcterms:modified>
</cp:coreProperties>
</file>