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761" w:rsidRPr="008915C1" w:rsidRDefault="00C82761" w:rsidP="00C82761">
      <w:pPr>
        <w:pStyle w:val="Akti"/>
      </w:pPr>
      <w:bookmarkStart w:id="0" w:name="_GoBack"/>
      <w:bookmarkEnd w:id="0"/>
      <w:r w:rsidRPr="008915C1">
        <w:t>V E N D I M</w:t>
      </w:r>
    </w:p>
    <w:p w:rsidR="00C82761" w:rsidRPr="008915C1" w:rsidRDefault="00C82761" w:rsidP="00C82761">
      <w:pPr>
        <w:pStyle w:val="Titulli"/>
      </w:pPr>
      <w:r w:rsidRPr="008915C1">
        <w:t>“NË EMËR TË REPUBLIKËS SË SHQIPËRISË”</w:t>
      </w:r>
    </w:p>
    <w:p w:rsidR="00C82761" w:rsidRPr="008915C1" w:rsidRDefault="00C82761" w:rsidP="00B41CA3">
      <w:pPr>
        <w:pStyle w:val="Paragrafi"/>
      </w:pPr>
    </w:p>
    <w:p w:rsidR="00C82761" w:rsidRPr="008915C1" w:rsidRDefault="00C82761" w:rsidP="00C82761">
      <w:pPr>
        <w:pStyle w:val="Paragrafi"/>
      </w:pPr>
      <w:r w:rsidRPr="008915C1">
        <w:t>Gjykata Kushtetuese e Republikës së Shqipërisë, e përbërë nga:</w:t>
      </w:r>
    </w:p>
    <w:p w:rsidR="00B41CA3" w:rsidRDefault="00B41CA3" w:rsidP="00C82761">
      <w:pPr>
        <w:pStyle w:val="Paragrafi"/>
      </w:pPr>
    </w:p>
    <w:p w:rsidR="00C82761" w:rsidRPr="008915C1" w:rsidRDefault="00C82761" w:rsidP="00C82761">
      <w:pPr>
        <w:pStyle w:val="Paragrafi"/>
      </w:pPr>
      <w:r w:rsidRPr="008915C1">
        <w:t>Fehmi Abdiu,</w:t>
      </w:r>
      <w:r>
        <w:tab/>
      </w:r>
      <w:r>
        <w:tab/>
      </w:r>
      <w:r w:rsidRPr="008915C1">
        <w:t>Kryetar i Gjykatës Kushtetuese</w:t>
      </w:r>
    </w:p>
    <w:p w:rsidR="00C82761" w:rsidRPr="008915C1" w:rsidRDefault="00C82761" w:rsidP="00C82761">
      <w:pPr>
        <w:pStyle w:val="Paragrafi"/>
      </w:pPr>
      <w:r w:rsidRPr="008915C1">
        <w:t>Sabri Rrapi,</w:t>
      </w:r>
      <w:r w:rsidR="00B41CA3">
        <w:tab/>
      </w:r>
      <w:r w:rsidR="00B41CA3">
        <w:tab/>
      </w:r>
      <w:r w:rsidRPr="008915C1">
        <w:t xml:space="preserve">Anëtar i </w:t>
      </w:r>
      <w:r w:rsidR="00B41CA3">
        <w:tab/>
      </w:r>
      <w:r w:rsidRPr="008915C1">
        <w:t>“</w:t>
      </w:r>
      <w:r w:rsidR="00B41CA3">
        <w:t xml:space="preserve">  </w:t>
      </w:r>
      <w:r w:rsidRPr="008915C1">
        <w:t>“</w:t>
      </w:r>
    </w:p>
    <w:p w:rsidR="00C82761" w:rsidRPr="008915C1" w:rsidRDefault="00C82761" w:rsidP="00C82761">
      <w:pPr>
        <w:pStyle w:val="Paragrafi"/>
      </w:pPr>
      <w:r w:rsidRPr="008915C1">
        <w:t>Zija Vuci,</w:t>
      </w:r>
      <w:r w:rsidR="00B41CA3">
        <w:tab/>
      </w:r>
      <w:r w:rsidR="00B41CA3">
        <w:tab/>
      </w:r>
      <w:r w:rsidRPr="008915C1">
        <w:t xml:space="preserve">Anëtar i </w:t>
      </w:r>
      <w:r w:rsidR="00B41CA3">
        <w:tab/>
      </w:r>
      <w:r w:rsidRPr="008915C1">
        <w:t>“</w:t>
      </w:r>
      <w:r w:rsidR="00B41CA3">
        <w:t xml:space="preserve">  </w:t>
      </w:r>
      <w:r w:rsidRPr="008915C1">
        <w:t>“</w:t>
      </w:r>
    </w:p>
    <w:p w:rsidR="00C82761" w:rsidRPr="008915C1" w:rsidRDefault="00C82761" w:rsidP="00C82761">
      <w:pPr>
        <w:pStyle w:val="Paragrafi"/>
      </w:pPr>
      <w:r w:rsidRPr="008915C1">
        <w:t>Hajredin Fuga,</w:t>
      </w:r>
      <w:r w:rsidR="00B41CA3">
        <w:tab/>
      </w:r>
      <w:r w:rsidR="00B41CA3">
        <w:tab/>
      </w:r>
      <w:r w:rsidRPr="008915C1">
        <w:t xml:space="preserve">Anëtar i </w:t>
      </w:r>
      <w:r w:rsidR="00B41CA3">
        <w:tab/>
      </w:r>
      <w:r w:rsidRPr="008915C1">
        <w:t>“</w:t>
      </w:r>
      <w:r w:rsidR="00B41CA3">
        <w:t xml:space="preserve">  </w:t>
      </w:r>
      <w:r w:rsidRPr="008915C1">
        <w:t>“</w:t>
      </w:r>
    </w:p>
    <w:p w:rsidR="00C82761" w:rsidRPr="008915C1" w:rsidRDefault="00C82761" w:rsidP="00C82761">
      <w:pPr>
        <w:pStyle w:val="Paragrafi"/>
      </w:pPr>
      <w:r w:rsidRPr="008915C1">
        <w:t>Alfred Karamuço,</w:t>
      </w:r>
      <w:r w:rsidR="00B41CA3">
        <w:tab/>
      </w:r>
      <w:r w:rsidRPr="008915C1">
        <w:t xml:space="preserve">Anëtar i </w:t>
      </w:r>
      <w:r w:rsidR="00B41CA3">
        <w:tab/>
      </w:r>
      <w:r w:rsidRPr="008915C1">
        <w:t>“</w:t>
      </w:r>
      <w:r w:rsidR="00B41CA3">
        <w:t xml:space="preserve">  </w:t>
      </w:r>
      <w:r w:rsidRPr="008915C1">
        <w:t>“</w:t>
      </w:r>
    </w:p>
    <w:p w:rsidR="00C82761" w:rsidRPr="008915C1" w:rsidRDefault="00C82761" w:rsidP="00C82761">
      <w:pPr>
        <w:pStyle w:val="Paragrafi"/>
      </w:pPr>
      <w:r w:rsidRPr="008915C1">
        <w:t>Bardha Selenica,</w:t>
      </w:r>
      <w:r w:rsidR="00B41CA3">
        <w:tab/>
      </w:r>
      <w:r w:rsidRPr="008915C1">
        <w:t xml:space="preserve">Anëtar i </w:t>
      </w:r>
      <w:r w:rsidR="00B41CA3">
        <w:tab/>
      </w:r>
      <w:r w:rsidRPr="008915C1">
        <w:t>“</w:t>
      </w:r>
      <w:r w:rsidR="00B41CA3">
        <w:t xml:space="preserve">  </w:t>
      </w:r>
      <w:r w:rsidRPr="008915C1">
        <w:t>“</w:t>
      </w:r>
    </w:p>
    <w:p w:rsidR="00C82761" w:rsidRPr="008915C1" w:rsidRDefault="00C82761" w:rsidP="00C82761">
      <w:pPr>
        <w:pStyle w:val="Paragrafi"/>
      </w:pPr>
      <w:r w:rsidRPr="008915C1">
        <w:t>Kujtim Puto,</w:t>
      </w:r>
      <w:r w:rsidR="00B41CA3">
        <w:tab/>
      </w:r>
      <w:r w:rsidR="00B41CA3">
        <w:tab/>
      </w:r>
      <w:r w:rsidRPr="008915C1">
        <w:t xml:space="preserve">Anëtar i </w:t>
      </w:r>
      <w:r w:rsidR="00B41CA3">
        <w:tab/>
      </w:r>
      <w:r w:rsidRPr="008915C1">
        <w:t>“</w:t>
      </w:r>
      <w:r w:rsidR="00B41CA3">
        <w:t xml:space="preserve">  </w:t>
      </w:r>
      <w:r w:rsidRPr="008915C1">
        <w:t>“</w:t>
      </w:r>
    </w:p>
    <w:p w:rsidR="00C82761" w:rsidRPr="008915C1" w:rsidRDefault="00C82761" w:rsidP="00C82761">
      <w:pPr>
        <w:pStyle w:val="Paragrafi"/>
      </w:pPr>
      <w:r w:rsidRPr="008915C1">
        <w:t>Sokol Sadushi,</w:t>
      </w:r>
      <w:r w:rsidR="00B41CA3">
        <w:tab/>
      </w:r>
      <w:r w:rsidR="00B41CA3">
        <w:tab/>
      </w:r>
      <w:r w:rsidRPr="008915C1">
        <w:t xml:space="preserve">Anëtar i </w:t>
      </w:r>
      <w:r>
        <w:tab/>
      </w:r>
      <w:r w:rsidRPr="008915C1">
        <w:t>“</w:t>
      </w:r>
      <w:r w:rsidR="00B41CA3">
        <w:t xml:space="preserve">  </w:t>
      </w:r>
      <w:r w:rsidRPr="008915C1">
        <w:t>“</w:t>
      </w:r>
    </w:p>
    <w:p w:rsidR="00C82761" w:rsidRPr="008915C1" w:rsidRDefault="00C82761" w:rsidP="00C82761">
      <w:pPr>
        <w:pStyle w:val="Paragrafi"/>
      </w:pPr>
      <w:r w:rsidRPr="008915C1">
        <w:t>Kristofor Peçi,</w:t>
      </w:r>
      <w:r w:rsidR="00B41CA3">
        <w:tab/>
      </w:r>
      <w:r w:rsidR="00B41CA3">
        <w:tab/>
      </w:r>
      <w:r w:rsidRPr="008915C1">
        <w:t xml:space="preserve">Anëtar i </w:t>
      </w:r>
      <w:r>
        <w:tab/>
      </w:r>
      <w:r w:rsidRPr="008915C1">
        <w:t>“</w:t>
      </w:r>
      <w:r w:rsidR="00B41CA3">
        <w:t xml:space="preserve">  </w:t>
      </w:r>
      <w:r w:rsidRPr="008915C1">
        <w:t>“</w:t>
      </w:r>
    </w:p>
    <w:p w:rsidR="00C82761" w:rsidRPr="008915C1" w:rsidRDefault="00C82761" w:rsidP="00C82761">
      <w:pPr>
        <w:pStyle w:val="Paragrafi"/>
      </w:pPr>
    </w:p>
    <w:p w:rsidR="00C82761" w:rsidRPr="008915C1" w:rsidRDefault="00C82761" w:rsidP="00C82761">
      <w:pPr>
        <w:pStyle w:val="Paragrafi"/>
      </w:pPr>
      <w:r w:rsidRPr="008915C1">
        <w:t>me sekretare Arbenka Lalica, më datë 03.07.2000, mori në shqyrtim në seancë gjyqësore me dyer të hapura çështjen nr.45, Akti që i përket:</w:t>
      </w:r>
    </w:p>
    <w:p w:rsidR="00D22DFF" w:rsidRDefault="00D22DFF" w:rsidP="00C82761">
      <w:pPr>
        <w:pStyle w:val="Paragrafi"/>
      </w:pPr>
    </w:p>
    <w:p w:rsidR="00C82761" w:rsidRPr="008915C1" w:rsidRDefault="00C82761" w:rsidP="00C82761">
      <w:pPr>
        <w:pStyle w:val="Paragrafi"/>
      </w:pPr>
      <w:r w:rsidRPr="00D22DFF">
        <w:rPr>
          <w:b/>
        </w:rPr>
        <w:t>KËRKUES:</w:t>
      </w:r>
      <w:r w:rsidR="00D22DFF">
        <w:t xml:space="preserve"> </w:t>
      </w:r>
      <w:r w:rsidRPr="008915C1">
        <w:t>ZEF BRUNGA, i përfaqësuar nga Dino Leli, me prokurë.</w:t>
      </w:r>
    </w:p>
    <w:p w:rsidR="00C82761" w:rsidRPr="008915C1" w:rsidRDefault="00C82761" w:rsidP="00C82761">
      <w:pPr>
        <w:pStyle w:val="Paragrafi"/>
      </w:pPr>
    </w:p>
    <w:p w:rsidR="00C82761" w:rsidRPr="008915C1" w:rsidRDefault="00C82761" w:rsidP="00C82761">
      <w:pPr>
        <w:pStyle w:val="VENDOSI"/>
      </w:pPr>
      <w:r w:rsidRPr="008915C1">
        <w:t>O B J E K T I</w:t>
      </w:r>
    </w:p>
    <w:p w:rsidR="00C82761" w:rsidRPr="008915C1" w:rsidRDefault="00C82761" w:rsidP="00C82761">
      <w:pPr>
        <w:pStyle w:val="Paragrafi"/>
      </w:pPr>
    </w:p>
    <w:p w:rsidR="00C82761" w:rsidRPr="008915C1" w:rsidRDefault="00C82761" w:rsidP="00C82761">
      <w:pPr>
        <w:pStyle w:val="Paragrafi"/>
      </w:pPr>
      <w:r w:rsidRPr="008915C1">
        <w:t>Shfuqizimin si antikushtetues i vendimit nr.338, datë 12.10.1999 të Kolegjit Penal të Gjykatës së Lartë.</w:t>
      </w:r>
    </w:p>
    <w:p w:rsidR="00D22DFF" w:rsidRDefault="00D22DFF" w:rsidP="00C82761">
      <w:pPr>
        <w:pStyle w:val="Paragrafi"/>
      </w:pPr>
    </w:p>
    <w:p w:rsidR="00C82761" w:rsidRPr="008915C1" w:rsidRDefault="00C82761" w:rsidP="00C82761">
      <w:pPr>
        <w:pStyle w:val="Paragrafi"/>
      </w:pPr>
      <w:r w:rsidRPr="008915C1">
        <w:t>Kërkuesi ka parashtruar këto shkaqe për shfuqizimin e vendimit:</w:t>
      </w:r>
    </w:p>
    <w:p w:rsidR="00C82761" w:rsidRPr="008915C1" w:rsidRDefault="00C82761" w:rsidP="00C82761">
      <w:pPr>
        <w:pStyle w:val="Paragrafi"/>
      </w:pPr>
      <w:r w:rsidRPr="008915C1">
        <w:t>Gjykata e Lartë shprehet në vendim se rekursi i paraqitur nga i pandehuri nuk është nënshkruar nga mbrojtësi siç parashikohet në nenin 435/2 të Kodit të Procedurës Penale.</w:t>
      </w:r>
    </w:p>
    <w:p w:rsidR="00C82761" w:rsidRPr="008915C1" w:rsidRDefault="00C82761" w:rsidP="00C82761">
      <w:pPr>
        <w:pStyle w:val="Paragrafi"/>
      </w:pPr>
      <w:r w:rsidRPr="008915C1">
        <w:t>Ky arsyetim është alogjik dhe jo i vërtetë sepse rekursin e ka nënshkruar avokati Pjetër Brozi, i autorizuar nga ana ime me prokurë të posaçme.</w:t>
      </w:r>
    </w:p>
    <w:p w:rsidR="00C82761" w:rsidRPr="008915C1" w:rsidRDefault="00C82761" w:rsidP="00C82761">
      <w:pPr>
        <w:pStyle w:val="Paragrafi"/>
      </w:pPr>
      <w:r w:rsidRPr="008915C1">
        <w:t>Në këtë mënyrë, Gjykata e Lartë më ka hequr padrejtësisht të drejtën e ankimit të garantuar me Kushtetutë.</w:t>
      </w:r>
    </w:p>
    <w:p w:rsidR="00C82761" w:rsidRPr="008915C1" w:rsidRDefault="00C82761" w:rsidP="00C82761">
      <w:pPr>
        <w:pStyle w:val="Paragrafi"/>
      </w:pPr>
    </w:p>
    <w:p w:rsidR="00C82761" w:rsidRPr="008915C1" w:rsidRDefault="00C82761" w:rsidP="00C82761">
      <w:pPr>
        <w:pStyle w:val="VENDOSI"/>
      </w:pPr>
      <w:r w:rsidRPr="008915C1">
        <w:t>GJYKATA KUSHTETUESE</w:t>
      </w:r>
    </w:p>
    <w:p w:rsidR="00C82761" w:rsidRPr="008915C1" w:rsidRDefault="00C82761" w:rsidP="00C82761">
      <w:pPr>
        <w:pStyle w:val="Paragrafi"/>
      </w:pPr>
    </w:p>
    <w:p w:rsidR="00C82761" w:rsidRDefault="00C82761" w:rsidP="00C82761">
      <w:pPr>
        <w:pStyle w:val="Paragrafi"/>
      </w:pPr>
      <w:r w:rsidRPr="008915C1">
        <w:t>pasi dëgjoi përfaqësuesin e kërkuesit që u shpreh për pranimin e kërkesës dhe diskutoi çështjen në tërësi,</w:t>
      </w:r>
    </w:p>
    <w:p w:rsidR="00C82761" w:rsidRPr="008915C1" w:rsidRDefault="00C82761" w:rsidP="00C82761">
      <w:pPr>
        <w:pStyle w:val="Paragrafi"/>
      </w:pPr>
    </w:p>
    <w:p w:rsidR="00C82761" w:rsidRPr="008915C1" w:rsidRDefault="00C82761" w:rsidP="00C82761">
      <w:pPr>
        <w:pStyle w:val="VENDOSI"/>
      </w:pPr>
      <w:r w:rsidRPr="008915C1">
        <w:t>V Ë R E N</w:t>
      </w:r>
    </w:p>
    <w:p w:rsidR="00C82761" w:rsidRPr="008915C1" w:rsidRDefault="00C82761" w:rsidP="00D22DFF">
      <w:pPr>
        <w:pStyle w:val="Paragrafi"/>
      </w:pPr>
    </w:p>
    <w:p w:rsidR="00C82761" w:rsidRPr="008915C1" w:rsidRDefault="00C82761" w:rsidP="00C82761">
      <w:pPr>
        <w:pStyle w:val="Paragrafi"/>
      </w:pPr>
      <w:r w:rsidRPr="008915C1">
        <w:t>Shkaqet e paraqitura nga kërkuesi, ndonëse qëndrojnë nuk janë të atilla që të passjellin shfuqizimin si antikushtetues të vendimit të kolegjit penal të Gjykatës së Lartë. Është e vërtetë se ky kolegj ka gabuar kur arsyeton në vendim se rekursi nuk është nënshkruar nga mbrojtësi. Por ky nuk është i vetmi arsyetim i vendimit dhe nuk është ai që ka determinuar në mospranimin e rekursit. Ky mospranim, sipas arsyetimit të gjykatës, është bërë për faktin se rekursi i paraqitur përmban shkaqe të ndryshme nga ato të parashikuara në nenin 432 të Kodit të Procedurës Penale. Mosnënshkrimi i rekursit nga avokati është një nga shkaqet për të cilat gjykata ka vendosur mospranimin, por ai nuk është i vetmi dhe përderisa nuk janë parashtruar shkaqe nga ato të parashikuara në nenin 432 të Kodit të Procedurës Penale, vendimi i gjykatës nuk mund të preket për këtë shkak.</w:t>
      </w:r>
    </w:p>
    <w:p w:rsidR="00C82761" w:rsidRPr="008915C1" w:rsidRDefault="00C82761" w:rsidP="00C82761">
      <w:pPr>
        <w:pStyle w:val="Paragrafi"/>
      </w:pPr>
    </w:p>
    <w:p w:rsidR="00C82761" w:rsidRPr="008915C1" w:rsidRDefault="00C82761" w:rsidP="00C82761">
      <w:pPr>
        <w:pStyle w:val="VENDOSI"/>
      </w:pPr>
      <w:r w:rsidRPr="008915C1">
        <w:t>PËR KËTO ARSYE</w:t>
      </w:r>
    </w:p>
    <w:p w:rsidR="00C82761" w:rsidRPr="008915C1" w:rsidRDefault="00C82761" w:rsidP="00C82761">
      <w:pPr>
        <w:pStyle w:val="Paragrafi"/>
      </w:pPr>
    </w:p>
    <w:p w:rsidR="00C82761" w:rsidRPr="008915C1" w:rsidRDefault="00C82761" w:rsidP="00C82761">
      <w:pPr>
        <w:pStyle w:val="Paragrafi"/>
      </w:pPr>
      <w:r w:rsidRPr="008915C1">
        <w:t xml:space="preserve">Gjykata Kushtetuese e Republikës së Shqipërisë, duke u bazuar në nenet 131 dhe 134 të Kushtetutës të Republikës së Shqipërisë si dhe në nenin 72 të ligjit nr.8577, datë 10.02.2000 “Për organizimin dhe funksionimin e Gjykatës Kushtetuese të Republikës së Shqipërisë“, me shumicë </w:t>
      </w:r>
      <w:r w:rsidRPr="008915C1">
        <w:lastRenderedPageBreak/>
        <w:t>votash,</w:t>
      </w:r>
    </w:p>
    <w:p w:rsidR="009D0F0B" w:rsidRDefault="009D0F0B" w:rsidP="0049194D">
      <w:pPr>
        <w:pStyle w:val="Paragrafi"/>
      </w:pPr>
    </w:p>
    <w:p w:rsidR="00C82761" w:rsidRPr="008915C1" w:rsidRDefault="00C82761" w:rsidP="00C82761">
      <w:pPr>
        <w:pStyle w:val="VENDOSI"/>
      </w:pPr>
      <w:r w:rsidRPr="008915C1">
        <w:t>V E N D O S I:</w:t>
      </w:r>
    </w:p>
    <w:p w:rsidR="00C82761" w:rsidRPr="008915C1" w:rsidRDefault="00C82761" w:rsidP="00C82761">
      <w:pPr>
        <w:pStyle w:val="Paragrafi"/>
      </w:pPr>
    </w:p>
    <w:p w:rsidR="00C82761" w:rsidRPr="008915C1" w:rsidRDefault="00C82761" w:rsidP="00C82761">
      <w:pPr>
        <w:pStyle w:val="Paragrafi"/>
      </w:pPr>
      <w:r w:rsidRPr="008915C1">
        <w:t>Rrëzimin e kërkesës.</w:t>
      </w:r>
    </w:p>
    <w:p w:rsidR="00C82761" w:rsidRPr="008915C1" w:rsidRDefault="00C82761" w:rsidP="00C82761">
      <w:pPr>
        <w:pStyle w:val="Paragrafi"/>
      </w:pPr>
      <w:r w:rsidRPr="008915C1">
        <w:t>Ky vendim është përfundimtar, i formës së prerë dhe hyn në fuqi ditën e botimit në Fletoren Zyrtare.</w:t>
      </w:r>
    </w:p>
    <w:p w:rsidR="00C82761" w:rsidRPr="008915C1" w:rsidRDefault="00C82761" w:rsidP="00C82761">
      <w:pPr>
        <w:pStyle w:val="Paragrafi"/>
      </w:pPr>
    </w:p>
    <w:p w:rsidR="00C82761" w:rsidRPr="008915C1" w:rsidRDefault="00C82761" w:rsidP="00C82761">
      <w:pPr>
        <w:pStyle w:val="Paragrafi"/>
      </w:pPr>
      <w:r w:rsidRPr="008915C1">
        <w:t>Tiranë, më 28.07.2000</w:t>
      </w:r>
    </w:p>
    <w:p w:rsidR="00C82761" w:rsidRPr="008915C1" w:rsidRDefault="00C82761" w:rsidP="00C82761">
      <w:pPr>
        <w:pStyle w:val="Paragrafi"/>
      </w:pPr>
      <w:r w:rsidRPr="008915C1">
        <w:t>Nr.45 i Regj.Themeltar</w:t>
      </w:r>
    </w:p>
    <w:p w:rsidR="00C82761" w:rsidRPr="008915C1" w:rsidRDefault="00C82761" w:rsidP="00C82761">
      <w:pPr>
        <w:pStyle w:val="Paragrafi"/>
      </w:pPr>
      <w:r w:rsidRPr="008915C1">
        <w:t>Nr.46 i Vendimit</w:t>
      </w:r>
    </w:p>
    <w:p w:rsidR="00C82761" w:rsidRDefault="00C82761" w:rsidP="00C82761">
      <w:pPr>
        <w:pStyle w:val="Paragrafi"/>
      </w:pPr>
    </w:p>
    <w:p w:rsidR="009D0F0B" w:rsidRPr="008915C1" w:rsidRDefault="009D0F0B" w:rsidP="00C82761">
      <w:pPr>
        <w:pStyle w:val="Paragrafi"/>
      </w:pPr>
    </w:p>
    <w:p w:rsidR="00C82761" w:rsidRPr="008915C1" w:rsidRDefault="00C82761" w:rsidP="00C82761">
      <w:pPr>
        <w:pStyle w:val="TitulliTitull"/>
      </w:pPr>
      <w:r w:rsidRPr="008915C1">
        <w:t>MENDIMI I PAKICËS</w:t>
      </w:r>
    </w:p>
    <w:p w:rsidR="00C82761" w:rsidRPr="008915C1" w:rsidRDefault="00C82761" w:rsidP="00C82761">
      <w:pPr>
        <w:pStyle w:val="Paragrafi"/>
      </w:pPr>
    </w:p>
    <w:p w:rsidR="00C82761" w:rsidRPr="008915C1" w:rsidRDefault="00C82761" w:rsidP="00C82761">
      <w:pPr>
        <w:pStyle w:val="Paragrafi"/>
      </w:pPr>
      <w:r w:rsidRPr="008915C1">
        <w:t>Kërkesa për shfuqizimin si antikushtetues të vendimit nr.338, datë 12.10.1999 të kolegjit penal të Gjykatës së Lartë, duhet të ishte pranuar për këto shkaqe:</w:t>
      </w:r>
    </w:p>
    <w:p w:rsidR="00C82761" w:rsidRPr="008915C1" w:rsidRDefault="00C82761" w:rsidP="00C82761">
      <w:pPr>
        <w:pStyle w:val="Paragrafi"/>
      </w:pPr>
      <w:r w:rsidRPr="008915C1">
        <w:t xml:space="preserve">Në kundërshtim nga se arsyetohet në vendimin e shumicës, mospranimi i rekursit është bërë për shkak se, sipas kolegjit penal, ai nuk ishte nënshkruar nga mbrojtësi, pra ishin shkelur kërkesat e nenit 435/2 të Kodit të Procedurës Penale. Ky është i vetmi shkak i mospranimit dhe jo se rekursi nuk përmban shkaqe  nga ato të parashikuara në nenin 432 të Kodit të Procedurës Penale. </w:t>
      </w:r>
      <w:smartTag w:uri="urn:schemas-microsoft-com:office:smarttags" w:element="place">
        <w:r w:rsidRPr="008915C1">
          <w:t>Po</w:t>
        </w:r>
      </w:smartTag>
      <w:r w:rsidRPr="008915C1">
        <w:t xml:space="preserve"> të ishte për këtë të fundit, gjykata nuk kishte pse të përmendte shprehimisht se rekursi nuk është nënshkruar nga mbrojtësi dhe t’i referohej nenit 435/2 të Kodit të Procedurës Penale.</w:t>
      </w:r>
    </w:p>
    <w:p w:rsidR="00C82761" w:rsidRPr="008915C1" w:rsidRDefault="00C82761" w:rsidP="00C82761">
      <w:pPr>
        <w:pStyle w:val="Paragrafi"/>
      </w:pPr>
      <w:r w:rsidRPr="008915C1">
        <w:t>Gjithashtu, në pjesën hyrëse të vendimit thuhet se Zef Brunga parashtron si shkak për shfuqizimin e vendimit të Gjykatës së Apelit mosfirmosjen e rekursit nga avokati sipas nenit 435/2 të Kodit të Procedurës Penale. Paraqitja si më sipër nuk i përgjigjet realitetit, sepse rekursi i ndodhur në dosje përmban shkaqe të tjera dhe aspak mungesën e nënshkrimit, të cilën edhe po të ishte e vërtetë, i gjykuari nuk kishte arsye ta reklamonte. Në këto rrethana, vendimi është kontradiktor dhe alogjik sepse gjykata pa të drejtë i atribuon rekursit ato shkaqe, të cilat i përmend si argument në vendimin e saj, për më tepër kur ato nuk janë të vërteta.</w:t>
      </w:r>
    </w:p>
    <w:p w:rsidR="00C82761" w:rsidRPr="008915C1" w:rsidRDefault="00C82761" w:rsidP="00C82761">
      <w:pPr>
        <w:pStyle w:val="Paragrafi"/>
      </w:pPr>
      <w:r w:rsidRPr="008915C1">
        <w:t>Nga ana tjetër, gjykata e bazon vendimin në nenet 435/2 dhe 420 të Kodit të Procedurës Penale dhe jo në nenin 433 të Kodit të Procedurës Penale, që parashikon mospranimin e rekursit kur bëhet për këto të ndryshime nga ato që lejon ligji. Duke mos zbatuar këtë nen, por nenin 435/2, gjykata ka patur bindjen se nuk janë shkaqet e ndryshme, por mungesa sipas saj e nënshkrimit të mbrojtësit në rekurs.</w:t>
      </w:r>
    </w:p>
    <w:p w:rsidR="00C82761" w:rsidRPr="008915C1" w:rsidRDefault="00C82761" w:rsidP="00C82761">
      <w:pPr>
        <w:pStyle w:val="Paragrafi"/>
      </w:pPr>
      <w:r w:rsidRPr="008915C1">
        <w:t>Por, meqenëse ky shkak nuk është i vërtetë sepse rekursi është nënshkruar rregullisht nga mbrojtësi i pajisur me prokurë, gjykata pa të drejtë ka vendosur mospranimin e rekursit.</w:t>
      </w:r>
    </w:p>
    <w:p w:rsidR="00C82761" w:rsidRPr="008915C1" w:rsidRDefault="00C82761" w:rsidP="00C82761">
      <w:pPr>
        <w:pStyle w:val="Paragrafi"/>
      </w:pPr>
      <w:r w:rsidRPr="008915C1">
        <w:t>Në këtë mënyrë, është shkelur e drejta e mbrojtjes në procesin penal që është një e drejtë kushtetuese. Prandaj, vendimi i kolegjit penal të Gjykatës së Lartë, duhej të ishte shfuqizuar si antikushtetues për t’i dhënë mundësi të pandehurit të realizojë të drejtën e tij nëpërmjet një procesi të rregullt në të gjitha shkallët e gjykimit.</w:t>
      </w:r>
    </w:p>
    <w:p w:rsidR="009D0F0B" w:rsidRDefault="009D0F0B" w:rsidP="0049194D">
      <w:pPr>
        <w:pStyle w:val="Paragrafi"/>
      </w:pPr>
    </w:p>
    <w:p w:rsidR="00C82761" w:rsidRPr="008915C1" w:rsidRDefault="00C82761" w:rsidP="009D0F0B">
      <w:pPr>
        <w:pStyle w:val="Paragrafi"/>
      </w:pPr>
      <w:r w:rsidRPr="008915C1">
        <w:t>A</w:t>
      </w:r>
      <w:r w:rsidR="009D0F0B">
        <w:t>NËTAR</w:t>
      </w:r>
      <w:r w:rsidR="009D0F0B">
        <w:tab/>
      </w:r>
      <w:r w:rsidR="009D0F0B">
        <w:tab/>
      </w:r>
      <w:r w:rsidR="009D0F0B">
        <w:tab/>
      </w:r>
      <w:r w:rsidR="0049194D">
        <w:tab/>
      </w:r>
      <w:r w:rsidR="0049194D">
        <w:tab/>
      </w:r>
      <w:r w:rsidR="0049194D">
        <w:tab/>
      </w:r>
      <w:r w:rsidR="0049194D">
        <w:tab/>
      </w:r>
      <w:r w:rsidR="0049194D">
        <w:tab/>
      </w:r>
      <w:r w:rsidRPr="008915C1">
        <w:t>A</w:t>
      </w:r>
      <w:r w:rsidR="009D0F0B">
        <w:t>NËTAR</w:t>
      </w:r>
    </w:p>
    <w:p w:rsidR="00A0784B" w:rsidRPr="007732C8" w:rsidRDefault="009D0F0B" w:rsidP="0049194D">
      <w:pPr>
        <w:pStyle w:val="Paragrafi"/>
      </w:pPr>
      <w:r>
        <w:t xml:space="preserve">  </w:t>
      </w:r>
      <w:r w:rsidR="00C82761" w:rsidRPr="008915C1">
        <w:t>K.Peçi</w:t>
      </w:r>
      <w:r>
        <w:tab/>
      </w:r>
      <w:r>
        <w:tab/>
      </w:r>
      <w:r>
        <w:tab/>
      </w:r>
      <w:r w:rsidR="0049194D">
        <w:tab/>
      </w:r>
      <w:r w:rsidR="0049194D">
        <w:tab/>
      </w:r>
      <w:r w:rsidR="0049194D">
        <w:tab/>
      </w:r>
      <w:r w:rsidR="0049194D">
        <w:tab/>
      </w:r>
      <w:r w:rsidR="0049194D">
        <w:tab/>
      </w:r>
      <w:r w:rsidR="00C82761" w:rsidRPr="008915C1">
        <w:t>B.Selenica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631F4"/>
    <w:rsid w:val="00470F9C"/>
    <w:rsid w:val="0049194D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C2ABD"/>
    <w:rsid w:val="009D0F0B"/>
    <w:rsid w:val="009F72BC"/>
    <w:rsid w:val="00A0784B"/>
    <w:rsid w:val="00A246D1"/>
    <w:rsid w:val="00A923BE"/>
    <w:rsid w:val="00AA4D4B"/>
    <w:rsid w:val="00B26C38"/>
    <w:rsid w:val="00B41CA3"/>
    <w:rsid w:val="00BB5AB5"/>
    <w:rsid w:val="00BC6B73"/>
    <w:rsid w:val="00C158CF"/>
    <w:rsid w:val="00C22BA7"/>
    <w:rsid w:val="00C36B40"/>
    <w:rsid w:val="00C7710C"/>
    <w:rsid w:val="00C82761"/>
    <w:rsid w:val="00CF2E64"/>
    <w:rsid w:val="00D1319A"/>
    <w:rsid w:val="00D22DFF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AEDE07-1959-4CF3-9D81-EC0FE71FD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cp:lastModifiedBy>Inida Noga</cp:lastModifiedBy>
  <cp:revision>2</cp:revision>
  <cp:lastPrinted>2018-11-22T12:33:00Z</cp:lastPrinted>
  <dcterms:created xsi:type="dcterms:W3CDTF">2019-03-14T10:59:00Z</dcterms:created>
  <dcterms:modified xsi:type="dcterms:W3CDTF">2019-03-14T10:59:00Z</dcterms:modified>
</cp:coreProperties>
</file>