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429" w:rsidRPr="00AB4370" w:rsidRDefault="00E46429" w:rsidP="00E46429">
      <w:pPr>
        <w:pStyle w:val="Akti"/>
      </w:pPr>
      <w:bookmarkStart w:id="0" w:name="_GoBack"/>
      <w:bookmarkEnd w:id="0"/>
      <w:r w:rsidRPr="00AB4370">
        <w:t>V E N D I M</w:t>
      </w:r>
    </w:p>
    <w:p w:rsidR="00E46429" w:rsidRPr="00AB4370" w:rsidRDefault="00E46429" w:rsidP="00E46429">
      <w:pPr>
        <w:pStyle w:val="NumriData"/>
      </w:pPr>
      <w:r w:rsidRPr="00AB4370">
        <w:t>Nr.186,  datë 23.9.2002</w:t>
      </w:r>
    </w:p>
    <w:p w:rsidR="00E46429" w:rsidRPr="00AB4370" w:rsidRDefault="00E46429" w:rsidP="00E46429">
      <w:pPr>
        <w:pStyle w:val="Titulli"/>
      </w:pPr>
    </w:p>
    <w:p w:rsidR="00E46429" w:rsidRPr="00AB4370" w:rsidRDefault="00E46429" w:rsidP="00E46429">
      <w:pPr>
        <w:pStyle w:val="Titulli"/>
      </w:pPr>
      <w:r w:rsidRPr="00AB4370">
        <w:t>NË EMËR TË REPUBLIKËS SË SHQIPËRISË</w:t>
      </w:r>
    </w:p>
    <w:p w:rsidR="00E46429" w:rsidRPr="00AB4370" w:rsidRDefault="00E46429" w:rsidP="00E46429">
      <w:pPr>
        <w:pStyle w:val="Paragrafi"/>
      </w:pPr>
    </w:p>
    <w:p w:rsidR="00E46429" w:rsidRPr="00AB4370" w:rsidRDefault="00E46429" w:rsidP="00E46429">
      <w:pPr>
        <w:pStyle w:val="Paragrafi"/>
      </w:pPr>
      <w:r w:rsidRPr="00AB4370">
        <w:t>Gjykata Kushtetuese e Republikës së Shqipërisë, e përbërë nga:</w:t>
      </w:r>
    </w:p>
    <w:p w:rsidR="00E46429" w:rsidRPr="00AB4370" w:rsidRDefault="00E46429" w:rsidP="00E46429">
      <w:pPr>
        <w:pStyle w:val="Paragrafi"/>
      </w:pPr>
    </w:p>
    <w:p w:rsidR="00E46429" w:rsidRPr="00AB4370" w:rsidRDefault="00E46429" w:rsidP="00E46429">
      <w:pPr>
        <w:pStyle w:val="Paragrafi"/>
      </w:pPr>
      <w:r w:rsidRPr="00AB4370">
        <w:t>Fehmi Abdiu</w:t>
      </w:r>
      <w:r>
        <w:tab/>
      </w:r>
      <w:r>
        <w:tab/>
      </w:r>
      <w:r w:rsidRPr="00AB4370">
        <w:t>Kryetar  i Gjykatës Kushtetuese</w:t>
      </w:r>
    </w:p>
    <w:p w:rsidR="00E46429" w:rsidRPr="00AB4370" w:rsidRDefault="00E46429" w:rsidP="00E46429">
      <w:pPr>
        <w:pStyle w:val="Paragrafi"/>
      </w:pPr>
      <w:r w:rsidRPr="00AB4370">
        <w:t>Zija Vuci</w:t>
      </w:r>
      <w:r>
        <w:tab/>
      </w:r>
      <w:r>
        <w:tab/>
      </w:r>
      <w:r w:rsidRPr="00AB4370">
        <w:t xml:space="preserve">Anëtar   i </w:t>
      </w:r>
      <w:r>
        <w:tab/>
      </w:r>
      <w:r w:rsidRPr="00AB4370">
        <w:t>““</w:t>
      </w:r>
    </w:p>
    <w:p w:rsidR="00E46429" w:rsidRPr="00AB4370" w:rsidRDefault="00E46429" w:rsidP="00E46429">
      <w:pPr>
        <w:pStyle w:val="Paragrafi"/>
      </w:pPr>
      <w:r w:rsidRPr="00AB4370">
        <w:t>Gjergj Sauli</w:t>
      </w:r>
      <w:r>
        <w:tab/>
      </w:r>
      <w:r>
        <w:tab/>
      </w:r>
      <w:r w:rsidRPr="00AB4370">
        <w:t xml:space="preserve">Anëtar   i      </w:t>
      </w:r>
      <w:r>
        <w:tab/>
      </w:r>
      <w:r w:rsidRPr="00AB4370">
        <w:t>““</w:t>
      </w:r>
    </w:p>
    <w:p w:rsidR="00E46429" w:rsidRPr="00AB4370" w:rsidRDefault="00E46429" w:rsidP="00E46429">
      <w:pPr>
        <w:pStyle w:val="Paragrafi"/>
      </w:pPr>
      <w:r w:rsidRPr="00AB4370">
        <w:t>Kristofor Peçi</w:t>
      </w:r>
      <w:r>
        <w:tab/>
      </w:r>
      <w:r>
        <w:tab/>
      </w:r>
      <w:r w:rsidRPr="00AB4370">
        <w:t>Anëtar   i</w:t>
      </w:r>
      <w:r>
        <w:tab/>
      </w:r>
      <w:r w:rsidRPr="00AB4370">
        <w:t>““</w:t>
      </w:r>
    </w:p>
    <w:p w:rsidR="00E46429" w:rsidRPr="00AB4370" w:rsidRDefault="00E46429" w:rsidP="00E46429">
      <w:pPr>
        <w:pStyle w:val="Paragrafi"/>
      </w:pPr>
      <w:r w:rsidRPr="00AB4370">
        <w:t>Kujtim Puto</w:t>
      </w:r>
      <w:r>
        <w:tab/>
      </w:r>
      <w:r>
        <w:tab/>
      </w:r>
      <w:r w:rsidRPr="00AB4370">
        <w:t>Anëtar   i</w:t>
      </w:r>
      <w:r>
        <w:tab/>
      </w:r>
      <w:r w:rsidRPr="00AB4370">
        <w:t>““</w:t>
      </w:r>
    </w:p>
    <w:p w:rsidR="00E46429" w:rsidRPr="00AB4370" w:rsidRDefault="00E46429" w:rsidP="00E46429">
      <w:pPr>
        <w:pStyle w:val="Paragrafi"/>
      </w:pPr>
      <w:r w:rsidRPr="00AB4370">
        <w:t>Petrit Plloçi</w:t>
      </w:r>
      <w:r>
        <w:tab/>
      </w:r>
      <w:r>
        <w:tab/>
      </w:r>
      <w:r w:rsidRPr="00AB4370">
        <w:t>Anëtar   i</w:t>
      </w:r>
      <w:r>
        <w:tab/>
      </w:r>
      <w:r w:rsidRPr="00AB4370">
        <w:t>““</w:t>
      </w:r>
    </w:p>
    <w:p w:rsidR="00E46429" w:rsidRPr="00AB4370" w:rsidRDefault="00E46429" w:rsidP="00E46429">
      <w:pPr>
        <w:pStyle w:val="Paragrafi"/>
      </w:pPr>
      <w:r w:rsidRPr="00AB4370">
        <w:t>Sokol Sadushi</w:t>
      </w:r>
      <w:r>
        <w:tab/>
      </w:r>
      <w:r>
        <w:tab/>
      </w:r>
      <w:r w:rsidRPr="00AB4370">
        <w:t>Anëtar   i</w:t>
      </w:r>
      <w:r>
        <w:tab/>
      </w:r>
      <w:r w:rsidRPr="00AB4370">
        <w:t>““</w:t>
      </w:r>
    </w:p>
    <w:p w:rsidR="00E46429" w:rsidRPr="00AB4370" w:rsidRDefault="00E46429" w:rsidP="00E46429">
      <w:pPr>
        <w:pStyle w:val="Paragrafi"/>
      </w:pPr>
      <w:r w:rsidRPr="00AB4370">
        <w:t>Alfred Karamuço</w:t>
      </w:r>
      <w:r>
        <w:tab/>
      </w:r>
      <w:r w:rsidRPr="00AB4370">
        <w:t>Anëtar   i</w:t>
      </w:r>
      <w:r>
        <w:tab/>
      </w:r>
      <w:r w:rsidRPr="00AB4370">
        <w:t>““</w:t>
      </w:r>
    </w:p>
    <w:p w:rsidR="00E46429" w:rsidRPr="00AB4370" w:rsidRDefault="00E46429" w:rsidP="00E46429">
      <w:pPr>
        <w:pStyle w:val="Paragrafi"/>
      </w:pPr>
    </w:p>
    <w:p w:rsidR="00E46429" w:rsidRPr="00AB4370" w:rsidRDefault="00E46429" w:rsidP="00E46429">
      <w:pPr>
        <w:pStyle w:val="Paragrafi"/>
      </w:pPr>
      <w:r w:rsidRPr="00AB4370">
        <w:t>me sekretare Arbenka Lalica, në datat 28.5.2002 dhe 13.6.2002, mori në shqyrtim në seancë gjyqësore me dyer të hapura çështjen nr.112 Akti që i përket:</w:t>
      </w:r>
    </w:p>
    <w:p w:rsidR="00E46429" w:rsidRPr="00AB4370" w:rsidRDefault="00E46429" w:rsidP="00E46429">
      <w:pPr>
        <w:pStyle w:val="Paragrafi"/>
      </w:pPr>
    </w:p>
    <w:p w:rsidR="00E46429" w:rsidRPr="00AB4370" w:rsidRDefault="00E46429" w:rsidP="00E46429">
      <w:pPr>
        <w:pStyle w:val="Paragrafi"/>
      </w:pPr>
      <w:r w:rsidRPr="00AB4370">
        <w:t>KËRKUES: KRYEMINISTRI I REPUBLIKËS SË SHQIPËRISË, përfaqësuar nga Suela Ibrahimi, Blerta Kraja e Alban Brati, me autorizim.</w:t>
      </w:r>
    </w:p>
    <w:p w:rsidR="00E46429" w:rsidRPr="00AB4370" w:rsidRDefault="00E46429" w:rsidP="00E46429">
      <w:pPr>
        <w:pStyle w:val="Paragrafi"/>
      </w:pPr>
      <w:r w:rsidRPr="00AB4370">
        <w:t xml:space="preserve">SUBJEKTE TË INTERESUARA: </w:t>
      </w:r>
    </w:p>
    <w:p w:rsidR="00E46429" w:rsidRPr="00AB4370" w:rsidRDefault="00E46429" w:rsidP="00E46429">
      <w:pPr>
        <w:pStyle w:val="Paragrafi"/>
      </w:pPr>
      <w:r w:rsidRPr="00AB4370">
        <w:t xml:space="preserve">1. PRESIDENTI I REPUBLIKËS, përfaqësuar nga këshilltari juridik zoti Artur Metani, me autorizim.  </w:t>
      </w:r>
    </w:p>
    <w:p w:rsidR="00E46429" w:rsidRPr="00AB4370" w:rsidRDefault="00E46429" w:rsidP="00E46429">
      <w:pPr>
        <w:pStyle w:val="Paragrafi"/>
      </w:pPr>
      <w:r w:rsidRPr="00AB4370">
        <w:t>2. KUVENDI I SHQIPËRISË, në mungesë.</w:t>
      </w:r>
    </w:p>
    <w:p w:rsidR="00E46429" w:rsidRPr="00AB4370" w:rsidRDefault="00E46429" w:rsidP="00E46429">
      <w:pPr>
        <w:pStyle w:val="Paragrafi"/>
      </w:pPr>
      <w:r w:rsidRPr="00AB4370">
        <w:t>OBJEKTI:Pajtueshmëria me Kushtetutën e Republikës së Shqipërisë i “Statutit të Romës” për Gjykatën Ndërkombëtare Penale.</w:t>
      </w:r>
    </w:p>
    <w:p w:rsidR="00E46429" w:rsidRPr="00AB4370" w:rsidRDefault="00E46429" w:rsidP="00E46429">
      <w:pPr>
        <w:pStyle w:val="Paragrafi"/>
      </w:pPr>
      <w:r w:rsidRPr="00AB4370">
        <w:t>BAZA LIGJORE:Neni 131 shkronja “b” e Kushtetutës.</w:t>
      </w:r>
    </w:p>
    <w:p w:rsidR="00E46429" w:rsidRPr="00AB4370" w:rsidRDefault="00E46429" w:rsidP="00E46429">
      <w:pPr>
        <w:pStyle w:val="Paragrafi"/>
      </w:pPr>
    </w:p>
    <w:p w:rsidR="00E46429" w:rsidRPr="00AB4370" w:rsidRDefault="00E46429" w:rsidP="00E46429">
      <w:pPr>
        <w:pStyle w:val="Paragrafi"/>
      </w:pPr>
      <w:r w:rsidRPr="00AB4370">
        <w:t>Në kërkesën drejtuar Gjykatës Kushtetuese, Kryeministri parashtron se përpara se të paraqesë Traktatin për ratifikim në Kuvendin e Shqipërisë, e sheh të nevojshme shqyrtimin e tij për të vendosur lidhur me pajtueshmërinë me Kushtetutën.</w:t>
      </w:r>
    </w:p>
    <w:p w:rsidR="00E46429" w:rsidRPr="00AB4370" w:rsidRDefault="00E46429" w:rsidP="00E46429">
      <w:pPr>
        <w:pStyle w:val="Paragrafi"/>
      </w:pPr>
      <w:r w:rsidRPr="00AB4370">
        <w:t>Në seancën gjyqësore, përfaqësuesit e kërkuesit kanë shtruar për diskutim si çështje të veçanta ato që kanë të bëjnë me: transferimin e kompetencave të pushtetit gjyqësor në organizma ndërkombëtarë; mosmarrjen parasysh nga Gjykata Ndërkombëtare Penale e imunitetit nga procedimi penal, që e drejta kombëtare parashikon për një sërë subjektesh; moszbatimi për raste të caktuara nga Gjykata Ndërkombëtare Penale i parimit “ne bis in idem” (mosgjykimi dy herë për të njëjtën akuzë).</w:t>
      </w:r>
    </w:p>
    <w:p w:rsidR="00E46429" w:rsidRPr="00AB4370" w:rsidRDefault="00E46429" w:rsidP="00E46429">
      <w:pPr>
        <w:pStyle w:val="Paragrafi"/>
      </w:pPr>
    </w:p>
    <w:p w:rsidR="00E46429" w:rsidRPr="00AB4370" w:rsidRDefault="00E46429" w:rsidP="00E46429">
      <w:pPr>
        <w:pStyle w:val="VENDOSI"/>
      </w:pPr>
      <w:r w:rsidRPr="00AB4370">
        <w:t>GJYKATA KUSHTETUESE,</w:t>
      </w:r>
    </w:p>
    <w:p w:rsidR="00E46429" w:rsidRPr="00AB4370" w:rsidRDefault="00E46429" w:rsidP="00E46429">
      <w:pPr>
        <w:pStyle w:val="Paragrafi"/>
      </w:pPr>
    </w:p>
    <w:p w:rsidR="00E46429" w:rsidRPr="00AB4370" w:rsidRDefault="00E46429" w:rsidP="00E46429">
      <w:pPr>
        <w:pStyle w:val="Paragrafi"/>
      </w:pPr>
      <w:r w:rsidRPr="00AB4370">
        <w:t xml:space="preserve">pasi dëgjoi relatorin e çështjes Alfred Karamuço, përfaqësuesit e kërkuesit, të subjektit të interesuar dhe shqyrtoi e analizoi çështjen në tërësi, </w:t>
      </w:r>
    </w:p>
    <w:p w:rsidR="00E46429" w:rsidRPr="00AB4370" w:rsidRDefault="00E46429" w:rsidP="00E46429">
      <w:pPr>
        <w:pStyle w:val="Paragrafi"/>
      </w:pPr>
    </w:p>
    <w:p w:rsidR="00E46429" w:rsidRPr="00AB4370" w:rsidRDefault="00E46429" w:rsidP="00E46429">
      <w:pPr>
        <w:pStyle w:val="VENDOSI"/>
      </w:pPr>
      <w:r w:rsidRPr="00AB4370">
        <w:t>V Ë R E N:</w:t>
      </w:r>
    </w:p>
    <w:p w:rsidR="00E46429" w:rsidRPr="00AB4370" w:rsidRDefault="00E46429" w:rsidP="00E46429">
      <w:pPr>
        <w:pStyle w:val="Paragrafi"/>
      </w:pPr>
    </w:p>
    <w:p w:rsidR="00E46429" w:rsidRPr="00AB4370" w:rsidRDefault="00E46429" w:rsidP="00E46429">
      <w:pPr>
        <w:pStyle w:val="Paragrafi"/>
      </w:pPr>
      <w:r w:rsidRPr="00AB4370">
        <w:t>Gjykata Ndërkombëtare Penale (më poshtë GjNP) e krijuar me Traktatin e Romës të datës 18 korrik 1998 është një organizëm i rëndësishëm ndërkombëtar në ruajtjen dhe respektimin e të drejtave të njeriut nëpërmjet ndëshkimit penal të akteve barbare kundër qenieve njerëzore si genocidi, krimet kundër njerëzimit, krimet e luftës dhe agresioni.</w:t>
      </w:r>
    </w:p>
    <w:p w:rsidR="00E46429" w:rsidRPr="00AB4370" w:rsidRDefault="00E46429" w:rsidP="00E46429">
      <w:pPr>
        <w:pStyle w:val="Paragrafi"/>
      </w:pPr>
      <w:r w:rsidRPr="00AB4370">
        <w:t>Gjatë shqyrtimit të statutit të GjNP-së, Gjykata Kushtetuese, konstaton se ai paraqitet si një tërësi dispozitash me karakter penal, procedural penal dhe administrativo-organizativ, duke i paraprirë me një preambul ku shpallen në mënyrë të sintetizuar qëllimi, fizionomia e këtij organi e detyrat e tij themelore në fuqizimin e vazhdueshëm të drejtësisë ndërkombëtare.</w:t>
      </w:r>
    </w:p>
    <w:p w:rsidR="00E46429" w:rsidRPr="00AB4370" w:rsidRDefault="00E46429" w:rsidP="00E46429">
      <w:pPr>
        <w:pStyle w:val="Paragrafi"/>
      </w:pPr>
      <w:r w:rsidRPr="00AB4370">
        <w:t xml:space="preserve">Sipas statutit, GJNP-ja ushtron funksionet dhe kompetencat e veta në territorin e shteteve palë. Veprimtaria e saj paraqitet si plotësues i juridiksioneve penale kombëtare në ushtrimin e ndjekjeve </w:t>
      </w:r>
      <w:r w:rsidRPr="00AB4370">
        <w:lastRenderedPageBreak/>
        <w:t>penale ndaj personeve fizikë që kryejnë krime të rënda që cenojnë të gjithë komunitetin ndërkombëtar dhe që mund të rrezikojnë paqen, sigurinë dhe mirëqenien e njerëzimit.</w:t>
      </w:r>
    </w:p>
    <w:p w:rsidR="00E46429" w:rsidRPr="00AB4370" w:rsidRDefault="00E46429" w:rsidP="00E46429">
      <w:pPr>
        <w:pStyle w:val="Paragrafi"/>
      </w:pPr>
      <w:r w:rsidRPr="00AB4370">
        <w:t xml:space="preserve">Në bazë të nenit 13 të Statutit, Këshilli i Sigurimit i OKB-së, duke vepruar në bazë të Kartës, ka të drejtë t’i paraqesë prokurorit pranë GjNP-së, kërkesë për fillimin e ndjekjeve penale kur ka të dhëna për kryerjen e krimeve në kompetencë të Gjykatës. </w:t>
      </w:r>
      <w:smartTag w:uri="urn:schemas-microsoft-com:office:smarttags" w:element="place">
        <w:r w:rsidRPr="00AB4370">
          <w:t>Po</w:t>
        </w:r>
      </w:smartTag>
      <w:r w:rsidRPr="00AB4370">
        <w:t xml:space="preserve"> sipas kësaj dispozite, këtë të drejtë e ka edhe shteti përkatës, si dhe vetë prokurori i Gjykatës kryesisht. </w:t>
      </w:r>
    </w:p>
    <w:p w:rsidR="00E46429" w:rsidRPr="00AB4370" w:rsidRDefault="00E46429" w:rsidP="00E46429">
      <w:pPr>
        <w:pStyle w:val="Paragrafi"/>
      </w:pPr>
      <w:r w:rsidRPr="00AB4370">
        <w:t>Gjykata Kushtetuese konstaton se sipas Statutit, në fazën e hetimit të çështjeve ka kompetenca të gjera kolegji i shqyrtimit paraprak, i cili mbi kërkesën e prokurorit mund të vendosë për masa kufizuese ndaj personit deri në privimin e lirisë, nxjerrjen e urdhrit të arrestit ose urdhrit për paraqitje, mbledhjen, shqyrtimin dhe verifikimin e të dhënave që mund të përbëjnë provë. Kolegji i shqyrtimit paraprak, sipas Statutit, ka të drejtë që nëpërmjet zhvillimit të një seance gjyqësore në prani të prokurorit dhe të personit përkatës, të sigurohet nëse ekzistojnë prova të mjaftueshme që japin arsye serioze për të besuar se personi ka kryer secilin nga krimet që atij i ngarkohet. Në mungesë të provave të tilla, kolegji ose nuk konfirmon akuzat ose urdhëron kryerjen e veprimeve të tjera hetimore.</w:t>
      </w:r>
    </w:p>
    <w:p w:rsidR="00E46429" w:rsidRPr="00AB4370" w:rsidRDefault="00E46429" w:rsidP="00E46429">
      <w:pPr>
        <w:pStyle w:val="Paragrafi"/>
      </w:pPr>
      <w:r w:rsidRPr="00AB4370">
        <w:t xml:space="preserve">Në lidhje me gjykimin, Statuti parashikon shqyrtimin e çështjes në kolegjin e shkallës së parë, i cili nëse vërteton fajësinë cakton edhe dënimin që mund të jetë deri në tridhjetë vjet heqje lirie ose burgim i përjetshëm, si dhe dënime plotësuese (neni 77 i Statutit). Vendimi apelohet në Kolegjin e Apelit, i cili ka në kompetencë shfuqizimin ose ndryshimin e vendimit si dhe urdhërimin për rishqyrtim të çështjes në shkallë të parë nga një kolegj tjetër. </w:t>
      </w:r>
    </w:p>
    <w:p w:rsidR="00E46429" w:rsidRPr="00AB4370" w:rsidRDefault="00E46429" w:rsidP="00E46429">
      <w:pPr>
        <w:pStyle w:val="Paragrafi"/>
      </w:pPr>
      <w:r w:rsidRPr="00AB4370">
        <w:t>Në lidhje me ekzekutimin e vendimeve, Statuti parashikon se ai kryhet në një nga shtetet e listës së shteteve që janë deklaruar të gatshëm të trajtojnë të dënuarit. Ekzekutimi i dënimeve me burgim kontrollohet nga vetë gjykata.</w:t>
      </w:r>
    </w:p>
    <w:p w:rsidR="00E46429" w:rsidRPr="00AB4370" w:rsidRDefault="00E46429" w:rsidP="00E46429">
      <w:pPr>
        <w:pStyle w:val="Paragrafi"/>
      </w:pPr>
      <w:r w:rsidRPr="00AB4370">
        <w:t>Duke respektuar të drejtat sovrane të çdo shteti për të nënshkruar Statutin, për ta ratifikuar atë, si dhe heqjen dorë prej tij, vetë teksti i Statutit parashikon se procedurave të parashikuara në Statut i nënshtrohen vetëm shtetasit e shteteve që kanë nënshkruar e ratifikuar Statutin; se për secilin shtet, hyrja në fuqi e Statutit bëhet me kalimin e 60 ditëve nga data e depozitimit të instrumenteve të ratifikimit; se çdo shtet ka të drejtë të tërhiqet nga Statuti, por tërheqja kursesi nuk ka fuqi prapavepruese për sa i përket krimeve të ndodhura para tërheqjes (nenet 125, 126 dhe 127).</w:t>
      </w:r>
    </w:p>
    <w:p w:rsidR="00E46429" w:rsidRPr="00AB4370" w:rsidRDefault="00E46429" w:rsidP="00E46429">
      <w:pPr>
        <w:pStyle w:val="Paragrafi"/>
      </w:pPr>
      <w:r w:rsidRPr="00AB4370">
        <w:t>Në veçanti, Gjykata Kushtetuese konstaton se parimet themelore për mbrojtjen e të drejtave dhe lirive themelore të njeriut, të sanksionuara dhe të garantuara edhe nga Kushtetuta e Republikës së Shqipërisë, si: prezumimi i pafajsisë; ai i “nullum crimen sine lege” (nuk ka krim pa ligj); “nullum poena sine lege” (nuk ka dënim pa ligj); i ndalimit të fuqisë prapavepruese; i të drejtës së mbrojtjes me një avokat; i pavarësisë së gjyqtarëve; i paraqitjes para gjykatës para arrestimit apo e drejta e apelimit të vendimit, janë të garantuara edhe nga Statuti.</w:t>
      </w:r>
    </w:p>
    <w:p w:rsidR="00E46429" w:rsidRPr="00AB4370" w:rsidRDefault="00E46429" w:rsidP="00E46429">
      <w:pPr>
        <w:pStyle w:val="Paragrafi"/>
      </w:pPr>
      <w:r w:rsidRPr="00AB4370">
        <w:t>Nga ana tjetër, Statuti parashikon që krimet brenda juridiksionit të gjykatës nuk kushtëzohen nga tërësia e kufizimeve, gjë që ka të bëjë veçanërisht me faktin se krimet që janë në kompetencë të gjykatës, nuk parashkruhen dhe se asnjë parim me vlerë kushtetuese nuk mund të ndalojë mosparashkrimin e krimeve më të rënda që prekin tërë komunitetin ndërkombëtar.</w:t>
      </w:r>
    </w:p>
    <w:p w:rsidR="00E46429" w:rsidRPr="00AB4370" w:rsidRDefault="00E46429" w:rsidP="00E46429">
      <w:pPr>
        <w:pStyle w:val="Paragrafi"/>
      </w:pPr>
      <w:r w:rsidRPr="00AB4370">
        <w:t xml:space="preserve">Një disponim i tillë harmonizohet me qëndrimin e mbajtur nga një sërë dokumentesh ndërkombëtare e sidomos “Konventa mbi mosparashkrimin e krimeve të luftës dhe krimeve kundër njerëzimit”, miratuar nga Asambleja e Përgjithshme e OKB-së më 26.11.1961; Rezuluta e Asamblesë së Përgjithshme e datës 3.12.1973 “Parimet e bashkëpunimit ndërkombëtar lidhur me zbulimin, arrestimin, ekstradimin dhe ndëshkimin e individëve fajtorë për krime lufte dhe krime kundër njerëzimit”. Këtë qëndrim mban edhe legjislacioni kombëtar shqiptar. </w:t>
      </w:r>
    </w:p>
    <w:p w:rsidR="00E46429" w:rsidRPr="00AB4370" w:rsidRDefault="00E46429" w:rsidP="00E46429">
      <w:pPr>
        <w:pStyle w:val="Paragrafi"/>
      </w:pPr>
    </w:p>
    <w:p w:rsidR="00E46429" w:rsidRPr="00AB4370" w:rsidRDefault="00E46429" w:rsidP="00E46429">
      <w:pPr>
        <w:pStyle w:val="Paragrafi"/>
      </w:pPr>
      <w:r w:rsidRPr="00AB4370">
        <w:t>Gjykata Kushtetuese e sheh të domosdoshme të ndalet më hollësisht në disa probleme me rëndësi të posaçme, të cilat u rilevuan edhe nga palët gjatë gjykimit të çështjes, kanë rëndësi për doktrinën dhe kanë shkaktuar debate në parlamentet e gjykatat kushtetuese të një numri vendesh.</w:t>
      </w:r>
    </w:p>
    <w:p w:rsidR="00E46429" w:rsidRPr="00AB4370" w:rsidRDefault="00E46429" w:rsidP="00E46429">
      <w:pPr>
        <w:pStyle w:val="Paragrafi"/>
      </w:pPr>
      <w:r w:rsidRPr="00AB4370">
        <w:t>I. Juridiksioni i GJNP-së në raport me konceptet kushtetuese të sovranitetit</w:t>
      </w:r>
    </w:p>
    <w:p w:rsidR="00E46429" w:rsidRPr="00AB4370" w:rsidRDefault="00E46429" w:rsidP="00E46429">
      <w:pPr>
        <w:pStyle w:val="Paragrafi"/>
      </w:pPr>
      <w:r w:rsidRPr="00AB4370">
        <w:t>Në marrëdhëniet e sotme ndërkombëtare ku ndër synimet themelore mbetet integrimi, transferimi në favor të disa organizmave të posaçme në rang botëror apo rajonal i disa kompetencave, të cilat normalisht ushtrohen nga vetë shtetet, tashmë është një realitet. Në këtë drejtim, nuk bëjnë përjashtim edhe kompetencat në fushën gjyqësore.</w:t>
      </w:r>
    </w:p>
    <w:p w:rsidR="00E46429" w:rsidRPr="00AB4370" w:rsidRDefault="00E46429" w:rsidP="00E46429">
      <w:pPr>
        <w:pStyle w:val="Paragrafi"/>
      </w:pPr>
      <w:r w:rsidRPr="00AB4370">
        <w:t xml:space="preserve">E konceptuar si një akt bashkëkohor që i hap udhë integrimit, Kushtetuta jonë si në frymë, ashtu edhe në përmbajtje, krijon hapësira për transferim të kompetencave kur kjo bëhet në dobi të </w:t>
      </w:r>
      <w:r w:rsidRPr="00AB4370">
        <w:lastRenderedPageBreak/>
        <w:t>paqes, të demokracisë, prosperitetit dhe, gjithmonë, nëpërmjet marrëveshjeve bilaterale apo multilaterale, ku vendi ynë paraqitet si vend sovran me të gjitha atributet që i jep një status i tillë.</w:t>
      </w:r>
    </w:p>
    <w:p w:rsidR="00E46429" w:rsidRPr="00AB4370" w:rsidRDefault="00E46429" w:rsidP="00E46429">
      <w:pPr>
        <w:pStyle w:val="Paragrafi"/>
      </w:pPr>
      <w:r w:rsidRPr="00AB4370">
        <w:t xml:space="preserve"> Në preambulën e saj, Kushtetuta e Republikës së Shqipërisë, pranon si vlerat më të larta të njerëzimit drejtësinë, paqen harmoninë dhe bashkëpunimin ndërmjet kombeve. Në nenin 2 të saj, duke saksionuar sovranitetin si parim themelor të ekzistencës së shtetit, Kushtetuta në funksion të frymës së preambulës dhe të të gjithë përmbajtjes së saj, sanksionon: “Për ruajtjen e paqes dhe të interesave kombëtarë Republika e Shqipërisë mund të marrë pjesë në një sistem sigurimi kolektiv, në bazë të një ligji të miratuar me shumicën e të gjithë anëtarëve të Kuvendit”. Kjo dispozitë pasohet në funksion të delegimit të kompetencave shtetërore si formë e delegimit të të drejtave të sovranitetit me nenin 123, i cili në paragrafin e parë sanksionon: “Republika e Shqipërisë, në bazë të marrëveshjeve ndërkombëtare u delegon organizatave ndërkombëtare kompetenca shtetërore për çështje të caktuara”. Këto dispozita përmbajnë parime themelore në përshtatje me realitetet e reja, të cilat Shqipëria ka kohë që i njeh “de facto”. Ato janë një nga “elementet më të fuqishëm integrues dhe nuk mund të shihen si mohim i sovranitetit të popullit”. </w:t>
      </w:r>
      <w:r w:rsidRPr="00AB4370">
        <w:footnoteReference w:id="1"/>
      </w:r>
      <w:r w:rsidRPr="00AB4370">
        <w:t xml:space="preserve"> Për më tepër, në Kushtetutën e Republikës së Shqipërisë, në rendin e brendshëm juridik, pranohen edhe marrëveshjet ndërkombëtare të ratifikuara, të cilat kanë epërsi ndaj ligjeve të vendit (neni 122 i Kushtetutës).</w:t>
      </w:r>
    </w:p>
    <w:p w:rsidR="00E46429" w:rsidRPr="00AB4370" w:rsidRDefault="00E46429" w:rsidP="00E46429">
      <w:pPr>
        <w:pStyle w:val="Paragrafi"/>
      </w:pPr>
      <w:r w:rsidRPr="00AB4370">
        <w:t>Në këtë rafsh kushtetues, Gjykata Kushtetuese duke shqyrtuar Statutin e GJNP-së, arrin në konkluzionin se veprimtaria dhe funksionet e saj nuk cenojnë dispozitat tona kushtetuese përsa i përket ushtrimit të sovranitetit. Mundësia për të kontraktuar angazhime kushtetuese ndërkombëtare në një fushë të tillë të rëndësishme si ajo e drejtësisë penale, përbën një atribut të ushtrimit të sovranitetit të shtetit.</w:t>
      </w:r>
    </w:p>
    <w:p w:rsidR="00E46429" w:rsidRPr="00AB4370" w:rsidRDefault="00E46429" w:rsidP="00E46429">
      <w:pPr>
        <w:pStyle w:val="Paragrafi"/>
      </w:pPr>
      <w:r w:rsidRPr="00AB4370">
        <w:t xml:space="preserve">Sipas Statutit, funksioni i GJNP-së është komplementar ndaj juridiksionit penal </w:t>
      </w:r>
      <w:smartTag w:uri="urn:schemas-microsoft-com:office:smarttags" w:element="country-region">
        <w:smartTag w:uri="urn:schemas-microsoft-com:office:smarttags" w:element="place">
          <w:r w:rsidRPr="00AB4370">
            <w:t>vendas</w:t>
          </w:r>
        </w:smartTag>
      </w:smartTag>
      <w:r w:rsidRPr="00AB4370">
        <w:t xml:space="preserve">, ç’ka do të thotë se ajo, (GJNP), vihet në lëvizje për gjykimin e krimeve të caktuara kur shteti palë në Traktat vërtetohet se nuk paraqet vullnet për t’i gjykuar ato, ose kur shteti e bën atë formalisht. </w:t>
      </w:r>
    </w:p>
    <w:p w:rsidR="00E46429" w:rsidRPr="00AB4370" w:rsidRDefault="00E46429" w:rsidP="00E46429">
      <w:pPr>
        <w:pStyle w:val="Paragrafi"/>
      </w:pPr>
      <w:r w:rsidRPr="00AB4370">
        <w:t xml:space="preserve">Funksioni komplementar i GJNP-së ndaj juridiksionit gjyqësor penal </w:t>
      </w:r>
      <w:smartTag w:uri="urn:schemas-microsoft-com:office:smarttags" w:element="country-region">
        <w:smartTag w:uri="urn:schemas-microsoft-com:office:smarttags" w:element="place">
          <w:r w:rsidRPr="00AB4370">
            <w:t>vendas</w:t>
          </w:r>
        </w:smartTag>
      </w:smartTag>
      <w:r w:rsidRPr="00AB4370">
        <w:t xml:space="preserve">, apo edhe vendosja e dispozitave të Statutit në rendin e brendshëm juridik, nuk vijnë ndesh me Kushtetutën e konkretisht, me nenin 135 ku përcaktohen rigorozisht organet e pushtetit gjyqësor në Shqipëri të krijuara me ligj, dhe ku përjashtohet në mënyrë kategorike krijimi i gjykatave të jashtëzakonshme. Nga vetë përmbajtja e Statutit, </w:t>
      </w:r>
      <w:smartTag w:uri="urn:schemas-microsoft-com:office:smarttags" w:element="State">
        <w:smartTag w:uri="urn:schemas-microsoft-com:office:smarttags" w:element="place">
          <w:r w:rsidRPr="00AB4370">
            <w:t>del</w:t>
          </w:r>
        </w:smartTag>
      </w:smartTag>
      <w:r w:rsidRPr="00AB4370">
        <w:t xml:space="preserve"> qartë se këtu nuk bëhet fjalë për një organizëm kombëtar e as për një gjykatë të jashtëzakonshme. GJNP-ja nga natyra e saj është një institucion gjyqësor legal dhe ndërkombëtar, i krijuar me vullnet të lirë të shteteve sovrane palë në Statut, dispozitat e të cilit bazohen mbi parimin e respektimit të të drejtave dhe lirive të njeriut.</w:t>
      </w:r>
    </w:p>
    <w:p w:rsidR="00E46429" w:rsidRPr="00AB4370" w:rsidRDefault="00E46429" w:rsidP="00E46429">
      <w:pPr>
        <w:pStyle w:val="Paragrafi"/>
      </w:pPr>
      <w:r w:rsidRPr="00AB4370">
        <w:t xml:space="preserve">Duke iu referuar raporteve të sovranitetit me pranimin e juridiksionit të GJNP-së, Gjykata Kushtetuese çmon se ka rëndësi të posaçme problemi i vëllimit të kompetencave të transferuara. Më konkretisht, problemi shtrohet se deri ku mund të shtrihet ky transferim i kompetencave (i lejuar posaçërisht nga neni 123 i Kushtetutës). </w:t>
      </w:r>
    </w:p>
    <w:p w:rsidR="00E46429" w:rsidRPr="00AB4370" w:rsidRDefault="00E46429" w:rsidP="00E46429">
      <w:pPr>
        <w:pStyle w:val="Paragrafi"/>
      </w:pPr>
      <w:r w:rsidRPr="00AB4370">
        <w:t xml:space="preserve">Përgjigja e kësaj pyetje del në radhë të parë nga vetë fryma e Kushtetutës, por më të konkretizuar e gjejmë në jurisprudencën kushtetuese ndërkombëtare sipas së cilës, “…transferimi i të drejtave të sovranitetit i ka kufijtë atje ku identiteti kushtetues i shtetit fillon të vihet në diskutim…” </w:t>
      </w:r>
      <w:r w:rsidRPr="00AB4370">
        <w:footnoteReference w:id="2"/>
      </w:r>
      <w:r w:rsidRPr="00AB4370">
        <w:t>, ose se “…kufiri i transferimit të të drejtave qëndron deri atje ku ky transferim çon në shkeljen e kushteve themelore për ushtrimin e sovranitetit kombëtar”</w:t>
      </w:r>
      <w:r w:rsidRPr="00AB4370">
        <w:footnoteReference w:id="3"/>
      </w:r>
      <w:r w:rsidRPr="00AB4370">
        <w:t>.</w:t>
      </w:r>
    </w:p>
    <w:p w:rsidR="00E46429" w:rsidRPr="00AB4370" w:rsidRDefault="00E46429" w:rsidP="00E46429">
      <w:pPr>
        <w:pStyle w:val="Paragrafi"/>
      </w:pPr>
      <w:r w:rsidRPr="00AB4370">
        <w:t>Zgjidhja e këtij problemi ka rëndësi të përgjithshme për vendin tonë, i cili po bën përpjekje të vazhdueshme e konsekuente për t’u integruar në strukturat ndërkombëtare e veçanërisht ato euroatlantike.</w:t>
      </w:r>
    </w:p>
    <w:p w:rsidR="00E46429" w:rsidRPr="00AB4370" w:rsidRDefault="00E46429" w:rsidP="00E46429">
      <w:pPr>
        <w:pStyle w:val="Paragrafi"/>
      </w:pPr>
      <w:r w:rsidRPr="00AB4370">
        <w:t>Nga sa u parashtrua, Gjykata Kushtetuese e Shqipërisë nuk e sheh si tejkalim të këtyre kufijve transferimin e disa kompetencave të pushtetit gjyqësor në një fushë të caktuar me interes ndërkombëtar siç është ajo e përndjekjes së autorëve të krimeve të genocidit, krimeve kundër njerëzimit, krimet e luftës e agresionit.</w:t>
      </w:r>
    </w:p>
    <w:p w:rsidR="00E46429" w:rsidRPr="00AB4370" w:rsidRDefault="00E46429" w:rsidP="00E46429">
      <w:pPr>
        <w:pStyle w:val="Paragrafi"/>
      </w:pPr>
      <w:r w:rsidRPr="00AB4370">
        <w:t xml:space="preserve">Statuti i GJNP-së përmban edhe dispozita të tjera konkrete, përmbajtja e të cilave detyrimisht duhet analizuar e ballafaquar me dispozitat kushtetuese. Kjo, për shkak se në këto raste, pajtueshmëria </w:t>
      </w:r>
      <w:r w:rsidRPr="00AB4370">
        <w:lastRenderedPageBreak/>
        <w:t>e tyre nuk gjen plotësisht zgjidhje me atë çka u shtjellua për transferimin e kompetencave. Të tilla dispozita janë ato për mosnjohjen e imunitetit në procesin penal si dhe shmangia në raste të caktuara nga parimi “ne bis in idem”.</w:t>
      </w:r>
    </w:p>
    <w:p w:rsidR="00E46429" w:rsidRPr="00AB4370" w:rsidRDefault="00E46429" w:rsidP="00E46429">
      <w:pPr>
        <w:pStyle w:val="Paragrafi"/>
      </w:pPr>
      <w:r w:rsidRPr="00AB4370">
        <w:t>II. Imuniteti në procesin penal</w:t>
      </w:r>
    </w:p>
    <w:p w:rsidR="00E46429" w:rsidRPr="00AB4370" w:rsidRDefault="00E46429" w:rsidP="00E46429">
      <w:pPr>
        <w:pStyle w:val="Paragrafi"/>
      </w:pPr>
      <w:r w:rsidRPr="00AB4370">
        <w:t>Kushtetuta e Republikës së Shqipërisë në një sërë dispozitash ka parashikuar imunitetin nga procedimi penal si pjesë integrale të statusit juridik për një numër subjektesh, duke filluar nga kryetari i shtetit, deputetët, anëtarët e qeverisë, etj. Në këtë drejtim, Gjykata Kushtetuese konstaton se statuti i GJNP-së nuk e njeh këtë status juridik të posaçëm të subjekteve të caktuara.</w:t>
      </w:r>
    </w:p>
    <w:p w:rsidR="00E46429" w:rsidRPr="00AB4370" w:rsidRDefault="00E46429" w:rsidP="00E46429">
      <w:pPr>
        <w:pStyle w:val="Paragrafi"/>
      </w:pPr>
      <w:r w:rsidRPr="00AB4370">
        <w:t>Posaçërisht, neni 27 i Statutit, duke folur për irelevancën e pozitës zyrtare parashikon: “Ky Statut do të zbatohet njësoj ndaj të gjithë personave, pa asnjë dallim të bazuar në pozitën zyrtare. Në veçanti, pozita zyrtare si shef i shtetit, i qeverisë apo parlamentit, përfaqësues i zgjedhur i qeverisë apo zyrtar i qeverisë, në asnjë rast nuk do të përjashtojë një person nga përgjegjësia penale sipas këtij Statuti, as që ai, nga vetja të krijojë bazë për reduktimin e dënimit”.</w:t>
      </w:r>
    </w:p>
    <w:p w:rsidR="00E46429" w:rsidRPr="00AB4370" w:rsidRDefault="00E46429" w:rsidP="00E46429">
      <w:pPr>
        <w:pStyle w:val="Paragrafi"/>
      </w:pPr>
      <w:r w:rsidRPr="00AB4370">
        <w:t>Imunitetet apo rregullat speciale procedurale që mund t’i jenë bashkëngjitur pozitës zyrtare të personit, sipas të drejtës kombëtare apo asaj ndërkombëtare, nuk duhet të pengojnë Gjykatën nga ushtrimi i juridiksionit të saj mbi një person të tillë.</w:t>
      </w:r>
    </w:p>
    <w:p w:rsidR="00E46429" w:rsidRPr="00AB4370" w:rsidRDefault="00E46429" w:rsidP="00E46429">
      <w:pPr>
        <w:pStyle w:val="Paragrafi"/>
      </w:pPr>
      <w:r w:rsidRPr="00AB4370">
        <w:t>Duke analizuar këto dispozita, Gykata Kushtetuese konstaton se ato nuk vijnë ndesh me atë ç’ka përcakton Kushtetuta e Republikës së Shqipërisë.</w:t>
      </w:r>
    </w:p>
    <w:p w:rsidR="00E46429" w:rsidRPr="00AB4370" w:rsidRDefault="00E46429" w:rsidP="00E46429">
      <w:pPr>
        <w:pStyle w:val="Paragrafi"/>
      </w:pPr>
      <w:r w:rsidRPr="00AB4370">
        <w:t xml:space="preserve">Në radhë të parë, Gjykata Kushtetuese pranon se rregullimet e brendshme për imunitetin nuk pengojnë transferimin e juridiksionit tek GJNP-ja.  Kjo, për shkak se imuniteti i shërben mbrojtjes përballë gjyqësorit </w:t>
      </w:r>
      <w:smartTag w:uri="urn:schemas-microsoft-com:office:smarttags" w:element="country-region">
        <w:smartTag w:uri="urn:schemas-microsoft-com:office:smarttags" w:element="place">
          <w:r w:rsidRPr="00AB4370">
            <w:t>vendas</w:t>
          </w:r>
        </w:smartTag>
      </w:smartTag>
      <w:r w:rsidRPr="00AB4370">
        <w:t xml:space="preserve"> dhe se ai rrjedh nga parimi i ndarjes e balancimit të pushteteve të garantuara nga Kushtetuta.</w:t>
      </w:r>
    </w:p>
    <w:p w:rsidR="00E46429" w:rsidRPr="00AB4370" w:rsidRDefault="00E46429" w:rsidP="00E46429">
      <w:pPr>
        <w:pStyle w:val="Paragrafi"/>
      </w:pPr>
      <w:r w:rsidRPr="00AB4370">
        <w:t>Statuti nuk vjen në kundërshtim, as anashkalon dispozitat kushtetuese lidhur me imunitetin e kryetarit të shtetit e të një sërë subjektesh të tjera për faktin se imuniteti i këtyre subjekteve i përket juridiksionit kombëtar. Kjo nuk mund të ndalojë një organizëm ndërkombëtar si GJNP-ja në ushtrimin e juridiksionit të saj mbi persona të kësaj kategorie, të cilët kanë kryer krimet e parashikuara nga Statuti i Romës.</w:t>
      </w:r>
    </w:p>
    <w:p w:rsidR="00E46429" w:rsidRPr="00AB4370" w:rsidRDefault="00E46429" w:rsidP="00E46429">
      <w:pPr>
        <w:pStyle w:val="Paragrafi"/>
      </w:pPr>
      <w:r w:rsidRPr="00AB4370">
        <w:t>Me këtë rast, Gjykata Kushtetuese e sheh të nevojshme të shprehet se përderisa në bazë të Kushtetutës rregullat e gjithëpranuara të së drejtës ndërkombëtare janë pjesë e së drejtës së brendshme, atëherë dhe mungesa e imunitetit në proceset penale ndërkombëtare për krime të caktuara me rrezikshmëri të lartë, bëhet pjesë e sistemit juridik shqiptar. Nga ana e saj, jurisprudenca ndërkombëtare ka përpunuar një sërë zakonesh të qëndrueshme nisur nga synimi kryesor, që autorëve të këtyre veprave penale, t’u hiqet mundësia që të mbrohen për to duke i konsideruar si akte të kryera në ushtrimin e pushtetit (acta iure imperii).</w:t>
      </w:r>
    </w:p>
    <w:p w:rsidR="00E46429" w:rsidRPr="00AB4370" w:rsidRDefault="00E46429" w:rsidP="00E46429">
      <w:pPr>
        <w:pStyle w:val="Paragrafi"/>
      </w:pPr>
      <w:r w:rsidRPr="00AB4370">
        <w:t>Kapërcimi i imunitetit të kryetarit të shtetit apo qeverisë është bërë një praktikë e njohur në të drejtën ndërkombëtare publike, duke u bërë një referencë e fuqishme për gjykatat në përforcim të idesë se imuniteti ndaj ndjekjes penale për kryetarin e shtetit, të qeverisë etj., nuk mund të aplikohet për krimet me rëndësi ndërkombëtare, si genocidi, krimet kundër njerëzimit, krimet e luftës, agresioni.</w:t>
      </w:r>
      <w:r w:rsidRPr="00AB4370">
        <w:footnoteReference w:id="4"/>
      </w:r>
      <w:r w:rsidRPr="00AB4370">
        <w:t xml:space="preserve"> Këto ide gjenden të pranuara në Traktatin e Versajës, në Kartën e Gjykatës Ndërkombëtare të Nurembergut, në Konventën për Parandalimin e Genocidit, në Statusin e GJNP-së për ish Jugosllavinë, Ruandën etj.</w:t>
      </w:r>
    </w:p>
    <w:p w:rsidR="00E46429" w:rsidRPr="00AB4370" w:rsidRDefault="00E46429" w:rsidP="00E46429">
      <w:pPr>
        <w:pStyle w:val="Paragrafi"/>
      </w:pPr>
      <w:r w:rsidRPr="00AB4370">
        <w:t>III. Statuti dhe parimi kushtetues “ne bis in idem” (mosdënimi dy herë për të njëjtin krim)</w:t>
      </w:r>
    </w:p>
    <w:p w:rsidR="00E46429" w:rsidRPr="00AB4370" w:rsidRDefault="00E46429" w:rsidP="00E46429">
      <w:pPr>
        <w:pStyle w:val="Paragrafi"/>
      </w:pPr>
      <w:r w:rsidRPr="00AB4370">
        <w:t>Në radhën e parimeve mbi bazën e të cilave udhëhiqet veprimtaria e GJNP-së, është edhe parimi “ne bis in idem”, i cili gjen pasqyrim në nenin 20 të Statutit. Në këtë dispozitë dallohen dy aspekte: ai i zbatimit të këtij parimi në gjykimet brendapërbrenda gjykatës dhe në atë që lidhet me gjykimet e gjykatave të tjera.</w:t>
      </w:r>
    </w:p>
    <w:p w:rsidR="00E46429" w:rsidRPr="00AB4370" w:rsidRDefault="00E46429" w:rsidP="00E46429">
      <w:pPr>
        <w:pStyle w:val="Paragrafi"/>
      </w:pPr>
      <w:r w:rsidRPr="00AB4370">
        <w:t xml:space="preserve">Në aspektin e parë, Statuti ndalon GJNP-në të rigjykojë një person për një vepër për të cilën ai është gjykuar apo liruar më parë po nga GJNP-ja (pika 1). Në pikën 2 parashikohet ndalimi për gjykatat e tjera që të gjykojnë personin për veprën për të cilën ai është gjykuar apo liruar nga GJNP-ja. </w:t>
      </w:r>
    </w:p>
    <w:p w:rsidR="00E46429" w:rsidRPr="00AB4370" w:rsidRDefault="00E46429" w:rsidP="00E46429">
      <w:pPr>
        <w:pStyle w:val="Paragrafi"/>
      </w:pPr>
      <w:r w:rsidRPr="00AB4370">
        <w:t xml:space="preserve">Në aspektin e dytë, statuti ka pranuar rregullin sipas të cilit GJNP-ja bëhet kompetente të gjykojë personin për vepra për të cilat ai është hetuar apo gjykuar nga juridiksionet kombëtare vetëm </w:t>
      </w:r>
      <w:r w:rsidRPr="00AB4370">
        <w:lastRenderedPageBreak/>
        <w:t>kur kjo bëhet e nevojshme:</w:t>
      </w:r>
    </w:p>
    <w:p w:rsidR="00E46429" w:rsidRPr="00AB4370" w:rsidRDefault="00E46429" w:rsidP="00E46429">
      <w:pPr>
        <w:pStyle w:val="Paragrafi"/>
      </w:pPr>
      <w:r w:rsidRPr="00AB4370">
        <w:t>(a) për mbrojtjen e personit nga përgjegjësia penale;</w:t>
      </w:r>
    </w:p>
    <w:p w:rsidR="00E46429" w:rsidRPr="00AB4370" w:rsidRDefault="00E46429" w:rsidP="00E46429">
      <w:pPr>
        <w:pStyle w:val="Paragrafi"/>
      </w:pPr>
      <w:r w:rsidRPr="00AB4370">
        <w:t>(b) kur gjykimi nuk është zhvilluar në mënyrë të pavarur dhe të paanshëm, në pajtim me normat e procesit të rregullt të njohura nga e drejta ndërkombëtare dhe janë zhvilluar në mënyrën që personi t’i shpëtojë përgjegjësisë penale ose t’i lehtësohet kjo përgjegjësi.</w:t>
      </w:r>
    </w:p>
    <w:p w:rsidR="00E46429" w:rsidRPr="00AB4370" w:rsidRDefault="00E46429" w:rsidP="00E46429">
      <w:pPr>
        <w:pStyle w:val="Paragrafi"/>
      </w:pPr>
      <w:r w:rsidRPr="00AB4370">
        <w:t>Ndërkohë, Kushtetuta e Republikës së Shqipërisë, në nenin 34, në të Drejtat dhe Liritë Themelore pranon se: “Askush nuk mund të dënohet më shumë se një herë për të njëjtën vepër penale dhe as të gjykohet sërisht, me përjashtim të rasteve kur është vendosur rigjykimi i çështjes nga një gjykatë më e lartë sipas mënyrës së parashikuar me ligj”.</w:t>
      </w:r>
    </w:p>
    <w:p w:rsidR="00E46429" w:rsidRPr="00AB4370" w:rsidRDefault="00E46429" w:rsidP="00E46429">
      <w:pPr>
        <w:pStyle w:val="Paragrafi"/>
      </w:pPr>
      <w:r w:rsidRPr="00AB4370">
        <w:t>Ky parim gjen shprehjen e vet edhe në një sërë dokumentesh ndërkombëtare e posaçërisht, në Paktin Ndërkombëtar lidhur me të drejtat civile dhe politike (neni 14 pika 7) miratuar nga Asambleja e Përgjithshme e OKB-së më 16 dhjetor 1966.</w:t>
      </w:r>
    </w:p>
    <w:p w:rsidR="00E46429" w:rsidRPr="00AB4370" w:rsidRDefault="00E46429" w:rsidP="00E46429">
      <w:pPr>
        <w:pStyle w:val="Paragrafi"/>
      </w:pPr>
      <w:r w:rsidRPr="00AB4370">
        <w:t xml:space="preserve">Duke ballafaquar dispozatat e Statutit me ato të Kushtetutës, Gjykata Kushtetuese arrin në konkluzionin se ato nuk vijnë ndesh me njëra-tjetrën. Shqyrtimi i çështjeve nga GJNP-ja, sipas nenit 20, pikës 3, shkronjat “e”, “a” dhe “b”, në vetvete ka natyrën e një rishqyrtimi, të cilin sipas dispozitës së sipërcituar të Kushtetutës e ka në kompetencë gjykata më e lartë. Me këtë shprehje, Kushtetuta nuk ka parasysh institucionin e Gjykatës së Lartë, por gjykatën më të lartë sipas një renditjeje të caktuar. Kështu, GjNP-ja paraqitet në fakt si gjykata më e lartë (lidhur me gjykimin e krimeve të caktuara). </w:t>
      </w:r>
    </w:p>
    <w:p w:rsidR="00E46429" w:rsidRPr="00AB4370" w:rsidRDefault="00E46429" w:rsidP="00E46429">
      <w:pPr>
        <w:pStyle w:val="Paragrafi"/>
      </w:pPr>
      <w:r w:rsidRPr="00AB4370">
        <w:t>Në bazë të preambulës së Statutit, GJNP-ja paraqitet si gjykatë plotësuese e juridiksionit kombëtar. Në rastet kur vërtetohet se autoriteti gjyqësor i brendshëm nuk ka zhvilluar një procedim real e ky proces konsiderohet nul, i paqenë, vihet në lëvizje GJNP-ja si një gjykatë më e lartë.</w:t>
      </w:r>
    </w:p>
    <w:p w:rsidR="00E46429" w:rsidRPr="00AB4370" w:rsidRDefault="00E46429" w:rsidP="00E46429">
      <w:pPr>
        <w:pStyle w:val="Paragrafi"/>
      </w:pPr>
      <w:r w:rsidRPr="00AB4370">
        <w:t>Gjykata Kushtetuese vlerëson se një rregullim i tillë juridik në Statut i shërben qëllimit për të cilin është ngritur GJNP-ja. Nëse lufta kundër krimeve të rënda duhet të jetë efektive, në radhë të parë ajo duhet të ndihmojë në mënjanimin e shfaqjeve të varësisë së institucioneve gjyqësore kombëtare ndaj subjekteve të inkriminuar, të cilët eventualisht, mund të veprojnë me cilësinë e kryetarit të shtetit, të qeverisë, autoritetit të Parlamentit etj.</w:t>
      </w:r>
    </w:p>
    <w:p w:rsidR="00E46429" w:rsidRPr="00AB4370" w:rsidRDefault="00E46429" w:rsidP="00E46429">
      <w:pPr>
        <w:pStyle w:val="Paragrafi"/>
      </w:pPr>
      <w:r w:rsidRPr="00AB4370">
        <w:t>Si përfundim, Gjykata Kushtetuese, duke shqyrtuar dispozitat e Statutit, duke e marrë atë në tërësi dhe duke e ballafaquar me frymën dhe përmbajtjen e Kushtetutës së Republikës së Shqipërisë, konstaton se Statuti nuk vjen në kundërshtim me Kushtetutën. Për rrjedhojë, nuk ekzistojnë pengesa kushtetuese për ratifikimin e tij.</w:t>
      </w:r>
    </w:p>
    <w:p w:rsidR="00E46429" w:rsidRPr="00AB4370" w:rsidRDefault="00E46429" w:rsidP="00E46429">
      <w:pPr>
        <w:pStyle w:val="Paragrafi"/>
      </w:pPr>
      <w:r w:rsidRPr="00AB4370">
        <w:t>Gjykata Kushtetuese është e bindur se ratifikimi i Statutit të GJNP-së përbën një kontribut të rëndësishëm të vendit tonë në krijimin e mundësive dhe hapësirave në luftën kundër terrorizmit në çdo formë që paraqitet ai.</w:t>
      </w:r>
    </w:p>
    <w:p w:rsidR="00E46429" w:rsidRPr="00AB4370" w:rsidRDefault="00E46429" w:rsidP="00E46429">
      <w:pPr>
        <w:pStyle w:val="Paragrafi"/>
      </w:pPr>
    </w:p>
    <w:p w:rsidR="00E46429" w:rsidRPr="00AB4370" w:rsidRDefault="00E46429" w:rsidP="00E46429">
      <w:pPr>
        <w:pStyle w:val="VENDOSI"/>
      </w:pPr>
      <w:r w:rsidRPr="00AB4370">
        <w:t>PËR KËTO ARSYE,</w:t>
      </w:r>
    </w:p>
    <w:p w:rsidR="00E46429" w:rsidRPr="00AB4370" w:rsidRDefault="00E46429" w:rsidP="00E46429">
      <w:pPr>
        <w:pStyle w:val="VENDOSI"/>
      </w:pPr>
    </w:p>
    <w:p w:rsidR="00E46429" w:rsidRPr="00AB4370" w:rsidRDefault="00E46429" w:rsidP="00E46429">
      <w:pPr>
        <w:pStyle w:val="Paragrafi"/>
      </w:pPr>
      <w:r w:rsidRPr="00AB4370">
        <w:t xml:space="preserve">Gjykata Kushtetuese e Republikës së Shqipërisë, në bazë të nenit 131 shkronja “b” të Kushtetutës, si dhe të nenit 72 të ligjit nr.8577, datë 10.2.2000 “Për organizimin dhe funksionimin e Gjykatës Kushtetuese të Republikës së Shqipërisë”, njëzëri, </w:t>
      </w:r>
    </w:p>
    <w:p w:rsidR="00E46429" w:rsidRPr="00AB4370" w:rsidRDefault="00E46429" w:rsidP="00E46429">
      <w:pPr>
        <w:pStyle w:val="Paragrafi"/>
      </w:pPr>
      <w:r w:rsidRPr="00AB4370">
        <w:t xml:space="preserve"> </w:t>
      </w:r>
    </w:p>
    <w:p w:rsidR="00E46429" w:rsidRPr="00AB4370" w:rsidRDefault="00E46429" w:rsidP="00E46429">
      <w:pPr>
        <w:pStyle w:val="VENDOSI"/>
      </w:pPr>
      <w:r w:rsidRPr="00AB4370">
        <w:t>V E N D O S I:</w:t>
      </w:r>
    </w:p>
    <w:p w:rsidR="00E46429" w:rsidRPr="00AB4370" w:rsidRDefault="00E46429" w:rsidP="00E46429">
      <w:pPr>
        <w:pStyle w:val="Paragrafi"/>
      </w:pPr>
    </w:p>
    <w:p w:rsidR="00E46429" w:rsidRPr="00AB4370" w:rsidRDefault="00E46429" w:rsidP="00E46429">
      <w:pPr>
        <w:pStyle w:val="Paragrafi"/>
      </w:pPr>
      <w:r w:rsidRPr="00AB4370">
        <w:t>- Statuti i Gjykatës Ndërkombëtare Penale, krijuar me Traktatin e Romës, nënshkruar nga Republika e Shqipërisë në datën 18 korrik 1998, është në pajtim me Kushtetutën e Republikës së Shqipërisë.</w:t>
      </w:r>
    </w:p>
    <w:p w:rsidR="00E46429" w:rsidRPr="00AB4370" w:rsidRDefault="00E46429" w:rsidP="00E46429">
      <w:pPr>
        <w:pStyle w:val="Paragrafi"/>
      </w:pPr>
      <w:r w:rsidRPr="00AB4370">
        <w:t>- Ky vendim është përfundimtar, i formës së prerë dhe hyn në fuqi ditën e botimit në Fletoren Zyrtare.</w:t>
      </w:r>
    </w:p>
    <w:p w:rsidR="00E46429" w:rsidRPr="00AB4370" w:rsidRDefault="00E46429" w:rsidP="00E46429">
      <w:pPr>
        <w:pStyle w:val="Paragrafi"/>
      </w:pPr>
    </w:p>
    <w:p w:rsidR="00E46429" w:rsidRPr="00AB4370" w:rsidRDefault="00E46429" w:rsidP="00E46429">
      <w:pPr>
        <w:pStyle w:val="Paragrafi"/>
      </w:pPr>
    </w:p>
    <w:p w:rsidR="00E46429" w:rsidRPr="00AB4370" w:rsidRDefault="00E46429" w:rsidP="00E46429">
      <w:pPr>
        <w:pStyle w:val="Paragrafi"/>
      </w:pPr>
    </w:p>
    <w:p w:rsidR="00E46429" w:rsidRPr="00AB4370" w:rsidRDefault="00E46429" w:rsidP="00E46429">
      <w:pPr>
        <w:pStyle w:val="Paragrafi"/>
      </w:pPr>
    </w:p>
    <w:p w:rsidR="00E46429" w:rsidRPr="00AB4370" w:rsidRDefault="00E46429" w:rsidP="00E46429">
      <w:pPr>
        <w:pStyle w:val="Paragrafi"/>
      </w:pPr>
      <w:r w:rsidRPr="00AB4370">
        <w:br w:type="page"/>
      </w:r>
      <w:r w:rsidRPr="00AB4370">
        <w:lastRenderedPageBreak/>
        <w:t xml:space="preserve"> </w:t>
      </w:r>
    </w:p>
    <w:p w:rsidR="00E46429" w:rsidRPr="00AB4370" w:rsidRDefault="00E46429" w:rsidP="00E46429">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225A0">
      <w:r>
        <w:separator/>
      </w:r>
    </w:p>
  </w:endnote>
  <w:endnote w:type="continuationSeparator" w:id="0">
    <w:p w:rsidR="00000000" w:rsidRDefault="00F22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225A0">
      <w:r>
        <w:separator/>
      </w:r>
    </w:p>
  </w:footnote>
  <w:footnote w:type="continuationSeparator" w:id="0">
    <w:p w:rsidR="00000000" w:rsidRDefault="00F225A0">
      <w:r>
        <w:continuationSeparator/>
      </w:r>
    </w:p>
  </w:footnote>
  <w:footnote w:id="1">
    <w:p w:rsidR="00014BE1" w:rsidRDefault="00014BE1" w:rsidP="00E46429">
      <w:pPr>
        <w:pStyle w:val="BodyText2"/>
        <w:widowControl w:val="0"/>
        <w:spacing w:line="240" w:lineRule="auto"/>
        <w:rPr>
          <w:rFonts w:ascii="CG Times" w:hAnsi="CG Times"/>
          <w:sz w:val="20"/>
        </w:rPr>
      </w:pPr>
      <w:r>
        <w:rPr>
          <w:rStyle w:val="FootnoteReference"/>
          <w:rFonts w:ascii="CG Times" w:hAnsi="CG Times"/>
          <w:sz w:val="22"/>
        </w:rPr>
        <w:footnoteRef/>
      </w:r>
      <w:r>
        <w:rPr>
          <w:rFonts w:ascii="CG Times" w:hAnsi="CG Times"/>
          <w:sz w:val="22"/>
        </w:rPr>
        <w:t xml:space="preserve"> </w:t>
      </w:r>
      <w:r>
        <w:rPr>
          <w:rFonts w:ascii="CG Times" w:hAnsi="CG Times"/>
          <w:sz w:val="20"/>
        </w:rPr>
        <w:t>Raport “Për Projektkushtetutën e Republikës së Shqipërisë”.</w:t>
      </w:r>
    </w:p>
  </w:footnote>
  <w:footnote w:id="2">
    <w:p w:rsidR="00014BE1" w:rsidRDefault="00014BE1" w:rsidP="00E46429">
      <w:pPr>
        <w:pStyle w:val="BodyTextIndent"/>
        <w:ind w:firstLine="0"/>
      </w:pPr>
      <w:r>
        <w:rPr>
          <w:rStyle w:val="FootnoteReference"/>
        </w:rPr>
        <w:footnoteRef/>
      </w:r>
      <w:r>
        <w:t xml:space="preserve"> </w:t>
      </w:r>
      <w:r>
        <w:rPr>
          <w:sz w:val="20"/>
        </w:rPr>
        <w:t>Vendim i datës 12 tetor 1993 i Gjykatës Kushtetuese Federale Gjermane mbi Traktatin e Mastrihtit</w:t>
      </w:r>
    </w:p>
  </w:footnote>
  <w:footnote w:id="3">
    <w:p w:rsidR="00014BE1" w:rsidRDefault="00014BE1" w:rsidP="00E46429">
      <w:pPr>
        <w:widowControl w:val="0"/>
        <w:jc w:val="both"/>
        <w:rPr>
          <w:rFonts w:ascii="CG Times" w:hAnsi="CG Times"/>
          <w:sz w:val="22"/>
        </w:rPr>
      </w:pPr>
      <w:r>
        <w:rPr>
          <w:rStyle w:val="FootnoteReference"/>
        </w:rPr>
        <w:footnoteRef/>
      </w:r>
      <w:r>
        <w:t xml:space="preserve"> </w:t>
      </w:r>
      <w:r>
        <w:rPr>
          <w:rFonts w:ascii="CG Times" w:hAnsi="CG Times"/>
        </w:rPr>
        <w:t>Vendim i Këshillit Kushtetues Francez, viti 1985</w:t>
      </w:r>
    </w:p>
    <w:p w:rsidR="00014BE1" w:rsidRDefault="00014BE1" w:rsidP="00E46429">
      <w:pPr>
        <w:pStyle w:val="FootnoteText"/>
      </w:pPr>
    </w:p>
  </w:footnote>
  <w:footnote w:id="4">
    <w:p w:rsidR="00014BE1" w:rsidRDefault="00014BE1" w:rsidP="00E46429">
      <w:pPr>
        <w:pStyle w:val="BodyTextIndent3"/>
        <w:widowControl w:val="0"/>
        <w:spacing w:line="240" w:lineRule="auto"/>
        <w:ind w:firstLine="0"/>
        <w:rPr>
          <w:rFonts w:ascii="CG Times" w:hAnsi="CG Times"/>
          <w:sz w:val="20"/>
        </w:rPr>
      </w:pPr>
      <w:r>
        <w:rPr>
          <w:rStyle w:val="FootnoteReference"/>
        </w:rPr>
        <w:footnoteRef/>
      </w:r>
      <w:r>
        <w:t xml:space="preserve"> </w:t>
      </w:r>
      <w:r>
        <w:rPr>
          <w:rFonts w:ascii="CG Times" w:hAnsi="CG Times"/>
          <w:sz w:val="20"/>
        </w:rPr>
        <w:t>Dhoma e Lartë e Mbretësisë së bashkuar në çështjen Pinoçet, për mungesën e imunitetit është shprehur: “…një përfundim i kundërt do të ishte një shmangie nga e drejta ndërkombëtare”.</w:t>
      </w:r>
    </w:p>
    <w:p w:rsidR="00014BE1" w:rsidRDefault="00014BE1" w:rsidP="00E46429">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4BE1"/>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46429"/>
    <w:rsid w:val="00E624E2"/>
    <w:rsid w:val="00E645E3"/>
    <w:rsid w:val="00EA206E"/>
    <w:rsid w:val="00F225A0"/>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998F379F-E466-44DE-9E8E-54610863C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6429"/>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BodyText2">
    <w:name w:val="Body Text 2"/>
    <w:basedOn w:val="Normal"/>
    <w:rsid w:val="00E46429"/>
    <w:pPr>
      <w:spacing w:line="360" w:lineRule="auto"/>
      <w:jc w:val="both"/>
    </w:pPr>
    <w:rPr>
      <w:rFonts w:ascii="Bookman Old Style" w:hAnsi="Bookman Old Style"/>
      <w:sz w:val="24"/>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styleId="BodyTextIndent3">
    <w:name w:val="Body Text Indent 3"/>
    <w:basedOn w:val="Normal"/>
    <w:rsid w:val="00E46429"/>
    <w:pPr>
      <w:spacing w:line="360" w:lineRule="auto"/>
      <w:ind w:firstLine="720"/>
      <w:jc w:val="both"/>
    </w:pPr>
    <w:rPr>
      <w:sz w:val="24"/>
    </w:rPr>
  </w:style>
  <w:style w:type="paragraph" w:styleId="BodyTextIndent">
    <w:name w:val="Body Text Indent"/>
    <w:basedOn w:val="Normal"/>
    <w:rsid w:val="00E46429"/>
    <w:pPr>
      <w:widowControl w:val="0"/>
      <w:ind w:firstLine="720"/>
      <w:jc w:val="both"/>
    </w:pPr>
    <w:rPr>
      <w:rFonts w:ascii="CG Times" w:hAnsi="CG Times"/>
      <w:sz w:val="22"/>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paragraph" w:styleId="FootnoteText">
    <w:name w:val="footnote text"/>
    <w:basedOn w:val="Normal"/>
    <w:semiHidden/>
    <w:rsid w:val="00E46429"/>
  </w:style>
  <w:style w:type="character" w:styleId="FootnoteReference">
    <w:name w:val="footnote reference"/>
    <w:basedOn w:val="DefaultParagraphFont"/>
    <w:semiHidden/>
    <w:rsid w:val="00E464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2996</Words>
  <Characters>17080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2019-03-14T15:18:00Z</dcterms:created>
  <dcterms:modified xsi:type="dcterms:W3CDTF">2019-03-14T15:18:00Z</dcterms:modified>
</cp:coreProperties>
</file>