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50B" w:rsidRPr="00275D7E" w:rsidRDefault="00BE650B" w:rsidP="00BE650B">
      <w:pPr>
        <w:pStyle w:val="Paragrafi"/>
        <w:rPr>
          <w:sz w:val="16"/>
        </w:rPr>
      </w:pPr>
      <w:bookmarkStart w:id="0" w:name="_GoBack"/>
      <w:bookmarkEnd w:id="0"/>
    </w:p>
    <w:p w:rsidR="00BE650B" w:rsidRDefault="00BE650B" w:rsidP="00BE650B">
      <w:pPr>
        <w:pStyle w:val="TitulliTitull"/>
      </w:pPr>
      <w:r>
        <w:t>MENDIMI I PAKICë</w:t>
      </w:r>
      <w:r w:rsidRPr="003F09BF">
        <w:t>S</w:t>
      </w:r>
      <w:r>
        <w:t xml:space="preserve"> i</w:t>
      </w:r>
    </w:p>
    <w:p w:rsidR="00BE650B" w:rsidRDefault="00BE650B" w:rsidP="00BE650B">
      <w:pPr>
        <w:pStyle w:val="TitulliTitull"/>
      </w:pPr>
      <w:r>
        <w:t xml:space="preserve">Vendimit Nr.30, datë </w:t>
      </w:r>
      <w:r w:rsidRPr="00366291">
        <w:t>23.10.2003</w:t>
      </w:r>
      <w:r>
        <w:t xml:space="preserve"> i gjykatës kushtetuese</w:t>
      </w:r>
    </w:p>
    <w:p w:rsidR="00BE650B" w:rsidRPr="003F09BF" w:rsidRDefault="00BE650B" w:rsidP="00BE650B">
      <w:pPr>
        <w:pStyle w:val="TitulliTitull"/>
      </w:pPr>
      <w:r>
        <w:t>(bOTUAR Në FLETOREN ZYRTARE NR.89)</w:t>
      </w:r>
    </w:p>
    <w:p w:rsidR="00BE650B" w:rsidRPr="00275D7E" w:rsidRDefault="00BE650B" w:rsidP="00BE650B">
      <w:pPr>
        <w:pStyle w:val="Paragrafi"/>
        <w:rPr>
          <w:sz w:val="14"/>
        </w:rPr>
      </w:pPr>
    </w:p>
    <w:p w:rsidR="00BE650B" w:rsidRPr="003F09BF" w:rsidRDefault="00BE650B" w:rsidP="00BE650B">
      <w:pPr>
        <w:pStyle w:val="Paragrafi"/>
      </w:pPr>
      <w:r w:rsidRPr="003F09BF">
        <w:t>Nuk jemi dakord me konkluzionet e shumicës. Mendojmë se vendimi nr.348, datë 18.2.2003 i Kolegjit Civil të Gjykatës së Lartë është rezultat i një procesi të parregullt ligjor në kuptimin kushtetues dhe si i tillë duhej të shfuqizohej nga Gjykata Kushtetuese.</w:t>
      </w:r>
    </w:p>
    <w:p w:rsidR="00BE650B" w:rsidRPr="003F09BF" w:rsidRDefault="00BE650B" w:rsidP="00BE650B">
      <w:pPr>
        <w:pStyle w:val="Paragrafi"/>
      </w:pPr>
      <w:r w:rsidRPr="003F09BF">
        <w:t>Pretendimi kryesor pranë Gjykatës Kushtetuese i kërkueses</w:t>
      </w:r>
      <w:r>
        <w:t>,</w:t>
      </w:r>
      <w:r w:rsidRPr="003F09BF">
        <w:t xml:space="preserve"> ka qenë mosrespektimi nga Kolegji Civil i Gjykatës së Lartë i të drejtës së saj për t’u mbrojtur me avokat, duke u vendosur kështu në kushte të pabarabarta gjykimi. Ne mendojmë se nga materialet e dosjes ky pretendim provohet plotësisht.</w:t>
      </w:r>
    </w:p>
    <w:p w:rsidR="00BE650B" w:rsidRPr="003F09BF" w:rsidRDefault="00BE650B" w:rsidP="00BE650B">
      <w:pPr>
        <w:pStyle w:val="Paragrafi"/>
      </w:pPr>
      <w:r w:rsidRPr="003F09BF">
        <w:t>Përmes jurisprudencës së pasur të saj, Gjykata Kushtetuese ka pranuar se e drejta e mbrojtjes dhe barazia e armëve në kuptimin kushtetues janë elemente thelbësore të procesit të rregullt ligjor. Mbi këtë bazë është theksuar se gjykatave të të gjitha niveleve u dalin një sërë detyrash, në mënyrë që brenda kuadrit ligjor ekzistues dhe mundësive të garantojnë sa më mirë parimin e barazisë së armëve dhe të mbrojtjes efektive të palëve në gjykim. Nga ana tjetër, Gjykata Kushtetuese ka evidentuar domosdoshmërinë dhe rëndësinë e veçantë të mbrojtjes me avokat në gjykimet që zhvillohen në Gjykatën e Lartë. Çështjet që trajtohen aty ka</w:t>
      </w:r>
      <w:r>
        <w:t>në natyrë të mirëfilltë ligjore, prandaj</w:t>
      </w:r>
      <w:r w:rsidRPr="003F09BF">
        <w:t xml:space="preserve"> të drejtat dhe liritë e shtetasve pranë kësaj gjykate mund të mbrohen me efektivitet dhe profesionalizëm vetëm përmes avokatit që përfaqëson palët.</w:t>
      </w:r>
    </w:p>
    <w:p w:rsidR="00BE650B" w:rsidRPr="003F09BF" w:rsidRDefault="00BE650B" w:rsidP="00BE650B">
      <w:pPr>
        <w:pStyle w:val="Paragrafi"/>
      </w:pPr>
      <w:r w:rsidRPr="003F09BF">
        <w:t>Rezulton e provuar se ditën e gjykimit të çështjes në Gjykatën e Lartë</w:t>
      </w:r>
      <w:r>
        <w:t>,</w:t>
      </w:r>
      <w:r w:rsidRPr="003F09BF">
        <w:t xml:space="preserve"> kërkuesja është paraqitur vetë dhe i ka kë</w:t>
      </w:r>
      <w:r>
        <w:t>rkuar që në fillim të seancës, Kolegjit C</w:t>
      </w:r>
      <w:r w:rsidRPr="003F09BF">
        <w:t>ivil të kësaj gjykate, shtyrjen e gjykimit të çështjes me arsyetimin se avokati i caktuar prej saj ishte i sëmurë, gjë që vërtetohet edhe nga raporti mjek</w:t>
      </w:r>
      <w:r>
        <w:t>ë</w:t>
      </w:r>
      <w:r w:rsidRPr="003F09BF">
        <w:t>sor që përmban dosja. Pra, përderisa nuk mund të provohet e kundërta, duhet pranuar se ajo i kishte marrë masat për t’u përfaqësuar me avokat ditën e gjykimit të çështjes në Gjykatën e Lartë, por sigurisht, nuk mund të parashikonte që pikërisht këtë ditë, avokati i saj do të ishte i sëmurë.</w:t>
      </w:r>
    </w:p>
    <w:p w:rsidR="00BE650B" w:rsidRPr="003F09BF" w:rsidRDefault="00BE650B" w:rsidP="00BE650B">
      <w:pPr>
        <w:pStyle w:val="Paragrafi"/>
      </w:pPr>
      <w:r w:rsidRPr="003F09BF">
        <w:t>Në vendim nuk përmenden një sërë faktesh të tjera që ka dosja dhe që u parashtruan në seancën gjyqësore që u zhvillua në Gjykatën Kushtetuese, të cilat, pavarësisht nga besueshmëria që paraqesin, përderisa nuk mund të rrëzohen, duhej të llogariteshin në favor të kërkesës. Kështu, u paraqit një prokurë përmes së cilës vërtetohet se rreth një javë para gjykimit të çështjes në Gjykatën e Lartë, kërkuesja ka caktuar si përfaqësues të saj ligjor pikërisht avokatin e deklaruar si mbrojtës të saj në seancën e zhvilluar pranë kësaj gjykate. Mosparaqitja e kësaj prokure</w:t>
      </w:r>
      <w:r>
        <w:t>,</w:t>
      </w:r>
      <w:r w:rsidRPr="003F09BF">
        <w:t xml:space="preserve"> së bashku me rekursin, u justifikua me praktikën që zbatojnë normalisht gjykatat e të gjitha niveleve, që do të thotë se ajo paraqitet dhe verifikohet ditën e zhvillimit të seancës gjyqësore. Për më tepër, avokati i kërkueses theksoi në seancën e zhvilluar në Gjykatën Kushtetuese se rekursi i paraqitur në Gjykatën e Lartë ishte hartuar nga vetë ai, pavarësisht se përmbante vetëm nënshkrimin e klientes së tij.</w:t>
      </w:r>
    </w:p>
    <w:p w:rsidR="00BE650B" w:rsidRPr="003F09BF" w:rsidRDefault="00BE650B" w:rsidP="00BE650B">
      <w:pPr>
        <w:pStyle w:val="Paragrafi"/>
      </w:pPr>
      <w:r w:rsidRPr="003F09BF">
        <w:t>Duke qenë kështu, mendojmë se konkluzioni i shumicës se Gjykata e Lartë i ka përmbushur detyrimet e veta me shpalljen e listë</w:t>
      </w:r>
      <w:r>
        <w:t>s dhe të datë</w:t>
      </w:r>
      <w:r w:rsidRPr="003F09BF">
        <w:t>s së gjyki</w:t>
      </w:r>
      <w:r>
        <w:t>mit të çështjes</w:t>
      </w:r>
      <w:r w:rsidRPr="003F09BF">
        <w:t xml:space="preserve"> dhe kërkuesja duhej të merrte vetë masat në kohën e duhur për të caktuar avokatin që të përgatiste një mbrojtje efektive, nuk është i bazuar.</w:t>
      </w:r>
    </w:p>
    <w:p w:rsidR="00BE650B" w:rsidRPr="003F09BF" w:rsidRDefault="00BE650B" w:rsidP="00BE650B">
      <w:pPr>
        <w:pStyle w:val="Paragrafi"/>
      </w:pPr>
      <w:r w:rsidRPr="003F09BF">
        <w:t>Për sa më sipër, mendojmë se në procesin e zhvilluar në Gjykatën e Lartë, kërkueses i është mohuar dukshëm e drejta e mbrojtjes. Në këtë gjykim ajo është vënë në pozitë krejt të pabarabartë me palën tjetër.</w:t>
      </w:r>
    </w:p>
    <w:p w:rsidR="00BE650B" w:rsidRDefault="00BE650B" w:rsidP="00BE650B">
      <w:pPr>
        <w:pStyle w:val="Paragrafi"/>
      </w:pPr>
    </w:p>
    <w:p w:rsidR="00BE650B" w:rsidRDefault="00BE650B" w:rsidP="00BE650B">
      <w:pPr>
        <w:pStyle w:val="Paragrafi"/>
      </w:pPr>
      <w:r w:rsidRPr="003F09BF">
        <w:t>Anëtarë: K.</w:t>
      </w:r>
      <w:r>
        <w:t xml:space="preserve"> </w:t>
      </w:r>
      <w:r w:rsidRPr="003F09BF">
        <w:t>Peçi, A. Karamuço, Xh.</w:t>
      </w:r>
      <w:r>
        <w:t xml:space="preserve"> </w:t>
      </w:r>
      <w:r w:rsidRPr="003F09BF">
        <w:t>Zaganjori. Kryetar: F.</w:t>
      </w:r>
      <w:r>
        <w:t xml:space="preserve"> </w:t>
      </w:r>
      <w:r w:rsidRPr="003F09BF">
        <w:t>Abdiu</w:t>
      </w:r>
    </w:p>
    <w:p w:rsidR="00BE650B" w:rsidRDefault="00BE650B" w:rsidP="00BE650B">
      <w:pPr>
        <w:pStyle w:val="Titulli"/>
      </w:pPr>
    </w:p>
    <w:p w:rsidR="00BE650B" w:rsidRDefault="00BE650B" w:rsidP="00BE650B">
      <w:pPr>
        <w:pStyle w:val="Titull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F334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E650B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E3E76C-D385-4B2D-AC49-457EAEA2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TitulliChar">
    <w:name w:val="Titulli Char"/>
    <w:basedOn w:val="DefaultParagraphFont"/>
    <w:link w:val="Titulli"/>
    <w:rsid w:val="00BE650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2019-03-14T16:39:00Z</dcterms:created>
  <dcterms:modified xsi:type="dcterms:W3CDTF">2019-03-14T16:39:00Z</dcterms:modified>
</cp:coreProperties>
</file>