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4C7" w:rsidRDefault="00BB44C7" w:rsidP="00BB44C7">
      <w:pPr>
        <w:pStyle w:val="Akti"/>
      </w:pPr>
      <w:bookmarkStart w:id="0" w:name="_GoBack"/>
      <w:bookmarkEnd w:id="0"/>
      <w:r>
        <w:t>VENDI</w:t>
      </w:r>
      <w:r w:rsidRPr="003F01FA">
        <w:t>M</w:t>
      </w:r>
    </w:p>
    <w:p w:rsidR="00BB44C7" w:rsidRPr="003F01FA" w:rsidRDefault="00BB44C7" w:rsidP="00BB44C7">
      <w:pPr>
        <w:pStyle w:val="NumriData"/>
      </w:pPr>
      <w:r w:rsidRPr="003F01FA">
        <w:t>Nr.39</w:t>
      </w:r>
      <w:r>
        <w:t>, datë</w:t>
      </w:r>
      <w:r w:rsidRPr="003F01FA">
        <w:t xml:space="preserve"> 23.12.2003</w:t>
      </w:r>
    </w:p>
    <w:p w:rsidR="00BB44C7" w:rsidRPr="003F01FA" w:rsidRDefault="00BB44C7" w:rsidP="00BB44C7">
      <w:pPr>
        <w:pStyle w:val="Paragrafi"/>
      </w:pPr>
    </w:p>
    <w:p w:rsidR="00BB44C7" w:rsidRPr="003F01FA" w:rsidRDefault="00BB44C7" w:rsidP="00BB44C7">
      <w:pPr>
        <w:pStyle w:val="TitulliTitull"/>
      </w:pPr>
      <w:r>
        <w:t>NË EMËR TË REPUBLIKËS SË SHQIPËRISË</w:t>
      </w:r>
    </w:p>
    <w:p w:rsidR="00BB44C7" w:rsidRPr="003F01FA" w:rsidRDefault="00BB44C7" w:rsidP="00BB44C7">
      <w:pPr>
        <w:pStyle w:val="Paragrafi"/>
      </w:pPr>
    </w:p>
    <w:p w:rsidR="00BB44C7" w:rsidRDefault="00BB44C7" w:rsidP="00BB44C7">
      <w:pPr>
        <w:pStyle w:val="Paragrafi"/>
      </w:pPr>
      <w:r w:rsidRPr="003F01FA">
        <w:t>Gjykata Kushtetuese e Republikës së Shqipërisë, e përbërë nga:</w:t>
      </w:r>
    </w:p>
    <w:p w:rsidR="00BB44C7" w:rsidRPr="003F01FA" w:rsidRDefault="00BB44C7" w:rsidP="00BB44C7">
      <w:pPr>
        <w:pStyle w:val="Paragrafi"/>
      </w:pPr>
    </w:p>
    <w:p w:rsidR="00BB44C7" w:rsidRPr="003F01FA" w:rsidRDefault="00BB44C7" w:rsidP="00BB44C7">
      <w:pPr>
        <w:pStyle w:val="Paragrafi"/>
      </w:pPr>
      <w:r>
        <w:t>Fehmi Abdiu</w:t>
      </w:r>
      <w:r w:rsidRPr="003F01FA">
        <w:t xml:space="preserve"> </w:t>
      </w:r>
      <w:r w:rsidRPr="003F01FA">
        <w:tab/>
      </w:r>
      <w:r w:rsidRPr="003F01FA">
        <w:tab/>
      </w:r>
      <w:r w:rsidRPr="003F01FA">
        <w:tab/>
        <w:t>Kryetar i Gjykatës Kushtetuese</w:t>
      </w:r>
    </w:p>
    <w:p w:rsidR="00BB44C7" w:rsidRPr="003F01FA" w:rsidRDefault="00BB44C7" w:rsidP="00BB44C7">
      <w:pPr>
        <w:pStyle w:val="Paragrafi"/>
      </w:pPr>
      <w:r>
        <w:t>Zija Vuci</w:t>
      </w:r>
      <w:r w:rsidRPr="003F01FA">
        <w:tab/>
      </w:r>
      <w:r w:rsidRPr="003F01FA">
        <w:tab/>
      </w:r>
      <w:r w:rsidRPr="003F01FA">
        <w:tab/>
        <w:t>Anëtar  i</w:t>
      </w:r>
      <w:r w:rsidRPr="003F01FA">
        <w:tab/>
        <w:t>“</w:t>
      </w:r>
      <w:r w:rsidRPr="003F01FA">
        <w:tab/>
        <w:t>“</w:t>
      </w:r>
    </w:p>
    <w:p w:rsidR="00BB44C7" w:rsidRPr="003F01FA" w:rsidRDefault="00BB44C7" w:rsidP="00BB44C7">
      <w:pPr>
        <w:pStyle w:val="Paragrafi"/>
      </w:pPr>
      <w:r w:rsidRPr="003F01FA">
        <w:t xml:space="preserve">Gjergj Sauli </w:t>
      </w:r>
      <w:r w:rsidRPr="003F01FA">
        <w:tab/>
      </w:r>
      <w:r w:rsidRPr="003F01FA">
        <w:tab/>
      </w:r>
      <w:r w:rsidRPr="003F01FA">
        <w:tab/>
        <w:t>Anëtar</w:t>
      </w:r>
      <w:r w:rsidRPr="003F01FA">
        <w:tab/>
        <w:t xml:space="preserve"> i </w:t>
      </w:r>
      <w:r w:rsidRPr="003F01FA">
        <w:tab/>
        <w:t>“</w:t>
      </w:r>
      <w:r w:rsidRPr="003F01FA">
        <w:tab/>
        <w:t>“</w:t>
      </w:r>
    </w:p>
    <w:p w:rsidR="00BB44C7" w:rsidRPr="003F01FA" w:rsidRDefault="00BB44C7" w:rsidP="00BB44C7">
      <w:pPr>
        <w:pStyle w:val="Paragrafi"/>
      </w:pPr>
      <w:r>
        <w:t>Alfred Karamuço</w:t>
      </w:r>
      <w:r w:rsidRPr="003F01FA">
        <w:tab/>
      </w:r>
      <w:r w:rsidRPr="003F01FA">
        <w:tab/>
        <w:t xml:space="preserve">Anëtar </w:t>
      </w:r>
      <w:r w:rsidRPr="003F01FA">
        <w:tab/>
        <w:t xml:space="preserve"> i</w:t>
      </w:r>
      <w:r w:rsidRPr="003F01FA">
        <w:tab/>
        <w:t>“</w:t>
      </w:r>
      <w:r w:rsidRPr="003F01FA">
        <w:tab/>
        <w:t>“</w:t>
      </w:r>
    </w:p>
    <w:p w:rsidR="00BB44C7" w:rsidRPr="003F01FA" w:rsidRDefault="00BB44C7" w:rsidP="00BB44C7">
      <w:pPr>
        <w:pStyle w:val="Paragrafi"/>
      </w:pPr>
      <w:r>
        <w:t>Kristofor Peçi</w:t>
      </w:r>
      <w:r w:rsidRPr="003F01FA">
        <w:tab/>
      </w:r>
      <w:r w:rsidRPr="003F01FA">
        <w:tab/>
      </w:r>
      <w:r w:rsidRPr="003F01FA">
        <w:tab/>
        <w:t>Anëtar  i</w:t>
      </w:r>
      <w:r w:rsidRPr="003F01FA">
        <w:tab/>
        <w:t>“</w:t>
      </w:r>
      <w:r w:rsidRPr="003F01FA">
        <w:tab/>
        <w:t>“</w:t>
      </w:r>
    </w:p>
    <w:p w:rsidR="00BB44C7" w:rsidRPr="003F01FA" w:rsidRDefault="00BB44C7" w:rsidP="00BB44C7">
      <w:pPr>
        <w:pStyle w:val="Paragrafi"/>
      </w:pPr>
      <w:r>
        <w:t>Xhezair Zaganjori</w:t>
      </w:r>
      <w:r w:rsidRPr="003F01FA">
        <w:t xml:space="preserve"> </w:t>
      </w:r>
      <w:r w:rsidRPr="003F01FA">
        <w:tab/>
      </w:r>
      <w:r w:rsidRPr="003F01FA">
        <w:tab/>
        <w:t xml:space="preserve">Anëtar  i </w:t>
      </w:r>
      <w:r w:rsidRPr="003F01FA">
        <w:tab/>
        <w:t>“</w:t>
      </w:r>
      <w:r w:rsidRPr="003F01FA">
        <w:tab/>
        <w:t>“</w:t>
      </w:r>
    </w:p>
    <w:p w:rsidR="00BB44C7" w:rsidRPr="003F01FA" w:rsidRDefault="00BB44C7" w:rsidP="00BB44C7">
      <w:pPr>
        <w:pStyle w:val="Paragrafi"/>
      </w:pPr>
      <w:r>
        <w:t>Petrit Plloçi</w:t>
      </w:r>
      <w:r w:rsidRPr="003F01FA">
        <w:tab/>
      </w:r>
      <w:r w:rsidRPr="003F01FA">
        <w:tab/>
      </w:r>
      <w:r w:rsidRPr="003F01FA">
        <w:tab/>
        <w:t>Anëtar  i</w:t>
      </w:r>
      <w:r w:rsidRPr="003F01FA">
        <w:tab/>
        <w:t>“</w:t>
      </w:r>
      <w:r w:rsidRPr="003F01FA">
        <w:tab/>
        <w:t>“</w:t>
      </w:r>
    </w:p>
    <w:p w:rsidR="00BB44C7" w:rsidRPr="003F01FA" w:rsidRDefault="00BB44C7" w:rsidP="00BB44C7">
      <w:pPr>
        <w:pStyle w:val="Paragrafi"/>
      </w:pPr>
      <w:r>
        <w:t>Sokol Sadushi</w:t>
      </w:r>
      <w:r w:rsidRPr="003F01FA">
        <w:t xml:space="preserve"> </w:t>
      </w:r>
      <w:r w:rsidRPr="003F01FA">
        <w:tab/>
      </w:r>
      <w:r w:rsidRPr="003F01FA">
        <w:tab/>
      </w:r>
      <w:r>
        <w:tab/>
      </w:r>
      <w:r w:rsidRPr="003F01FA">
        <w:t xml:space="preserve">Anëtar  i  </w:t>
      </w:r>
      <w:r w:rsidRPr="003F01FA">
        <w:tab/>
        <w:t>“</w:t>
      </w:r>
      <w:r w:rsidRPr="003F01FA">
        <w:tab/>
        <w:t>“</w:t>
      </w:r>
    </w:p>
    <w:p w:rsidR="00BB44C7" w:rsidRDefault="00BB44C7" w:rsidP="00BB44C7">
      <w:pPr>
        <w:pStyle w:val="Paragrafi"/>
      </w:pPr>
      <w:r>
        <w:t>Kujtim Puto</w:t>
      </w:r>
      <w:r w:rsidRPr="003F01FA">
        <w:tab/>
      </w:r>
      <w:r w:rsidRPr="003F01FA">
        <w:tab/>
      </w:r>
      <w:r w:rsidRPr="003F01FA">
        <w:tab/>
        <w:t>Anëtar  i</w:t>
      </w:r>
      <w:r w:rsidRPr="003F01FA">
        <w:tab/>
        <w:t>“</w:t>
      </w:r>
      <w:r w:rsidRPr="003F01FA">
        <w:tab/>
        <w:t>“</w:t>
      </w:r>
    </w:p>
    <w:p w:rsidR="00BB44C7" w:rsidRPr="003F01FA" w:rsidRDefault="00BB44C7" w:rsidP="00BB44C7">
      <w:pPr>
        <w:pStyle w:val="Paragrafi"/>
      </w:pPr>
    </w:p>
    <w:p w:rsidR="00BB44C7" w:rsidRDefault="00BB44C7" w:rsidP="00BB44C7">
      <w:pPr>
        <w:pStyle w:val="Paragrafi"/>
      </w:pPr>
      <w:r w:rsidRPr="003F01FA">
        <w:t>me sekretare Arbenka Lalica</w:t>
      </w:r>
      <w:r>
        <w:t>, në datën</w:t>
      </w:r>
      <w:r w:rsidRPr="003F01FA">
        <w:t xml:space="preserve"> 10.11.2003, mori në shqyrtim në seancë gjyqësore me dyer të hapura çështjen me nr.38 Akti që i përket:</w:t>
      </w:r>
    </w:p>
    <w:p w:rsidR="00BB44C7" w:rsidRPr="003F01FA" w:rsidRDefault="00BB44C7" w:rsidP="00BB44C7">
      <w:pPr>
        <w:pStyle w:val="Paragrafi"/>
      </w:pPr>
    </w:p>
    <w:p w:rsidR="00BB44C7" w:rsidRPr="003F01FA" w:rsidRDefault="00BB44C7" w:rsidP="00BB44C7">
      <w:pPr>
        <w:pStyle w:val="Paragrafi"/>
      </w:pPr>
      <w:r>
        <w:t>KËRKUE</w:t>
      </w:r>
      <w:r w:rsidRPr="003F01FA">
        <w:t>S</w:t>
      </w:r>
      <w:r>
        <w:t xml:space="preserve">: </w:t>
      </w:r>
      <w:r w:rsidRPr="003F01FA">
        <w:t>KOMISI</w:t>
      </w:r>
      <w:r>
        <w:t>ONI I KTHIMIT DHE KOMPENSIMIT TË</w:t>
      </w:r>
      <w:r w:rsidRPr="003F01FA">
        <w:t xml:space="preserve"> PRONAVE ISH-</w:t>
      </w:r>
      <w:r>
        <w:tab/>
        <w:t>PRONARË TË PREFEKTURËS SË QARKUT TIRANË</w:t>
      </w:r>
      <w:r w:rsidRPr="003F01FA">
        <w:t>, përfaqësuar nga avokat Arqile Nini, me autorizim.</w:t>
      </w:r>
    </w:p>
    <w:p w:rsidR="00BB44C7" w:rsidRPr="003F01FA" w:rsidRDefault="00BB44C7" w:rsidP="00BB44C7">
      <w:pPr>
        <w:pStyle w:val="Paragrafi"/>
      </w:pPr>
      <w:r>
        <w:t>SUBJEKTE TË</w:t>
      </w:r>
      <w:r w:rsidRPr="003F01FA">
        <w:t xml:space="preserve"> INTERESUARA:</w:t>
      </w:r>
    </w:p>
    <w:p w:rsidR="00BB44C7" w:rsidRDefault="00BB44C7" w:rsidP="00BB44C7">
      <w:pPr>
        <w:pStyle w:val="Paragrafi"/>
      </w:pPr>
      <w:r>
        <w:t>1. ALEKSANDË</w:t>
      </w:r>
      <w:r w:rsidRPr="003F01FA">
        <w:t>R ÇURÇIA</w:t>
      </w:r>
      <w:r>
        <w:t>,</w:t>
      </w:r>
      <w:r w:rsidRPr="003F01FA">
        <w:t xml:space="preserve"> </w:t>
      </w:r>
    </w:p>
    <w:p w:rsidR="00BB44C7" w:rsidRDefault="00BB44C7" w:rsidP="00BB44C7">
      <w:pPr>
        <w:pStyle w:val="Paragrafi"/>
      </w:pPr>
      <w:r>
        <w:t xml:space="preserve">2. </w:t>
      </w:r>
      <w:r w:rsidRPr="003F01FA">
        <w:t>AGETI</w:t>
      </w:r>
      <w:r>
        <w:t xml:space="preserve">NA, SEVERIN E MARIJE ÇURÇIA, në </w:t>
      </w:r>
      <w:r w:rsidRPr="003F01FA">
        <w:t>mungesë</w:t>
      </w:r>
      <w:r>
        <w:t>.</w:t>
      </w:r>
      <w:r w:rsidRPr="00E74B13">
        <w:t xml:space="preserve"> </w:t>
      </w:r>
    </w:p>
    <w:p w:rsidR="00BB44C7" w:rsidRDefault="00BB44C7" w:rsidP="00BB44C7">
      <w:pPr>
        <w:pStyle w:val="Paragrafi"/>
      </w:pPr>
      <w:r>
        <w:t xml:space="preserve">3. </w:t>
      </w:r>
      <w:r w:rsidRPr="003F01FA">
        <w:t>AVDULLA GURABARDHI, përfaqësuar nga avokate Vitore Tusha, me prokurë.</w:t>
      </w:r>
      <w:r w:rsidRPr="00E74B13">
        <w:t xml:space="preserve"> </w:t>
      </w:r>
      <w:r>
        <w:tab/>
      </w:r>
    </w:p>
    <w:p w:rsidR="00BB44C7" w:rsidRPr="003F01FA" w:rsidRDefault="00BB44C7" w:rsidP="00BB44C7">
      <w:pPr>
        <w:pStyle w:val="Paragrafi"/>
      </w:pPr>
      <w:r>
        <w:t xml:space="preserve">4. </w:t>
      </w:r>
      <w:r w:rsidRPr="003F01FA">
        <w:t>FATMIR, LEONARD, ZYRA, SUZANA, MIMOZA, SABRIJE, SHABAN E PETRIT GURABARDHI, në mungesë.</w:t>
      </w:r>
      <w:r>
        <w:tab/>
      </w:r>
    </w:p>
    <w:p w:rsidR="00BB44C7" w:rsidRPr="003F01FA" w:rsidRDefault="00BB44C7" w:rsidP="00BB44C7">
      <w:pPr>
        <w:pStyle w:val="Paragrafi"/>
      </w:pPr>
      <w:r>
        <w:t xml:space="preserve">OBJEKTI: </w:t>
      </w:r>
      <w:r w:rsidRPr="003F01FA">
        <w:t>Shfuqizimi si antikushtetues</w:t>
      </w:r>
      <w:r>
        <w:t>e</w:t>
      </w:r>
      <w:r w:rsidRPr="003F01FA">
        <w:t xml:space="preserve"> i v</w:t>
      </w:r>
      <w:r>
        <w:t>endimeve nr.14, datë 5.</w:t>
      </w:r>
      <w:r w:rsidRPr="003F01FA">
        <w:t>4.2001 të Gjykatës së Apelit Tiranë dhe nr.126, datë 20.01.2003 të  Kolegjit Civil të Gjykatës së Lartë.</w:t>
      </w:r>
    </w:p>
    <w:p w:rsidR="00BB44C7" w:rsidRPr="003F01FA" w:rsidRDefault="00BB44C7" w:rsidP="00BB44C7">
      <w:pPr>
        <w:pStyle w:val="Paragrafi"/>
      </w:pPr>
      <w:r>
        <w:t xml:space="preserve">BAZA LIGJORE: </w:t>
      </w:r>
      <w:r w:rsidRPr="003F01FA">
        <w:t>Nenet 131/f, 133 e 134 të Kushtetutës.</w:t>
      </w:r>
    </w:p>
    <w:p w:rsidR="00BB44C7" w:rsidRPr="003F01FA" w:rsidRDefault="00BB44C7" w:rsidP="00BB44C7">
      <w:pPr>
        <w:pStyle w:val="Paragrafi"/>
      </w:pPr>
    </w:p>
    <w:p w:rsidR="00BB44C7" w:rsidRPr="003F01FA" w:rsidRDefault="00BB44C7" w:rsidP="00BB44C7">
      <w:pPr>
        <w:pStyle w:val="Paragrafi"/>
      </w:pPr>
      <w:r w:rsidRPr="003F01FA">
        <w:t>Kërkuesi ka parashtruar këto shkaqe për shfuqizimin si antikushtetues</w:t>
      </w:r>
      <w:r>
        <w:t>e</w:t>
      </w:r>
      <w:r w:rsidRPr="003F01FA">
        <w:t xml:space="preserve"> të vendimeve të mësipërme: </w:t>
      </w:r>
    </w:p>
    <w:p w:rsidR="00BB44C7" w:rsidRPr="003F01FA" w:rsidRDefault="00BB44C7" w:rsidP="00BB44C7">
      <w:pPr>
        <w:pStyle w:val="Paragrafi"/>
      </w:pPr>
      <w:r>
        <w:t>- Gjykata e Lartë</w:t>
      </w:r>
      <w:r w:rsidRPr="003F01FA">
        <w:t xml:space="preserve"> ka thirrur në gjykim si palë, Komisionin e Kthimit dhe Kompensimit të Pronave pranë Bashkisë Tiranë, kur ky i fundit kishte pushuar së ekzistuari si person juridik dhe kompetencat e tij i kishin kaluar komisioni</w:t>
      </w:r>
      <w:r>
        <w:t>t të Prefekturës së Qarkut.</w:t>
      </w:r>
    </w:p>
    <w:p w:rsidR="00BB44C7" w:rsidRPr="003F01FA" w:rsidRDefault="00BB44C7" w:rsidP="00BB44C7">
      <w:pPr>
        <w:pStyle w:val="Paragrafi"/>
      </w:pPr>
      <w:r w:rsidRPr="003F01FA">
        <w:t>- Gjykatat u ka</w:t>
      </w:r>
      <w:r>
        <w:t>në lënë barrën e provës paditës</w:t>
      </w:r>
      <w:r w:rsidRPr="003F01FA">
        <w:t>ve dhe jo t</w:t>
      </w:r>
      <w:r>
        <w:t>ë paditurve, megjithëse paditësi</w:t>
      </w:r>
      <w:r w:rsidRPr="003F01FA">
        <w:t>t kanë një truall dhe një akt publik që vërtetojnë se shënimet në regjistrat e pasur</w:t>
      </w:r>
      <w:r>
        <w:t>isë së palujtshme janë të sakta.</w:t>
      </w:r>
    </w:p>
    <w:p w:rsidR="00BB44C7" w:rsidRPr="003F01FA" w:rsidRDefault="00BB44C7" w:rsidP="00BB44C7">
      <w:pPr>
        <w:pStyle w:val="Paragrafi"/>
      </w:pPr>
      <w:r w:rsidRPr="003F01FA">
        <w:t>- Gjykata duhet të caktonte një grup tjetër ekspertësh përderisa nuk ishte sqaruar pozicioni gjeografik i pronës.</w:t>
      </w:r>
    </w:p>
    <w:p w:rsidR="00BB44C7" w:rsidRDefault="00BB44C7" w:rsidP="00BB44C7">
      <w:pPr>
        <w:pStyle w:val="Paragrafi"/>
      </w:pPr>
    </w:p>
    <w:p w:rsidR="00BB44C7" w:rsidRDefault="00BB44C7" w:rsidP="00BB44C7">
      <w:pPr>
        <w:pStyle w:val="VENDOSI"/>
      </w:pPr>
      <w:r>
        <w:t>GJYKATA KUSHTETUESE,</w:t>
      </w:r>
    </w:p>
    <w:p w:rsidR="00BB44C7" w:rsidRPr="003F01FA" w:rsidRDefault="00BB44C7" w:rsidP="00BB44C7">
      <w:pPr>
        <w:pStyle w:val="Paragrafi"/>
      </w:pPr>
    </w:p>
    <w:p w:rsidR="00BB44C7" w:rsidRPr="003F01FA" w:rsidRDefault="00BB44C7" w:rsidP="00BB44C7">
      <w:pPr>
        <w:pStyle w:val="Paragrafi"/>
      </w:pPr>
      <w:r w:rsidRPr="003F01FA">
        <w:t>pasi dëgjoi relatorin e çështjes Kujtim Puto, përfaqësuesit e palës kërkuese, të subjekteve të interesuara dhe bisedoi çështjen në tërësi,</w:t>
      </w:r>
    </w:p>
    <w:p w:rsidR="00BB44C7" w:rsidRDefault="00BB44C7" w:rsidP="00BB44C7">
      <w:pPr>
        <w:pStyle w:val="Paragrafi"/>
      </w:pPr>
    </w:p>
    <w:p w:rsidR="00BB44C7" w:rsidRDefault="00BB44C7" w:rsidP="00BB44C7">
      <w:pPr>
        <w:pStyle w:val="VENDOSI"/>
      </w:pPr>
      <w:r w:rsidRPr="003F01FA">
        <w:t>V</w:t>
      </w:r>
      <w:r>
        <w:t xml:space="preserve"> Ë R E</w:t>
      </w:r>
      <w:r w:rsidRPr="003F01FA">
        <w:t xml:space="preserve"> N:</w:t>
      </w:r>
    </w:p>
    <w:p w:rsidR="00BB44C7" w:rsidRPr="003F01FA" w:rsidRDefault="00BB44C7" w:rsidP="00BB44C7">
      <w:pPr>
        <w:pStyle w:val="Paragrafi"/>
      </w:pPr>
    </w:p>
    <w:p w:rsidR="00BB44C7" w:rsidRPr="003F01FA" w:rsidRDefault="00BB44C7" w:rsidP="00BB44C7">
      <w:pPr>
        <w:pStyle w:val="Paragrafi"/>
      </w:pPr>
      <w:r w:rsidRPr="003F01FA">
        <w:t>Komisioni  i Kthimit dhe Kompensimit të Pronave pranë Bashkisë Ti</w:t>
      </w:r>
      <w:r>
        <w:t>ranë, me vendimin nr.772, datë 6.10.1994, u</w:t>
      </w:r>
      <w:r w:rsidRPr="003F01FA">
        <w:t xml:space="preserve"> ka njohur dhe </w:t>
      </w:r>
      <w:r>
        <w:t xml:space="preserve">u ka </w:t>
      </w:r>
      <w:r w:rsidRPr="003F01FA">
        <w:t>kthyer subjekteve të interesuara “Gurabardhi” një sipërfaqe trualli prej 123 m</w:t>
      </w:r>
      <w:r w:rsidRPr="005F456B">
        <w:rPr>
          <w:vertAlign w:val="superscript"/>
        </w:rPr>
        <w:t>2</w:t>
      </w:r>
      <w:r w:rsidRPr="003F01FA">
        <w:t>, në bazë të nenit 4 të ligjit nr.7698, da</w:t>
      </w:r>
      <w:r>
        <w:t>të 15.4.1993 “Për kthimin dhe kompensimin e pronave ish-p</w:t>
      </w:r>
      <w:r w:rsidRPr="003F01FA">
        <w:t xml:space="preserve">ronarëve”. Këtë vendim e kanë kundërshtuar në gjykatë trashëgimtarët e </w:t>
      </w:r>
      <w:r w:rsidRPr="003F01FA">
        <w:lastRenderedPageBreak/>
        <w:t>Mikel Çurçisë, duke pretenduar se janë ata pronarë të truallit.</w:t>
      </w:r>
    </w:p>
    <w:p w:rsidR="00BB44C7" w:rsidRPr="003F01FA" w:rsidRDefault="00BB44C7" w:rsidP="00BB44C7">
      <w:pPr>
        <w:pStyle w:val="Paragrafi"/>
      </w:pPr>
      <w:r>
        <w:t>Gjykata e Rrethit Tiranë</w:t>
      </w:r>
      <w:r w:rsidRPr="003F01FA">
        <w:t xml:space="preserve"> ka thirrur si të paditur në gjykim Komisionin e Kthimit dhe Kompensimit të Pronave pranë Bashkisë Tiranë dhe me ve</w:t>
      </w:r>
      <w:r>
        <w:t>ndimin nr.3606, datë 22.7.1997</w:t>
      </w:r>
      <w:r w:rsidRPr="003F01FA">
        <w:t xml:space="preserve"> ka vendosur rrëzimin e padisë së subjekteve të interesuara, trashëgimta</w:t>
      </w:r>
      <w:r>
        <w:t>rëve të Mikel Çurçisë, për anul</w:t>
      </w:r>
      <w:r w:rsidRPr="003F01FA">
        <w:t xml:space="preserve">imin e vendimit të Komisionit të Kthimit dhe Kompensimit të Pronave. Ky vendim është lënë në fuqi nga Gjykata e Apelit </w:t>
      </w:r>
      <w:r>
        <w:t>Tiranë, me vendimin nr.14, datë 5.</w:t>
      </w:r>
      <w:r w:rsidRPr="003F01FA">
        <w:t xml:space="preserve">4.2000. </w:t>
      </w:r>
    </w:p>
    <w:p w:rsidR="00BB44C7" w:rsidRPr="003F01FA" w:rsidRDefault="00BB44C7" w:rsidP="00BB44C7">
      <w:pPr>
        <w:pStyle w:val="Paragrafi"/>
      </w:pPr>
      <w:r w:rsidRPr="003F01FA">
        <w:t>Pas përfundimit të gjykimit të çështjes në Gjykatën e Apelit Tiranë, k</w:t>
      </w:r>
      <w:r>
        <w:t>a dalë vendimi nr.138, datë 22.</w:t>
      </w:r>
      <w:r w:rsidRPr="003F01FA">
        <w:t xml:space="preserve">3.2001 i Këshillit të Ministrave, me të cilin </w:t>
      </w:r>
      <w:r>
        <w:t>ë</w:t>
      </w:r>
      <w:r w:rsidRPr="003F01FA">
        <w:t>shtë ndryshuar vendi</w:t>
      </w:r>
      <w:r>
        <w:t>mi i mëparshëm nr.301, datë 14.</w:t>
      </w:r>
      <w:r w:rsidRPr="003F01FA">
        <w:t>6.1993 dhe kompetencat që kishte Komisioni i Kthimit dhe Kompen</w:t>
      </w:r>
      <w:r>
        <w:t>simit të Pronave pranë Bashkisë</w:t>
      </w:r>
      <w:r w:rsidRPr="003F01FA">
        <w:t xml:space="preserve"> i kaluan Komisionit të Prefekturës së Qarkut. Kolegji Civil i Gjykatës së Lartë, me vendimin nr.126, datë 20</w:t>
      </w:r>
      <w:r>
        <w:t>.</w:t>
      </w:r>
      <w:r w:rsidRPr="003F01FA">
        <w:t>1.2003, ka lënë në fuqi vendimin e gjykatës së apelit.</w:t>
      </w:r>
    </w:p>
    <w:p w:rsidR="00BB44C7" w:rsidRDefault="00BB44C7" w:rsidP="00BB44C7">
      <w:pPr>
        <w:pStyle w:val="Paragrafi"/>
      </w:pPr>
      <w:r w:rsidRPr="003F01FA">
        <w:t xml:space="preserve">Në çështjen në gjykim është vënë në diskutim legjitimimi i Komisionit të Kthimit dhe Kompensimit të Pronave të Prefekturës së Qarkut për të vënë në lëvizje Gjykatën Kushtetuese. Sipas nenit 134 të Kushtetutës, legjitimi i individit kushtëzohet nga interesi i tij, si bartës i të drejtave dhe lirive themelore; ndërsa sipas nenit </w:t>
      </w:r>
      <w:r>
        <w:t>16/2 të Kushtetutës edhe personat juridikë mund të jenë bartës</w:t>
      </w:r>
      <w:r w:rsidRPr="003F01FA">
        <w:t xml:space="preserve"> të të drejtave e lirive themelore, por vetëm për aq sa këto të drejta e liri përputhen me qëllimet e përgjithshme të këtyre personave dhe me thelbin e vetë të drejtave e lirive themelore.</w:t>
      </w:r>
    </w:p>
    <w:p w:rsidR="00BB44C7" w:rsidRPr="003F01FA" w:rsidRDefault="00BB44C7" w:rsidP="00BB44C7">
      <w:pPr>
        <w:pStyle w:val="Paragrafi"/>
      </w:pPr>
    </w:p>
    <w:p w:rsidR="00BB44C7" w:rsidRPr="003F01FA" w:rsidRDefault="00BB44C7" w:rsidP="00BB44C7">
      <w:pPr>
        <w:pStyle w:val="Paragrafi"/>
      </w:pPr>
      <w:r w:rsidRPr="003F01FA">
        <w:t>Personat</w:t>
      </w:r>
      <w:r>
        <w:t xml:space="preserve"> juridikë të së drejtës private</w:t>
      </w:r>
      <w:r w:rsidRPr="003F01FA">
        <w:t xml:space="preserve"> janë përfitues të këtyre të drejtave e lirive dhe si të </w:t>
      </w:r>
      <w:r>
        <w:t>tillë mund ta vë</w:t>
      </w:r>
      <w:r w:rsidRPr="003F01FA">
        <w:t>në në lëvizje Gjykatën Kushtetuese për pretendime për proces jo të rregullt, sipas nenit 42 e 131/f të Kushtetutës. Këtë të drejtë e gëzojnë edhe partitë politike e organizatat e tjera që kanë qëllim të mbrojnë liri e të drejta të veçanta të individëve</w:t>
      </w:r>
      <w:r>
        <w:t>, si p.sh.</w:t>
      </w:r>
      <w:r w:rsidRPr="003F01FA">
        <w:t xml:space="preserve"> të drejtën e zgjedhjes e lirinë e besimit.</w:t>
      </w:r>
    </w:p>
    <w:p w:rsidR="00BB44C7" w:rsidRPr="003F01FA" w:rsidRDefault="00BB44C7" w:rsidP="00BB44C7">
      <w:pPr>
        <w:pStyle w:val="Paragrafi"/>
      </w:pPr>
      <w:r w:rsidRPr="003F01FA">
        <w:t xml:space="preserve">Çështja ndryshon përsa i përket personave juridikë publikë. Ata ushtrojnë funksione shtetërore </w:t>
      </w:r>
      <w:r>
        <w:t>e marrin vendime pa qenë bartës</w:t>
      </w:r>
      <w:r w:rsidRPr="003F01FA">
        <w:t xml:space="preserve"> të të drejtave e lirive themelore. Rregullimet e aktet që nxjerrin këto organe nuk mund të bëhen objekt i të drejtave themelore nga vetë ata</w:t>
      </w:r>
      <w:r>
        <w:t>,</w:t>
      </w:r>
      <w:r w:rsidRPr="003F01FA">
        <w:t xml:space="preserve"> </w:t>
      </w:r>
      <w:r>
        <w:t>sepse mungon lidhja e tyre me qe</w:t>
      </w:r>
      <w:r w:rsidRPr="003F01FA">
        <w:t>nien njerëzore. Qëllimi themelor i të drejtave e lirive është mbrojtja e sferës private të individit nga shteti, prandaj organizmat e vetë shtetit nuk mund të bëhen subjekte të të drejtave dhe lirive themelore gjatë kryerjes së detyrave shtetërore. Si përjas</w:t>
      </w:r>
      <w:r>
        <w:t>htim, personat juridikë publikë</w:t>
      </w:r>
      <w:r w:rsidRPr="003F01FA">
        <w:t xml:space="preserve"> mund ta venë në lëvizje Gjykatën Kushtetuese</w:t>
      </w:r>
      <w:r>
        <w:t>,</w:t>
      </w:r>
      <w:r w:rsidRPr="003F01FA">
        <w:t xml:space="preserve"> kur ata marrin</w:t>
      </w:r>
      <w:r>
        <w:t xml:space="preserve"> pjesë në qarkullimin civil e ce</w:t>
      </w:r>
      <w:r w:rsidRPr="003F01FA">
        <w:t>nohen njëlloj si të ishin qytetarë të thjeshtë</w:t>
      </w:r>
      <w:r>
        <w:t>,</w:t>
      </w:r>
      <w:r w:rsidRPr="003F01FA">
        <w:t xml:space="preserve"> si dhe në</w:t>
      </w:r>
      <w:r>
        <w:t xml:space="preserve"> rastet kur janë ngarkuar drejt</w:t>
      </w:r>
      <w:r w:rsidRPr="003F01FA">
        <w:t>përdrejt me mbrojtjen e një fushe të caktuar të drejtash themelore</w:t>
      </w:r>
      <w:r>
        <w:t>,</w:t>
      </w:r>
      <w:r w:rsidRPr="003F01FA">
        <w:t xml:space="preserve"> që shërbejnë direkt për të forcuar autonominë e tyre. Në rastin e fundit do të trajtoheshin si individë që venë në lëvizje Gjykatën Kushtetuese, në kuptim të nenit 134/1 “g” në lidhje me nenin 16/2 të Kushtetutës edhe organet e pushtetit lokal, un</w:t>
      </w:r>
      <w:r>
        <w:t>iversitetet dhe stacionet radio</w:t>
      </w:r>
      <w:r w:rsidRPr="003F01FA">
        <w:t>televizive.</w:t>
      </w:r>
    </w:p>
    <w:p w:rsidR="00BB44C7" w:rsidRPr="003F01FA" w:rsidRDefault="00BB44C7" w:rsidP="00BB44C7">
      <w:pPr>
        <w:pStyle w:val="Paragrafi"/>
      </w:pPr>
      <w:r w:rsidRPr="003F01FA">
        <w:t>Komisioni i Kthimit dhe Kompensimit të Pronave të Prefekturës së Qarkut Tiranë, në çështjen në shqyrtim, kundërshton gjykimin e Gjykatës së Lartë për një vendim të Komisionit të Kthimit të Pronave të Bashkisë, pra për një çështje që nuk ka të bëjë me të drejtën subjektive të vetë komisionit, por me veprimtarinë vendimmarrëse të tij për kthimin e pronave ish-pronarëve. Duke u nisur nga kjo dhe nga fakti që ai nuk vërtetoi t’i jetë prekur ndonjë interes tjetër juridik, në kuptim të nenit 134/2 të Kushtetutës, kërkesa duhet të rrëzohet për mungesë legjitimimi.</w:t>
      </w:r>
    </w:p>
    <w:p w:rsidR="00BB44C7" w:rsidRDefault="00BB44C7" w:rsidP="00BB44C7">
      <w:pPr>
        <w:pStyle w:val="Paragrafi"/>
      </w:pPr>
    </w:p>
    <w:p w:rsidR="00BB44C7" w:rsidRDefault="00BB44C7" w:rsidP="00BB44C7">
      <w:pPr>
        <w:pStyle w:val="VENDOSI"/>
      </w:pPr>
      <w:r>
        <w:t>PëR KëTO ARSYE,</w:t>
      </w:r>
    </w:p>
    <w:p w:rsidR="00BB44C7" w:rsidRPr="003F01FA" w:rsidRDefault="00BB44C7" w:rsidP="00BB44C7">
      <w:pPr>
        <w:pStyle w:val="Paragrafi"/>
      </w:pPr>
    </w:p>
    <w:p w:rsidR="00BB44C7" w:rsidRPr="003F01FA" w:rsidRDefault="00BB44C7" w:rsidP="00BB44C7">
      <w:pPr>
        <w:pStyle w:val="Paragrafi"/>
      </w:pPr>
      <w:r w:rsidRPr="003F01FA">
        <w:t>Gjykata Kushtetuese e Republikës së Shqipërisë</w:t>
      </w:r>
      <w:r>
        <w:t>,</w:t>
      </w:r>
      <w:r w:rsidRPr="003F01FA">
        <w:t xml:space="preserve"> në mbështetje të nenit 72 e vij</w:t>
      </w:r>
      <w:r>
        <w:t>ues të ligjit nr.8577, datë 10.</w:t>
      </w:r>
      <w:r w:rsidRPr="003F01FA">
        <w:t xml:space="preserve">2.2000 “Për organizimin dhe funksionimin e Gjykatës Kushtetuese të Republikës së Shqipërisë”, me shumicë votash, </w:t>
      </w:r>
    </w:p>
    <w:p w:rsidR="00BB44C7" w:rsidRDefault="00BB44C7" w:rsidP="00BB44C7">
      <w:pPr>
        <w:pStyle w:val="Paragrafi"/>
      </w:pPr>
    </w:p>
    <w:p w:rsidR="00BB44C7" w:rsidRDefault="00BB44C7" w:rsidP="00BB44C7">
      <w:pPr>
        <w:pStyle w:val="VENDOSI"/>
      </w:pPr>
      <w:r w:rsidRPr="003F01FA">
        <w:t>V E N D O S I:</w:t>
      </w:r>
    </w:p>
    <w:p w:rsidR="00BB44C7" w:rsidRPr="003F01FA" w:rsidRDefault="00BB44C7" w:rsidP="00BB44C7">
      <w:pPr>
        <w:pStyle w:val="Paragrafi"/>
      </w:pPr>
    </w:p>
    <w:p w:rsidR="00BB44C7" w:rsidRPr="003F01FA" w:rsidRDefault="00BB44C7" w:rsidP="00BB44C7">
      <w:pPr>
        <w:pStyle w:val="Paragrafi"/>
      </w:pPr>
      <w:r w:rsidRPr="003F01FA">
        <w:t>- Rrëzimin e kërkesës.</w:t>
      </w:r>
    </w:p>
    <w:p w:rsidR="00BB44C7" w:rsidRDefault="00BB44C7" w:rsidP="00BB44C7">
      <w:pPr>
        <w:pStyle w:val="Paragrafi"/>
      </w:pPr>
      <w:r w:rsidRPr="003F01FA">
        <w:t>- Ky vendim është përfundimtar, i formës së prerë dhe hyn në fuqi ditën e botimit në Fletoren Zyrtare.</w:t>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45A4B"/>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44C7"/>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8E4A80D-2F98-4DBB-A4A7-299CF61D2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BB44C7"/>
    <w:rPr>
      <w:rFonts w:ascii="CG Times" w:hAnsi="CG Times"/>
      <w:sz w:val="22"/>
      <w:lang w:val="en-US" w:eastAsia="en-US" w:bidi="ar-SA"/>
    </w:rPr>
  </w:style>
  <w:style w:type="character" w:customStyle="1" w:styleId="VENDOSIChar">
    <w:name w:val="VENDOSI Char"/>
    <w:basedOn w:val="DefaultParagraphFont"/>
    <w:link w:val="VENDOSI"/>
    <w:rsid w:val="00BB44C7"/>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2019-03-14T16:45:00Z</dcterms:created>
  <dcterms:modified xsi:type="dcterms:W3CDTF">2019-03-14T16:45:00Z</dcterms:modified>
</cp:coreProperties>
</file>