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F11" w:rsidRPr="006E0056" w:rsidRDefault="00244F11" w:rsidP="00244F11">
      <w:pPr>
        <w:pStyle w:val="Akti"/>
        <w:keepNext w:val="0"/>
      </w:pPr>
      <w:bookmarkStart w:id="0" w:name="_GoBack"/>
      <w:bookmarkEnd w:id="0"/>
      <w:r w:rsidRPr="006E0056">
        <w:t>VENDIM</w:t>
      </w:r>
    </w:p>
    <w:p w:rsidR="00244F11" w:rsidRPr="006E0056" w:rsidRDefault="00244F11" w:rsidP="00244F11">
      <w:pPr>
        <w:pStyle w:val="NumriData"/>
        <w:keepNext w:val="0"/>
        <w:rPr>
          <w:szCs w:val="22"/>
        </w:rPr>
      </w:pPr>
      <w:r>
        <w:rPr>
          <w:szCs w:val="22"/>
        </w:rPr>
        <w:t>Nr.12, datë 17.</w:t>
      </w:r>
      <w:r w:rsidRPr="006E0056">
        <w:rPr>
          <w:szCs w:val="22"/>
        </w:rPr>
        <w:t>6.2004</w:t>
      </w:r>
    </w:p>
    <w:p w:rsidR="00244F11" w:rsidRPr="006E0056" w:rsidRDefault="00244F11" w:rsidP="00244F11">
      <w:pPr>
        <w:pStyle w:val="Paragrafi"/>
        <w:rPr>
          <w:szCs w:val="22"/>
        </w:rPr>
      </w:pPr>
    </w:p>
    <w:p w:rsidR="00244F11" w:rsidRPr="006E0056" w:rsidRDefault="00244F11" w:rsidP="00244F11">
      <w:pPr>
        <w:pStyle w:val="Titulli"/>
        <w:keepNext w:val="0"/>
      </w:pPr>
      <w:r w:rsidRPr="006E0056">
        <w:t>NË EMËR TË REPUBLIKËS SË SHQIPËRISË</w:t>
      </w:r>
    </w:p>
    <w:p w:rsidR="00244F11" w:rsidRPr="006E0056" w:rsidRDefault="00244F11" w:rsidP="00244F11">
      <w:pPr>
        <w:pStyle w:val="Paragrafi"/>
        <w:rPr>
          <w:szCs w:val="22"/>
        </w:rPr>
      </w:pPr>
    </w:p>
    <w:p w:rsidR="00244F11" w:rsidRPr="006E0056" w:rsidRDefault="00244F11" w:rsidP="00244F11">
      <w:pPr>
        <w:pStyle w:val="Paragrafi"/>
        <w:rPr>
          <w:szCs w:val="22"/>
        </w:rPr>
      </w:pPr>
      <w:r w:rsidRPr="006E0056">
        <w:rPr>
          <w:szCs w:val="22"/>
        </w:rPr>
        <w:t>Gjykata Kushtetuese e Republikës së Shqipërisë, e përbërë nga:</w:t>
      </w:r>
    </w:p>
    <w:p w:rsidR="00244F11" w:rsidRPr="006E0056" w:rsidRDefault="00244F11" w:rsidP="00244F11">
      <w:pPr>
        <w:pStyle w:val="Paragrafi"/>
        <w:rPr>
          <w:szCs w:val="22"/>
        </w:rPr>
      </w:pPr>
    </w:p>
    <w:p w:rsidR="00244F11" w:rsidRPr="006E0056" w:rsidRDefault="00244F11" w:rsidP="00244F11">
      <w:pPr>
        <w:pStyle w:val="Paragrafi"/>
        <w:rPr>
          <w:szCs w:val="22"/>
        </w:rPr>
      </w:pPr>
      <w:r w:rsidRPr="006E0056">
        <w:rPr>
          <w:szCs w:val="22"/>
        </w:rPr>
        <w:t>Gjergj Sauli</w:t>
      </w:r>
      <w:r w:rsidRPr="006E0056">
        <w:rPr>
          <w:szCs w:val="22"/>
        </w:rPr>
        <w:tab/>
      </w:r>
      <w:r w:rsidRPr="006E0056">
        <w:rPr>
          <w:szCs w:val="22"/>
        </w:rPr>
        <w:tab/>
      </w:r>
      <w:r w:rsidRPr="006E0056">
        <w:rPr>
          <w:szCs w:val="22"/>
        </w:rPr>
        <w:tab/>
      </w:r>
      <w:r w:rsidRPr="006E0056">
        <w:rPr>
          <w:szCs w:val="22"/>
        </w:rPr>
        <w:tab/>
        <w:t>Kryetar i Gjykatës Kushtetuese</w:t>
      </w:r>
    </w:p>
    <w:p w:rsidR="00244F11" w:rsidRPr="006E0056" w:rsidRDefault="00244F11" w:rsidP="00244F11">
      <w:pPr>
        <w:pStyle w:val="Paragrafi"/>
        <w:rPr>
          <w:szCs w:val="22"/>
        </w:rPr>
      </w:pPr>
      <w:r w:rsidRPr="006E0056">
        <w:rPr>
          <w:szCs w:val="22"/>
        </w:rPr>
        <w:t>Zija Vuci</w:t>
      </w:r>
      <w:r w:rsidRPr="006E0056">
        <w:rPr>
          <w:szCs w:val="22"/>
        </w:rPr>
        <w:tab/>
      </w:r>
      <w:r w:rsidRPr="006E0056">
        <w:rPr>
          <w:szCs w:val="22"/>
        </w:rPr>
        <w:tab/>
      </w:r>
      <w:r w:rsidRPr="006E0056">
        <w:rPr>
          <w:szCs w:val="22"/>
        </w:rPr>
        <w:tab/>
      </w:r>
      <w:r w:rsidRPr="006E0056">
        <w:rPr>
          <w:szCs w:val="22"/>
        </w:rPr>
        <w:tab/>
        <w:t xml:space="preserve">Anëtar   i </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Alfred Karamuço</w:t>
      </w:r>
      <w:r w:rsidRPr="006E0056">
        <w:rPr>
          <w:szCs w:val="22"/>
        </w:rPr>
        <w:tab/>
      </w:r>
      <w:r w:rsidRPr="006E0056">
        <w:rPr>
          <w:szCs w:val="22"/>
        </w:rPr>
        <w:tab/>
      </w:r>
      <w:r w:rsidRPr="006E0056">
        <w:rPr>
          <w:szCs w:val="22"/>
        </w:rPr>
        <w:tab/>
        <w:t>Anëtar   i</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Fehmi Abdiu</w:t>
      </w:r>
      <w:r w:rsidRPr="006E0056">
        <w:rPr>
          <w:szCs w:val="22"/>
        </w:rPr>
        <w:tab/>
      </w:r>
      <w:r w:rsidRPr="006E0056">
        <w:rPr>
          <w:szCs w:val="22"/>
        </w:rPr>
        <w:tab/>
      </w:r>
      <w:r w:rsidRPr="006E0056">
        <w:rPr>
          <w:szCs w:val="22"/>
        </w:rPr>
        <w:tab/>
      </w:r>
      <w:r w:rsidRPr="006E0056">
        <w:rPr>
          <w:szCs w:val="22"/>
        </w:rPr>
        <w:tab/>
        <w:t>Anëtar   i</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Kristofor Peçi</w:t>
      </w:r>
      <w:r w:rsidRPr="006E0056">
        <w:rPr>
          <w:szCs w:val="22"/>
        </w:rPr>
        <w:tab/>
      </w:r>
      <w:r w:rsidRPr="006E0056">
        <w:rPr>
          <w:szCs w:val="22"/>
        </w:rPr>
        <w:tab/>
      </w:r>
      <w:r w:rsidRPr="006E0056">
        <w:rPr>
          <w:szCs w:val="22"/>
        </w:rPr>
        <w:tab/>
      </w:r>
      <w:r w:rsidRPr="006E0056">
        <w:rPr>
          <w:szCs w:val="22"/>
        </w:rPr>
        <w:tab/>
        <w:t xml:space="preserve">Anëtar   i </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 xml:space="preserve">Xhezair Zaganjori   </w:t>
      </w:r>
      <w:r w:rsidRPr="006E0056">
        <w:rPr>
          <w:szCs w:val="22"/>
        </w:rPr>
        <w:tab/>
      </w:r>
      <w:r w:rsidRPr="006E0056">
        <w:rPr>
          <w:szCs w:val="22"/>
        </w:rPr>
        <w:tab/>
      </w:r>
      <w:r w:rsidRPr="006E0056">
        <w:rPr>
          <w:szCs w:val="22"/>
        </w:rPr>
        <w:tab/>
        <w:t xml:space="preserve">Anëtar   i </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Sokol Sadushi</w:t>
      </w:r>
      <w:r w:rsidRPr="006E0056">
        <w:rPr>
          <w:szCs w:val="22"/>
        </w:rPr>
        <w:tab/>
      </w:r>
      <w:r w:rsidRPr="006E0056">
        <w:rPr>
          <w:szCs w:val="22"/>
        </w:rPr>
        <w:tab/>
      </w:r>
      <w:r w:rsidRPr="006E0056">
        <w:rPr>
          <w:szCs w:val="22"/>
        </w:rPr>
        <w:tab/>
      </w:r>
      <w:r w:rsidRPr="006E0056">
        <w:rPr>
          <w:szCs w:val="22"/>
        </w:rPr>
        <w:tab/>
        <w:t xml:space="preserve">Anëtar   i </w:t>
      </w:r>
      <w:r w:rsidRPr="006E0056">
        <w:rPr>
          <w:szCs w:val="22"/>
        </w:rPr>
        <w:tab/>
        <w:t>“</w:t>
      </w:r>
      <w:r w:rsidRPr="006E0056">
        <w:rPr>
          <w:szCs w:val="22"/>
        </w:rPr>
        <w:tab/>
        <w:t xml:space="preserve">“   </w:t>
      </w:r>
    </w:p>
    <w:p w:rsidR="00244F11" w:rsidRPr="006E0056" w:rsidRDefault="00244F11" w:rsidP="00244F11">
      <w:pPr>
        <w:pStyle w:val="Paragrafi"/>
        <w:rPr>
          <w:szCs w:val="22"/>
        </w:rPr>
      </w:pPr>
      <w:r w:rsidRPr="006E0056">
        <w:rPr>
          <w:szCs w:val="22"/>
        </w:rPr>
        <w:t>Petrit Plloçi</w:t>
      </w:r>
      <w:r w:rsidRPr="006E0056">
        <w:rPr>
          <w:szCs w:val="22"/>
        </w:rPr>
        <w:tab/>
      </w:r>
      <w:r w:rsidRPr="006E0056">
        <w:rPr>
          <w:szCs w:val="22"/>
        </w:rPr>
        <w:tab/>
      </w:r>
      <w:r w:rsidRPr="006E0056">
        <w:rPr>
          <w:szCs w:val="22"/>
        </w:rPr>
        <w:tab/>
      </w:r>
      <w:r w:rsidRPr="006E0056">
        <w:rPr>
          <w:szCs w:val="22"/>
        </w:rPr>
        <w:tab/>
        <w:t>Anëtar   i</w:t>
      </w:r>
      <w:r w:rsidRPr="006E0056">
        <w:rPr>
          <w:szCs w:val="22"/>
        </w:rPr>
        <w:tab/>
        <w:t>“</w:t>
      </w:r>
      <w:r w:rsidRPr="006E0056">
        <w:rPr>
          <w:szCs w:val="22"/>
        </w:rPr>
        <w:tab/>
        <w:t>“</w:t>
      </w:r>
    </w:p>
    <w:p w:rsidR="00244F11" w:rsidRPr="006E0056" w:rsidRDefault="00244F11" w:rsidP="00244F11">
      <w:pPr>
        <w:pStyle w:val="Paragrafi"/>
        <w:rPr>
          <w:szCs w:val="22"/>
        </w:rPr>
      </w:pPr>
      <w:r>
        <w:rPr>
          <w:szCs w:val="22"/>
        </w:rPr>
        <w:t>Kujtim Puto</w:t>
      </w:r>
      <w:r w:rsidRPr="006E0056">
        <w:rPr>
          <w:szCs w:val="22"/>
        </w:rPr>
        <w:tab/>
      </w:r>
      <w:r w:rsidRPr="006E0056">
        <w:rPr>
          <w:szCs w:val="22"/>
        </w:rPr>
        <w:tab/>
      </w:r>
      <w:r w:rsidRPr="006E0056">
        <w:rPr>
          <w:szCs w:val="22"/>
        </w:rPr>
        <w:tab/>
      </w:r>
      <w:r w:rsidRPr="006E0056">
        <w:rPr>
          <w:szCs w:val="22"/>
        </w:rPr>
        <w:tab/>
        <w:t xml:space="preserve">Anëtar   i </w:t>
      </w:r>
      <w:r w:rsidRPr="006E0056">
        <w:rPr>
          <w:szCs w:val="22"/>
        </w:rPr>
        <w:tab/>
        <w:t>“</w:t>
      </w:r>
      <w:r w:rsidRPr="006E0056">
        <w:rPr>
          <w:szCs w:val="22"/>
        </w:rPr>
        <w:tab/>
        <w:t xml:space="preserve">“   </w:t>
      </w:r>
    </w:p>
    <w:p w:rsidR="00244F11" w:rsidRPr="006E0056" w:rsidRDefault="00244F11" w:rsidP="00244F11">
      <w:pPr>
        <w:pStyle w:val="Paragrafi"/>
        <w:rPr>
          <w:szCs w:val="22"/>
        </w:rPr>
      </w:pPr>
    </w:p>
    <w:p w:rsidR="00244F11" w:rsidRDefault="00244F11" w:rsidP="00244F11">
      <w:pPr>
        <w:pStyle w:val="Paragrafi"/>
        <w:rPr>
          <w:szCs w:val="22"/>
        </w:rPr>
      </w:pPr>
      <w:r w:rsidRPr="006E0056">
        <w:rPr>
          <w:szCs w:val="22"/>
        </w:rPr>
        <w:t xml:space="preserve">me sekretare Arbenka Lalica, në datë 9.3.2004, mori në shqyrtim në seancë gjyqësore me dyer të hapura çështjen me nr.7 Akti që i përket: </w:t>
      </w:r>
    </w:p>
    <w:p w:rsidR="00244F11" w:rsidRPr="006E0056" w:rsidRDefault="00244F11" w:rsidP="00244F11">
      <w:pPr>
        <w:pStyle w:val="Paragrafi"/>
        <w:rPr>
          <w:szCs w:val="22"/>
        </w:rPr>
      </w:pPr>
    </w:p>
    <w:p w:rsidR="00244F11" w:rsidRPr="006E0056" w:rsidRDefault="00244F11" w:rsidP="00244F11">
      <w:pPr>
        <w:pStyle w:val="Paragrafi"/>
        <w:rPr>
          <w:szCs w:val="22"/>
        </w:rPr>
      </w:pPr>
      <w:r w:rsidRPr="006E0056">
        <w:rPr>
          <w:szCs w:val="22"/>
        </w:rPr>
        <w:t>KËRKUES:</w:t>
      </w:r>
      <w:r>
        <w:rPr>
          <w:szCs w:val="22"/>
        </w:rPr>
        <w:t xml:space="preserve"> </w:t>
      </w:r>
      <w:r w:rsidRPr="006E0056">
        <w:rPr>
          <w:szCs w:val="22"/>
        </w:rPr>
        <w:t xml:space="preserve">ILIR DUSHI </w:t>
      </w:r>
    </w:p>
    <w:p w:rsidR="00244F11" w:rsidRPr="006E0056" w:rsidRDefault="00244F11" w:rsidP="00244F11">
      <w:pPr>
        <w:pStyle w:val="Paragrafi"/>
        <w:rPr>
          <w:szCs w:val="22"/>
        </w:rPr>
      </w:pPr>
      <w:r w:rsidRPr="006E0056">
        <w:rPr>
          <w:szCs w:val="22"/>
        </w:rPr>
        <w:t>SUBJEKT</w:t>
      </w:r>
      <w:r>
        <w:rPr>
          <w:szCs w:val="22"/>
        </w:rPr>
        <w:t>I</w:t>
      </w:r>
      <w:r w:rsidRPr="006E0056">
        <w:rPr>
          <w:szCs w:val="22"/>
        </w:rPr>
        <w:t xml:space="preserve"> I INTERESUAR: KËSHILLI I LARTË I DREJTËSISË, përfaqësuar nga zotërinjtë Ilir Toska e Luan Dervishi, me autorizim.</w:t>
      </w:r>
    </w:p>
    <w:p w:rsidR="00244F11" w:rsidRPr="006E0056" w:rsidRDefault="00244F11" w:rsidP="00244F11">
      <w:pPr>
        <w:pStyle w:val="Paragrafi"/>
        <w:rPr>
          <w:szCs w:val="22"/>
        </w:rPr>
      </w:pPr>
      <w:r w:rsidRPr="006E0056">
        <w:rPr>
          <w:szCs w:val="22"/>
        </w:rPr>
        <w:t>OBJEKTI:</w:t>
      </w:r>
      <w:r>
        <w:rPr>
          <w:szCs w:val="22"/>
        </w:rPr>
        <w:t xml:space="preserve"> </w:t>
      </w:r>
      <w:r w:rsidRPr="006E0056">
        <w:rPr>
          <w:szCs w:val="22"/>
        </w:rPr>
        <w:t>Shfuqizimi si antikushtetuese i vendimeve nr.173/3, datë 21.2.2003 të Këshillit të Lartë të Drejtësisë dhe nr.30, datë 31.3.2003 të Kolegjeve të Bashkuara të Gjykatës së Lartë.</w:t>
      </w:r>
    </w:p>
    <w:p w:rsidR="00244F11" w:rsidRPr="006E0056" w:rsidRDefault="00244F11" w:rsidP="00244F11">
      <w:pPr>
        <w:pStyle w:val="Paragrafi"/>
        <w:rPr>
          <w:szCs w:val="22"/>
        </w:rPr>
      </w:pPr>
      <w:r w:rsidRPr="006E0056">
        <w:rPr>
          <w:szCs w:val="22"/>
        </w:rPr>
        <w:t>Kërkuesi ka parashtruar këto shkaqe për shfuqizimin si antikushtetuese të vendimeve të lartpërmendura:</w:t>
      </w:r>
    </w:p>
    <w:p w:rsidR="00244F11" w:rsidRPr="006E0056" w:rsidRDefault="00244F11" w:rsidP="00244F11">
      <w:pPr>
        <w:pStyle w:val="Paragrafi"/>
        <w:rPr>
          <w:szCs w:val="22"/>
        </w:rPr>
      </w:pPr>
      <w:r w:rsidRPr="006E0056">
        <w:rPr>
          <w:szCs w:val="22"/>
        </w:rPr>
        <w:t>- Vendimet e Këshillit të Lartë të Drejtësisë dhe të Kolegjeve të Bashkuara të Gjykatës së Lartë, vijnë në kundërshtim me kërkesat e nenit 147/6 të Kushtetutës, sepse pezullimi i ekzekutim</w:t>
      </w:r>
      <w:r>
        <w:rPr>
          <w:szCs w:val="22"/>
        </w:rPr>
        <w:t>it të vendimit të të dënuarit A.</w:t>
      </w:r>
      <w:r w:rsidRPr="006E0056">
        <w:rPr>
          <w:szCs w:val="22"/>
        </w:rPr>
        <w:t>Kuqo nuk mund të përbëjë akt e sjellje që diskrediton pozitën e gjyqtarit dhe as pamjaftueshmëri profesionale</w:t>
      </w:r>
      <w:r>
        <w:rPr>
          <w:szCs w:val="22"/>
        </w:rPr>
        <w:t>.</w:t>
      </w:r>
    </w:p>
    <w:p w:rsidR="00244F11" w:rsidRPr="006E0056" w:rsidRDefault="00244F11" w:rsidP="00244F11">
      <w:pPr>
        <w:pStyle w:val="Paragrafi"/>
        <w:rPr>
          <w:szCs w:val="22"/>
        </w:rPr>
      </w:pPr>
      <w:r w:rsidRPr="006E0056">
        <w:rPr>
          <w:szCs w:val="22"/>
        </w:rPr>
        <w:t>- Vendimet e formës së prerë mund të kontrollohen vetëm nga instancat gjyqësore më të larta dhe nuk mund të preken nga asnjë organ shtetëror duke përfshirë edhe Këshillin e Lartë të Drejtësisë</w:t>
      </w:r>
      <w:r>
        <w:rPr>
          <w:szCs w:val="22"/>
        </w:rPr>
        <w:t>.</w:t>
      </w:r>
    </w:p>
    <w:p w:rsidR="00244F11" w:rsidRPr="006E0056" w:rsidRDefault="00244F11" w:rsidP="00244F11">
      <w:pPr>
        <w:pStyle w:val="Paragrafi"/>
        <w:rPr>
          <w:szCs w:val="22"/>
        </w:rPr>
      </w:pPr>
      <w:r w:rsidRPr="006E0056">
        <w:rPr>
          <w:szCs w:val="22"/>
        </w:rPr>
        <w:t>- Kontrolli i vendimit nr.297, datë 9.12.2002 është bërë nga Inspektorati i Ministrit të Drejtësisë (i cili ka përgatitur edhe materialin e kontrollit) dhe jo nga Inspektorati i Këshillit të Lartë të Drejtësisë, gjë që vjen në kundërshtim me parimin e ndarjes së pushteteve dhe me nenet 16 e 17 të ligjit “Për organizimin e pushtetit gjyqësor në Republikën e Shqipërisë”.</w:t>
      </w:r>
    </w:p>
    <w:p w:rsidR="00244F11" w:rsidRPr="006E0056" w:rsidRDefault="00244F11" w:rsidP="00244F11">
      <w:pPr>
        <w:pStyle w:val="Paragrafi"/>
        <w:rPr>
          <w:szCs w:val="22"/>
        </w:rPr>
      </w:pPr>
    </w:p>
    <w:p w:rsidR="00244F11" w:rsidRPr="006E0056" w:rsidRDefault="00244F11" w:rsidP="00244F11">
      <w:pPr>
        <w:pStyle w:val="VENDOSI"/>
        <w:keepNext w:val="0"/>
      </w:pPr>
      <w:r w:rsidRPr="006E0056">
        <w:t>GJYKATA KUSHTETUESE,</w:t>
      </w:r>
    </w:p>
    <w:p w:rsidR="00244F11" w:rsidRPr="006E0056" w:rsidRDefault="00244F11" w:rsidP="00244F11">
      <w:pPr>
        <w:pStyle w:val="Paragrafi"/>
        <w:rPr>
          <w:szCs w:val="22"/>
        </w:rPr>
      </w:pPr>
    </w:p>
    <w:p w:rsidR="00244F11" w:rsidRPr="006E0056" w:rsidRDefault="00244F11" w:rsidP="00244F11">
      <w:pPr>
        <w:pStyle w:val="Paragrafi"/>
        <w:rPr>
          <w:szCs w:val="22"/>
        </w:rPr>
      </w:pPr>
      <w:r w:rsidRPr="006E0056">
        <w:rPr>
          <w:szCs w:val="22"/>
        </w:rPr>
        <w:t>pasi dëgjoi relatorin e çështjes Kujtim Puto, kërkuesin, përfaqësuesit e subjektit të interesuar dhe e shqyrtoi çështjen në tërësi,</w:t>
      </w:r>
    </w:p>
    <w:p w:rsidR="00244F11" w:rsidRPr="006E0056" w:rsidRDefault="00244F11" w:rsidP="00244F11">
      <w:pPr>
        <w:pStyle w:val="Paragrafi"/>
        <w:rPr>
          <w:szCs w:val="22"/>
        </w:rPr>
      </w:pPr>
    </w:p>
    <w:p w:rsidR="00244F11" w:rsidRPr="006E0056" w:rsidRDefault="00244F11" w:rsidP="00244F11">
      <w:pPr>
        <w:pStyle w:val="VENDOSI"/>
        <w:keepNext w:val="0"/>
      </w:pPr>
      <w:r w:rsidRPr="006E0056">
        <w:t>VËREN:</w:t>
      </w:r>
    </w:p>
    <w:p w:rsidR="00244F11" w:rsidRPr="006E0056" w:rsidRDefault="00244F11" w:rsidP="00244F11">
      <w:pPr>
        <w:pStyle w:val="Paragrafi"/>
        <w:rPr>
          <w:lang w:val="en-GB"/>
        </w:rPr>
      </w:pPr>
    </w:p>
    <w:p w:rsidR="00244F11" w:rsidRDefault="00244F11" w:rsidP="00244F11">
      <w:pPr>
        <w:pStyle w:val="Paragrafi"/>
        <w:rPr>
          <w:szCs w:val="22"/>
        </w:rPr>
      </w:pPr>
      <w:r w:rsidRPr="006E0056">
        <w:rPr>
          <w:szCs w:val="22"/>
        </w:rPr>
        <w:t>Këshilli i Lartë i Drejtësisë ka shqyrtuar kërkesën e Ministrit të Drejtësisë dhe me vendimin nr.173/3, datë 21.2.2003,  ka vendosur shkarkimin nga detyra të kërkuesit Ilir Dushi me arsyetimin se ka kryer veprime që vijnë në kundërshtim me përmbushjen e rregullt të detyrës në kuptim të nenit 41 pika 7 të ligjit nr.8436, datë 28.12.1998 “Për organizimin e pushtetit gjyqësor në Republikën e Shqipërisë”.</w:t>
      </w:r>
    </w:p>
    <w:p w:rsidR="00244F11" w:rsidRDefault="00244F11" w:rsidP="00244F11">
      <w:pPr>
        <w:pStyle w:val="Paragrafi"/>
        <w:rPr>
          <w:szCs w:val="22"/>
        </w:rPr>
      </w:pPr>
    </w:p>
    <w:p w:rsidR="00244F11" w:rsidRPr="006E0056" w:rsidRDefault="00244F11" w:rsidP="00244F11">
      <w:pPr>
        <w:pStyle w:val="Paragrafi"/>
        <w:rPr>
          <w:szCs w:val="22"/>
        </w:rPr>
      </w:pPr>
    </w:p>
    <w:p w:rsidR="00244F11" w:rsidRPr="006E0056" w:rsidRDefault="00244F11" w:rsidP="00244F11">
      <w:pPr>
        <w:pStyle w:val="Paragrafi"/>
        <w:rPr>
          <w:szCs w:val="22"/>
        </w:rPr>
      </w:pPr>
      <w:r w:rsidRPr="006E0056">
        <w:rPr>
          <w:szCs w:val="22"/>
        </w:rPr>
        <w:t>Kolegjet e Bashkuara të Gjykatës së Lartë, që kanë shqyrtuar çështjen me ankimin e kërkuesit, kanë arritur në përfundimin se ai ka treguar pamjaftueshmëri të dukshme profesionale në kuptim të nenit 147/6 të Kushtetutës që është shoqëruar me pasojë të rëndë.</w:t>
      </w:r>
    </w:p>
    <w:p w:rsidR="00244F11" w:rsidRPr="006E0056" w:rsidRDefault="00244F11" w:rsidP="00244F11">
      <w:pPr>
        <w:pStyle w:val="Paragrafi"/>
        <w:rPr>
          <w:szCs w:val="22"/>
        </w:rPr>
      </w:pPr>
      <w:r w:rsidRPr="006E0056">
        <w:rPr>
          <w:szCs w:val="22"/>
        </w:rPr>
        <w:lastRenderedPageBreak/>
        <w:t>Nga shqyrtimi i kësaj çështjeje Gjykata Kushtetuese nuk konstatoi elemente të një procesi jo të rregullt ligjor, që të vinin në kundërshtim me nenin 42/1 të Kushtetutës.</w:t>
      </w:r>
    </w:p>
    <w:p w:rsidR="00244F11" w:rsidRPr="006E0056" w:rsidRDefault="00244F11" w:rsidP="00244F11">
      <w:pPr>
        <w:pStyle w:val="Paragrafi"/>
        <w:rPr>
          <w:szCs w:val="22"/>
        </w:rPr>
      </w:pPr>
      <w:r w:rsidRPr="006E0056">
        <w:rPr>
          <w:szCs w:val="22"/>
        </w:rPr>
        <w:t xml:space="preserve">Këshilli i Lartë i Drejtësisë shqyrtoi çështjen pas procedimit disiplinor të Ministrit të Drejtësisë, i cili kishte verifikuar veprimet e parregullta të kërkuesit si gjyqtar në çështjen me vendimin penal nr.297, datë 9.12.2002. Me këtë vendim është njohur dënimi që </w:t>
      </w:r>
      <w:r>
        <w:rPr>
          <w:szCs w:val="22"/>
        </w:rPr>
        <w:t>Gjykata Penale e Milanos, Itali</w:t>
      </w:r>
      <w:r w:rsidRPr="006E0056">
        <w:rPr>
          <w:szCs w:val="22"/>
        </w:rPr>
        <w:t xml:space="preserve"> i ka dhënë shtetasit shqiptar A.Kuqo</w:t>
      </w:r>
      <w:r>
        <w:rPr>
          <w:szCs w:val="22"/>
        </w:rPr>
        <w:t>,</w:t>
      </w:r>
      <w:r w:rsidRPr="006E0056">
        <w:rPr>
          <w:szCs w:val="22"/>
        </w:rPr>
        <w:t xml:space="preserve"> për vepra të rënda penale.</w:t>
      </w:r>
    </w:p>
    <w:p w:rsidR="00244F11" w:rsidRPr="006E0056" w:rsidRDefault="00244F11" w:rsidP="00244F11">
      <w:pPr>
        <w:pStyle w:val="Paragrafi"/>
        <w:rPr>
          <w:szCs w:val="22"/>
        </w:rPr>
      </w:pPr>
      <w:r w:rsidRPr="006E0056">
        <w:rPr>
          <w:szCs w:val="22"/>
        </w:rPr>
        <w:t>Këshilli i Lartë i Drejtësisë është organi i ngarkuar nga Kushtetuta për të vendosur për emërimin e për masat disiplinore ndaj gjyqtarëve duke përcaktuar dhe motivacionin përkatës për këtë shkarkim, siç ka vepruar dhe në rastin konkret. Ai ka analizuar veprimet e kryera nga kërkuesi dhe ka arritur në përfundimin se ato jo vetëm vijnë në kundërshtim me përmbushjen e rregullt të detyrës, por kanë sjellë pasoja të rënda për autoritetin e organeve të drejtësisë, sepse i dënuari është liruar nga burgu për shkak të këtij vendimi.</w:t>
      </w:r>
    </w:p>
    <w:p w:rsidR="00244F11" w:rsidRPr="006E0056" w:rsidRDefault="00244F11" w:rsidP="00244F11">
      <w:pPr>
        <w:pStyle w:val="Paragrafi"/>
        <w:rPr>
          <w:szCs w:val="22"/>
        </w:rPr>
      </w:pPr>
      <w:r w:rsidRPr="006E0056">
        <w:rPr>
          <w:szCs w:val="22"/>
        </w:rPr>
        <w:t>Nuk është në kompetencën e Gjykatës Kushtetuese të vlerësojë nëse faktet e pranuara nga Këshilli i Lartë i</w:t>
      </w:r>
      <w:r>
        <w:rPr>
          <w:szCs w:val="22"/>
        </w:rPr>
        <w:t xml:space="preserve"> Drejtësisë  e Gjykata e Lartë </w:t>
      </w:r>
      <w:r w:rsidRPr="006E0056">
        <w:rPr>
          <w:szCs w:val="22"/>
        </w:rPr>
        <w:t>përbëjnë shkelje dhe nëse këto shkelje janë apo jo të rënda. Vlerësimi i veprimeve të gjyqtarit, pasoja e ardhur dhe masa disiplinore që duhet marrë ndaj tij janë në kompetencën</w:t>
      </w:r>
      <w:r>
        <w:rPr>
          <w:szCs w:val="22"/>
        </w:rPr>
        <w:t xml:space="preserve"> e vetë atyre organeve, prandaj</w:t>
      </w:r>
      <w:r w:rsidRPr="006E0056">
        <w:rPr>
          <w:szCs w:val="22"/>
        </w:rPr>
        <w:t xml:space="preserve"> pretendimet e kërkuesit për interpretim të gabuar të ligjit e provave nga organet e lartpërmendura, nuk përbëjnë objekt shqyrtimi për Gjykatën Kushtetuese. Si të tilla nuk mund të shërbejnë si shkak për shfuqizimin si antikushtetuese të vendimeve të Këshillit të Lartë të Drejtësisë e të Kolegjeve të Bashkuara të Gjykatës së Lartë.</w:t>
      </w:r>
    </w:p>
    <w:p w:rsidR="00244F11" w:rsidRPr="006E0056" w:rsidRDefault="00244F11" w:rsidP="00244F11">
      <w:pPr>
        <w:pStyle w:val="Paragrafi"/>
        <w:rPr>
          <w:szCs w:val="22"/>
        </w:rPr>
      </w:pPr>
      <w:r w:rsidRPr="006E0056">
        <w:rPr>
          <w:szCs w:val="22"/>
        </w:rPr>
        <w:t xml:space="preserve">Sipas nenit 135 të Kushtetutës, pushteti gjyqësor ushtrohet nga gjykatat në bazë të parimit të kontrollit të shkallëzuar të vendimeve të gjykatave më të ulëta nga gjykatat më të larta, gjë që do të thotë se përderisa ato janë në fuqi, asnjë organ tjetër shtetëror, duke përfshirë edhe Këshillin e Lartë të Drejtësisë, nuk mund t’i prekë. Por nga ana tjetër, Kushtetuta ka parashikuar në disa norma detyrimin e gjyqtarëve për të respektuar me përpikmëri Kushtetutën, ligjet dhe për të ruajtur paanësinë e figurën e pastër në funksion të dhënies së një drejtësie më bindëse. Nëse konstatohen raste të inkriminimit të gjyqtarëve, akte e sjellje që diskreditojnë rëndë pozitën e figurën e gjyqtarit ose pamjaftueshmëri profesionale, neni 147/6 i Kushtetutës ka ngarkuar Këshillin e Lartë të Drejtësisë të mbajë qëndrimet e duhura deri në shkarkimin nga detyra të gjyqtarit. </w:t>
      </w:r>
    </w:p>
    <w:p w:rsidR="00244F11" w:rsidRPr="006E0056" w:rsidRDefault="00244F11" w:rsidP="00244F11">
      <w:pPr>
        <w:pStyle w:val="Paragrafi"/>
        <w:rPr>
          <w:szCs w:val="22"/>
        </w:rPr>
      </w:pPr>
      <w:r w:rsidRPr="006E0056">
        <w:rPr>
          <w:szCs w:val="22"/>
        </w:rPr>
        <w:t xml:space="preserve">Në çështjen në shqyrtim, Këshilli i Lartë i Drejtësisë, nuk ka cenuar parimin e mosndërhyrjes në dhënien e drejtësisë dhe as </w:t>
      </w:r>
      <w:r>
        <w:rPr>
          <w:szCs w:val="22"/>
        </w:rPr>
        <w:t xml:space="preserve">në </w:t>
      </w:r>
      <w:r w:rsidRPr="006E0056">
        <w:rPr>
          <w:szCs w:val="22"/>
        </w:rPr>
        <w:t>atë të fuqisë detyruese të vendimeve të formës së prerë. Ai ka konstatuar veprime në kundërshtim me përmbushjen e rregullt të detyrës dhe pasojat e rënda të ardhura nga këto veprime duke përcaktuar sipas kompetencës masën disiplinore që duhet marrë.</w:t>
      </w:r>
    </w:p>
    <w:p w:rsidR="00244F11" w:rsidRPr="006E0056" w:rsidRDefault="00244F11" w:rsidP="00244F11">
      <w:pPr>
        <w:pStyle w:val="Paragrafi"/>
        <w:rPr>
          <w:szCs w:val="22"/>
        </w:rPr>
      </w:pPr>
      <w:r w:rsidRPr="006E0056">
        <w:rPr>
          <w:szCs w:val="22"/>
        </w:rPr>
        <w:t>I papranueshëm është edhe pretendimi se kontrolli nga Inspektorati i Ministrit të Drejtësisë vjen në kundërshtim me parimin e ndarjes së pushteteve. Për këtë, Gjykata Kushtetuese rikonfirmon qëndrimin e saj të mëparshëm</w:t>
      </w:r>
      <w:r>
        <w:rPr>
          <w:szCs w:val="22"/>
        </w:rPr>
        <w:t>,</w:t>
      </w:r>
      <w:r w:rsidRPr="006E0056">
        <w:rPr>
          <w:szCs w:val="22"/>
        </w:rPr>
        <w:t xml:space="preserve"> të shprehur në vendimin nr.11, datë 27.5.2004. </w:t>
      </w:r>
    </w:p>
    <w:p w:rsidR="00244F11" w:rsidRPr="006E0056" w:rsidRDefault="00244F11" w:rsidP="00244F11">
      <w:pPr>
        <w:pStyle w:val="Paragrafi"/>
        <w:rPr>
          <w:szCs w:val="22"/>
        </w:rPr>
      </w:pPr>
    </w:p>
    <w:p w:rsidR="00244F11" w:rsidRPr="006E0056" w:rsidRDefault="00244F11" w:rsidP="00244F11">
      <w:pPr>
        <w:pStyle w:val="VENDOSI"/>
        <w:keepNext w:val="0"/>
      </w:pPr>
      <w:r w:rsidRPr="006E0056">
        <w:t>PËR K</w:t>
      </w:r>
      <w:r>
        <w:t>ËTO ARSYE,</w:t>
      </w:r>
    </w:p>
    <w:p w:rsidR="00244F11" w:rsidRPr="00F36BCE" w:rsidRDefault="00244F11" w:rsidP="00244F11">
      <w:pPr>
        <w:pStyle w:val="Paragrafi"/>
        <w:rPr>
          <w:sz w:val="16"/>
          <w:szCs w:val="22"/>
        </w:rPr>
      </w:pPr>
    </w:p>
    <w:p w:rsidR="00244F11" w:rsidRPr="006E0056" w:rsidRDefault="00244F11" w:rsidP="00244F11">
      <w:pPr>
        <w:pStyle w:val="Paragrafi"/>
        <w:rPr>
          <w:szCs w:val="22"/>
        </w:rPr>
      </w:pPr>
      <w:r w:rsidRPr="006E0056">
        <w:rPr>
          <w:szCs w:val="22"/>
        </w:rPr>
        <w:t>Gjykata Kushtetuese e Republikës së Shqipërisë, bazuar në nenin 32 e vijues të ligjit nr.8577, datë 10.2.2000 “Për organizimin dhe funksionimin e Gjykatës Kushtetuese të Republikës së Shqipërisë”, njëzëri,</w:t>
      </w:r>
    </w:p>
    <w:p w:rsidR="00244F11" w:rsidRPr="00F36BCE" w:rsidRDefault="00244F11" w:rsidP="00244F11">
      <w:pPr>
        <w:pStyle w:val="Paragrafi"/>
        <w:rPr>
          <w:sz w:val="14"/>
          <w:szCs w:val="22"/>
        </w:rPr>
      </w:pPr>
    </w:p>
    <w:p w:rsidR="00244F11" w:rsidRPr="006E0056" w:rsidRDefault="00244F11" w:rsidP="00244F11">
      <w:pPr>
        <w:pStyle w:val="VENDOSI"/>
        <w:keepNext w:val="0"/>
      </w:pPr>
      <w:r w:rsidRPr="006E0056">
        <w:t>VENDOSI:</w:t>
      </w:r>
    </w:p>
    <w:p w:rsidR="00244F11" w:rsidRPr="00F36BCE" w:rsidRDefault="00244F11" w:rsidP="00244F11">
      <w:pPr>
        <w:pStyle w:val="Paragrafi"/>
        <w:rPr>
          <w:sz w:val="18"/>
          <w:szCs w:val="22"/>
        </w:rPr>
      </w:pPr>
    </w:p>
    <w:p w:rsidR="00244F11" w:rsidRPr="006E0056" w:rsidRDefault="00244F11" w:rsidP="00244F11">
      <w:pPr>
        <w:pStyle w:val="Paragrafi"/>
        <w:rPr>
          <w:szCs w:val="22"/>
        </w:rPr>
      </w:pPr>
      <w:r w:rsidRPr="006E0056">
        <w:rPr>
          <w:szCs w:val="22"/>
        </w:rPr>
        <w:t>- Rrëzimin e kërkesës.</w:t>
      </w:r>
    </w:p>
    <w:p w:rsidR="00244F11" w:rsidRPr="006E0056" w:rsidRDefault="00244F11" w:rsidP="00244F11">
      <w:pPr>
        <w:pStyle w:val="Paragrafi"/>
        <w:rPr>
          <w:szCs w:val="22"/>
        </w:rPr>
      </w:pPr>
      <w:r w:rsidRPr="006E0056">
        <w:rPr>
          <w:szCs w:val="22"/>
        </w:rPr>
        <w:t>- Ky vendim është përfundimtar, i formës së prerë dhe hyn në fuqi ditën e botimit në Fletoren Zyrtare.</w:t>
      </w:r>
    </w:p>
    <w:p w:rsidR="00244F11" w:rsidRPr="006E0056" w:rsidRDefault="00244F11" w:rsidP="00244F11">
      <w:pPr>
        <w:pStyle w:val="Paragrafi"/>
        <w:rPr>
          <w:szCs w:val="22"/>
        </w:rPr>
      </w:pPr>
    </w:p>
    <w:sectPr w:rsidR="00244F11" w:rsidRPr="006E005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44F11"/>
    <w:rsid w:val="002C0016"/>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FBD0D2-BF53-48E1-9C80-F3A2D6D8C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2019-03-14T17:23:00Z</dcterms:created>
  <dcterms:modified xsi:type="dcterms:W3CDTF">2019-03-14T17:23:00Z</dcterms:modified>
</cp:coreProperties>
</file>