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4ECA" w:rsidRDefault="002F4ECA" w:rsidP="002F4ECA">
      <w:pPr>
        <w:pStyle w:val="Akti"/>
      </w:pPr>
      <w:bookmarkStart w:id="0" w:name="_GoBack"/>
      <w:bookmarkEnd w:id="0"/>
      <w:r>
        <w:t>VENDI</w:t>
      </w:r>
      <w:r w:rsidRPr="005415C1">
        <w:t>M</w:t>
      </w:r>
    </w:p>
    <w:p w:rsidR="002F4ECA" w:rsidRPr="005415C1" w:rsidRDefault="002F4ECA" w:rsidP="002F4ECA">
      <w:pPr>
        <w:pStyle w:val="NumriData"/>
      </w:pPr>
      <w:r>
        <w:t>Nr.15, datë</w:t>
      </w:r>
      <w:r w:rsidRPr="005415C1">
        <w:t xml:space="preserve"> 10.11.2004</w:t>
      </w:r>
    </w:p>
    <w:p w:rsidR="002F4ECA" w:rsidRPr="005415C1" w:rsidRDefault="002F4ECA" w:rsidP="002F4ECA">
      <w:pPr>
        <w:pStyle w:val="Paragrafi"/>
      </w:pPr>
    </w:p>
    <w:p w:rsidR="002F4ECA" w:rsidRPr="005415C1" w:rsidRDefault="002F4ECA" w:rsidP="002F4ECA">
      <w:pPr>
        <w:pStyle w:val="TitulliTitull"/>
      </w:pPr>
      <w:r w:rsidRPr="005415C1">
        <w:t>NË EMËR TË REPUBLIKËS SË SHQIPËRISË</w:t>
      </w:r>
    </w:p>
    <w:p w:rsidR="002F4ECA" w:rsidRPr="005415C1" w:rsidRDefault="002F4ECA" w:rsidP="002F4ECA">
      <w:pPr>
        <w:pStyle w:val="Paragrafi"/>
      </w:pPr>
    </w:p>
    <w:p w:rsidR="002F4ECA" w:rsidRPr="005415C1" w:rsidRDefault="002F4ECA" w:rsidP="002F4ECA">
      <w:pPr>
        <w:pStyle w:val="Paragrafi"/>
      </w:pPr>
      <w:r w:rsidRPr="005415C1">
        <w:t>Gjykata Kushtetuese e Republikës së Shqipërisë, e përbërë nga:</w:t>
      </w:r>
    </w:p>
    <w:p w:rsidR="002F4ECA" w:rsidRPr="005415C1" w:rsidRDefault="002F4ECA" w:rsidP="002F4ECA">
      <w:pPr>
        <w:pStyle w:val="Paragrafi"/>
      </w:pPr>
    </w:p>
    <w:p w:rsidR="002F4ECA" w:rsidRPr="005415C1" w:rsidRDefault="002F4ECA" w:rsidP="002F4ECA">
      <w:pPr>
        <w:pStyle w:val="Paragrafi"/>
      </w:pPr>
      <w:r>
        <w:t>Gjergj Sauli</w:t>
      </w:r>
      <w:r w:rsidRPr="005415C1">
        <w:tab/>
      </w:r>
      <w:r w:rsidRPr="005415C1">
        <w:tab/>
        <w:t xml:space="preserve">Kryetar  i Gjykatës Kushtetuese </w:t>
      </w:r>
    </w:p>
    <w:p w:rsidR="002F4ECA" w:rsidRPr="005415C1" w:rsidRDefault="002F4ECA" w:rsidP="002F4ECA">
      <w:pPr>
        <w:pStyle w:val="Paragrafi"/>
      </w:pPr>
      <w:r>
        <w:t>Zija Vuci</w:t>
      </w:r>
      <w:r w:rsidRPr="005415C1">
        <w:tab/>
      </w:r>
      <w:r w:rsidRPr="005415C1">
        <w:tab/>
        <w:t>Anëtar   i</w:t>
      </w:r>
      <w:r w:rsidRPr="005415C1">
        <w:tab/>
        <w:t>“</w:t>
      </w:r>
      <w:r w:rsidRPr="005415C1">
        <w:tab/>
        <w:t xml:space="preserve">“  </w:t>
      </w:r>
      <w:r w:rsidRPr="005415C1">
        <w:tab/>
      </w:r>
    </w:p>
    <w:p w:rsidR="002F4ECA" w:rsidRPr="005415C1" w:rsidRDefault="002F4ECA" w:rsidP="002F4ECA">
      <w:pPr>
        <w:pStyle w:val="Paragrafi"/>
      </w:pPr>
      <w:r w:rsidRPr="005415C1">
        <w:t>Alfred Karamuç</w:t>
      </w:r>
      <w:r>
        <w:t>o</w:t>
      </w:r>
      <w:r w:rsidRPr="005415C1">
        <w:tab/>
        <w:t>Anëtar   i</w:t>
      </w:r>
      <w:r w:rsidRPr="005415C1">
        <w:tab/>
        <w:t>“</w:t>
      </w:r>
      <w:r w:rsidRPr="005415C1">
        <w:tab/>
        <w:t>“</w:t>
      </w:r>
    </w:p>
    <w:p w:rsidR="002F4ECA" w:rsidRPr="005415C1" w:rsidRDefault="002F4ECA" w:rsidP="002F4ECA">
      <w:pPr>
        <w:pStyle w:val="Paragrafi"/>
      </w:pPr>
      <w:r>
        <w:t>Fehmi Abdiu</w:t>
      </w:r>
      <w:r w:rsidRPr="005415C1">
        <w:tab/>
      </w:r>
      <w:r w:rsidRPr="005415C1">
        <w:tab/>
        <w:t>Anëtar   i</w:t>
      </w:r>
      <w:r w:rsidRPr="005415C1">
        <w:tab/>
        <w:t>“</w:t>
      </w:r>
      <w:r w:rsidRPr="005415C1">
        <w:tab/>
        <w:t xml:space="preserve">“ </w:t>
      </w:r>
    </w:p>
    <w:p w:rsidR="002F4ECA" w:rsidRPr="005415C1" w:rsidRDefault="002F4ECA" w:rsidP="002F4ECA">
      <w:pPr>
        <w:pStyle w:val="Paragrafi"/>
      </w:pPr>
      <w:r>
        <w:t>Kristofor Peçi</w:t>
      </w:r>
      <w:r w:rsidRPr="005415C1">
        <w:tab/>
      </w:r>
      <w:r w:rsidRPr="005415C1">
        <w:tab/>
        <w:t>Anëtar   i</w:t>
      </w:r>
      <w:r w:rsidRPr="005415C1">
        <w:tab/>
        <w:t>“</w:t>
      </w:r>
      <w:r w:rsidRPr="005415C1">
        <w:tab/>
        <w:t>“</w:t>
      </w:r>
    </w:p>
    <w:p w:rsidR="002F4ECA" w:rsidRPr="005415C1" w:rsidRDefault="002F4ECA" w:rsidP="002F4ECA">
      <w:pPr>
        <w:pStyle w:val="Paragrafi"/>
      </w:pPr>
      <w:r>
        <w:t>Xhezair Zaganjori</w:t>
      </w:r>
      <w:r w:rsidRPr="005415C1">
        <w:t xml:space="preserve">   </w:t>
      </w:r>
      <w:r w:rsidRPr="005415C1">
        <w:tab/>
        <w:t xml:space="preserve">Anëtar   i </w:t>
      </w:r>
      <w:r w:rsidRPr="005415C1">
        <w:tab/>
        <w:t>“</w:t>
      </w:r>
      <w:r w:rsidRPr="005415C1">
        <w:tab/>
        <w:t xml:space="preserve">“              </w:t>
      </w:r>
    </w:p>
    <w:p w:rsidR="002F4ECA" w:rsidRPr="005415C1" w:rsidRDefault="002F4ECA" w:rsidP="002F4ECA">
      <w:pPr>
        <w:pStyle w:val="Paragrafi"/>
      </w:pPr>
      <w:r>
        <w:t>Petrit Plloçi</w:t>
      </w:r>
      <w:r w:rsidRPr="005415C1">
        <w:tab/>
      </w:r>
      <w:r w:rsidRPr="005415C1">
        <w:tab/>
        <w:t xml:space="preserve">Anëtar   i </w:t>
      </w:r>
      <w:r w:rsidRPr="005415C1">
        <w:tab/>
        <w:t>“</w:t>
      </w:r>
      <w:r w:rsidRPr="005415C1">
        <w:tab/>
        <w:t>“</w:t>
      </w:r>
      <w:r w:rsidRPr="005415C1">
        <w:tab/>
        <w:t xml:space="preserve">   </w:t>
      </w:r>
    </w:p>
    <w:p w:rsidR="002F4ECA" w:rsidRPr="005415C1" w:rsidRDefault="002F4ECA" w:rsidP="002F4ECA">
      <w:pPr>
        <w:pStyle w:val="Paragrafi"/>
      </w:pPr>
      <w:r>
        <w:t>Sokol Sadushi</w:t>
      </w:r>
      <w:r w:rsidRPr="005415C1">
        <w:tab/>
      </w:r>
      <w:r w:rsidRPr="005415C1">
        <w:tab/>
        <w:t>Anëtar   i</w:t>
      </w:r>
      <w:r w:rsidRPr="005415C1">
        <w:tab/>
        <w:t>“</w:t>
      </w:r>
      <w:r w:rsidRPr="005415C1">
        <w:tab/>
        <w:t>“</w:t>
      </w:r>
    </w:p>
    <w:p w:rsidR="002F4ECA" w:rsidRDefault="002F4ECA" w:rsidP="002F4ECA">
      <w:pPr>
        <w:pStyle w:val="Paragrafi"/>
      </w:pPr>
      <w:r>
        <w:t>Kujtim Puto</w:t>
      </w:r>
      <w:r w:rsidRPr="005415C1">
        <w:tab/>
      </w:r>
      <w:r w:rsidRPr="005415C1">
        <w:tab/>
        <w:t xml:space="preserve">Anëtar   i </w:t>
      </w:r>
      <w:r w:rsidRPr="005415C1">
        <w:tab/>
        <w:t>“</w:t>
      </w:r>
      <w:r w:rsidRPr="005415C1">
        <w:tab/>
        <w:t>“</w:t>
      </w:r>
    </w:p>
    <w:p w:rsidR="002F4ECA" w:rsidRPr="005415C1" w:rsidRDefault="002F4ECA" w:rsidP="002F4ECA">
      <w:pPr>
        <w:pStyle w:val="Paragrafi"/>
      </w:pPr>
    </w:p>
    <w:p w:rsidR="002F4ECA" w:rsidRPr="005415C1" w:rsidRDefault="002F4ECA" w:rsidP="002F4ECA">
      <w:pPr>
        <w:pStyle w:val="Paragrafi"/>
      </w:pPr>
      <w:r w:rsidRPr="005415C1">
        <w:t>me sekretare Arbenka Lalica</w:t>
      </w:r>
      <w:r>
        <w:t>, në datën 20.</w:t>
      </w:r>
      <w:r w:rsidRPr="005415C1">
        <w:t xml:space="preserve">7.2004, mori në shqyrtim në seancë gjyqësore me dyer të hapura çështjen me nr.20 Akti që i përket: </w:t>
      </w:r>
    </w:p>
    <w:p w:rsidR="002F4ECA" w:rsidRPr="005415C1" w:rsidRDefault="002F4ECA" w:rsidP="002F4ECA">
      <w:pPr>
        <w:pStyle w:val="Paragrafi"/>
      </w:pPr>
    </w:p>
    <w:p w:rsidR="002F4ECA" w:rsidRPr="005415C1" w:rsidRDefault="002F4ECA" w:rsidP="002F4ECA">
      <w:pPr>
        <w:pStyle w:val="Paragrafi"/>
      </w:pPr>
      <w:r>
        <w:t xml:space="preserve">KËRKUES: </w:t>
      </w:r>
      <w:r w:rsidRPr="005415C1">
        <w:t>ARBEN POPAJ, përfaqësuar nga avokat Fatos Shanaj me prokurë të posaçme.</w:t>
      </w:r>
    </w:p>
    <w:p w:rsidR="002F4ECA" w:rsidRPr="005415C1" w:rsidRDefault="002F4ECA" w:rsidP="002F4ECA">
      <w:pPr>
        <w:pStyle w:val="Paragrafi"/>
      </w:pPr>
      <w:r>
        <w:t>SUBJEKT I INTERESUAR: PROKURORIA E PË</w:t>
      </w:r>
      <w:r w:rsidRPr="005415C1">
        <w:t>RGJITHSHME, në mungesë.</w:t>
      </w:r>
    </w:p>
    <w:p w:rsidR="002F4ECA" w:rsidRPr="005415C1" w:rsidRDefault="002F4ECA" w:rsidP="002F4ECA">
      <w:pPr>
        <w:pStyle w:val="Paragrafi"/>
      </w:pPr>
      <w:r>
        <w:t xml:space="preserve">OBJEKTI: </w:t>
      </w:r>
      <w:r w:rsidRPr="005415C1">
        <w:t>Shfuqizimi si antikusht</w:t>
      </w:r>
      <w:r>
        <w:t>etues i vendimeve nr.32, datë  4.</w:t>
      </w:r>
      <w:r w:rsidRPr="005415C1">
        <w:t>3.2003  të  Gjykatës  së  Ap</w:t>
      </w:r>
      <w:r>
        <w:t>elit  Shkodër dhe nr.308, datë 6.</w:t>
      </w:r>
      <w:r w:rsidRPr="005415C1">
        <w:t>6.2003  të  Kolegji</w:t>
      </w:r>
      <w:r>
        <w:t>t  Penal të Gjykatës së Lartë, nenit 131/f, 31/ç e d të Kushtetutës së Republikës t</w:t>
      </w:r>
      <w:r w:rsidRPr="005415C1">
        <w:t>ë Shqipërisë dhe nenit 27 e vij</w:t>
      </w:r>
      <w:r>
        <w:t>ues të ligjit nr.8577, datë 10.</w:t>
      </w:r>
      <w:r w:rsidRPr="005415C1">
        <w:t xml:space="preserve">2.2000 “Për organizimin dhe funksionimin e Gjykatës Kushtetuese të Republikës së Shqipërisë”. </w:t>
      </w:r>
    </w:p>
    <w:p w:rsidR="002F4ECA" w:rsidRPr="005415C1" w:rsidRDefault="002F4ECA" w:rsidP="002F4ECA">
      <w:pPr>
        <w:pStyle w:val="Paragrafi"/>
      </w:pPr>
      <w:r w:rsidRPr="005415C1">
        <w:t xml:space="preserve">Kërkuesi, nëpërmjet avokatit të tij, ka parashtruar këto shkaqe për shfuqizimin si antikushtetues të këtyre vendimeve: </w:t>
      </w:r>
    </w:p>
    <w:p w:rsidR="002F4ECA" w:rsidRPr="005415C1" w:rsidRDefault="002F4ECA" w:rsidP="002F4ECA">
      <w:pPr>
        <w:pStyle w:val="Paragrafi"/>
      </w:pPr>
      <w:r w:rsidRPr="005415C1">
        <w:t>- Gjyk</w:t>
      </w:r>
      <w:r>
        <w:t>ata e Apelit ka ce</w:t>
      </w:r>
      <w:r w:rsidRPr="005415C1">
        <w:t>nuar të drejtën e mbrojtjes duke caktuar si avokat një person që kishte mbrojtur më parë të pandehuri</w:t>
      </w:r>
      <w:r>
        <w:t>n tjetër, deklarimet e të cilit</w:t>
      </w:r>
      <w:r w:rsidRPr="005415C1">
        <w:t xml:space="preserve"> ishin prova fajësie për kërkuesin.</w:t>
      </w:r>
    </w:p>
    <w:p w:rsidR="002F4ECA" w:rsidRDefault="002F4ECA" w:rsidP="002F4ECA">
      <w:pPr>
        <w:pStyle w:val="Paragrafi"/>
      </w:pPr>
      <w:r w:rsidRPr="005415C1">
        <w:t>- Kolegji Penal i Gjykatës së Lartë nuk e ka kaluar çështjen për gjykim, megjithëse në rekursin e paraqitur në Gjykatën e Lartë janë pretenduar shkelje të rënda  kushtetuese që</w:t>
      </w:r>
      <w:r>
        <w:t xml:space="preserve"> kanë të bëjnë me garantimin e s</w:t>
      </w:r>
      <w:r w:rsidRPr="005415C1">
        <w:t>ë drejtës themelore për t’u mbrojtur dhe me pavlefshmërinë absolute të akteve të hetimit e të gjykimit.</w:t>
      </w:r>
    </w:p>
    <w:p w:rsidR="002F4ECA" w:rsidRPr="005415C1" w:rsidRDefault="002F4ECA" w:rsidP="002F4ECA">
      <w:pPr>
        <w:pStyle w:val="Paragrafi"/>
        <w:ind w:firstLine="0"/>
      </w:pPr>
    </w:p>
    <w:p w:rsidR="002F4ECA" w:rsidRDefault="002F4ECA" w:rsidP="002F4ECA">
      <w:pPr>
        <w:pStyle w:val="Institucioni"/>
      </w:pPr>
      <w:r w:rsidRPr="005415C1">
        <w:t>GJYKATA KUSHTETUESE,</w:t>
      </w:r>
    </w:p>
    <w:p w:rsidR="002F4ECA" w:rsidRPr="001924DF" w:rsidRDefault="002F4ECA" w:rsidP="002F4ECA">
      <w:pPr>
        <w:rPr>
          <w:lang w:val="en-GB"/>
        </w:rPr>
      </w:pPr>
    </w:p>
    <w:p w:rsidR="002F4ECA" w:rsidRDefault="002F4ECA" w:rsidP="002F4ECA">
      <w:pPr>
        <w:pStyle w:val="Paragrafi"/>
      </w:pPr>
      <w:r w:rsidRPr="005415C1">
        <w:t>pasi dëgjoi relatorin e çështjes Kujtim Puto, përfaqësuesin e kërkuesit dhe bisedoi çështjen në tërësi,</w:t>
      </w:r>
    </w:p>
    <w:p w:rsidR="002F4ECA" w:rsidRPr="005415C1" w:rsidRDefault="002F4ECA" w:rsidP="002F4ECA">
      <w:pPr>
        <w:pStyle w:val="Paragrafi"/>
      </w:pPr>
    </w:p>
    <w:p w:rsidR="002F4ECA" w:rsidRDefault="002F4ECA" w:rsidP="002F4ECA">
      <w:pPr>
        <w:pStyle w:val="VENDOSI"/>
      </w:pPr>
      <w:r>
        <w:t>VËREN</w:t>
      </w:r>
      <w:r w:rsidRPr="005415C1">
        <w:t>:</w:t>
      </w:r>
    </w:p>
    <w:p w:rsidR="002F4ECA" w:rsidRPr="0016750E" w:rsidRDefault="002F4ECA" w:rsidP="002F4ECA">
      <w:pPr>
        <w:rPr>
          <w:lang w:val="en-GB"/>
        </w:rPr>
      </w:pPr>
    </w:p>
    <w:p w:rsidR="002F4ECA" w:rsidRPr="005415C1" w:rsidRDefault="002F4ECA" w:rsidP="002F4ECA">
      <w:pPr>
        <w:pStyle w:val="Paragrafi"/>
      </w:pPr>
      <w:r w:rsidRPr="005415C1">
        <w:t>Gjykata e Rrethit Shkodë</w:t>
      </w:r>
      <w:r>
        <w:t>r, me vendimin nr.157, datë 17.</w:t>
      </w:r>
      <w:r w:rsidRPr="005415C1">
        <w:t>6.2002</w:t>
      </w:r>
      <w:r>
        <w:t>,</w:t>
      </w:r>
      <w:r w:rsidRPr="005415C1">
        <w:t xml:space="preserve"> ka deklaruar fajtor të gjykuarit Paulin Bujaj e Gëzim Naçaj për veprat penale të vrasjes me paramendim në bashkëpunim, e për armëmbajtje pa leje, duke i dënuar përkatësisht me burgim të përjetshëm dhe 22 vjet burgim. Së bashku me ta, ës</w:t>
      </w:r>
      <w:r>
        <w:t xml:space="preserve">htë deklaruar fajtor dhe është </w:t>
      </w:r>
      <w:r w:rsidRPr="005415C1">
        <w:t xml:space="preserve">dënuar me dy vjet burgim për veprën penale të sigurimit të kushteve e mjeteve për vrasje të kryer në bashkëpunim. </w:t>
      </w:r>
    </w:p>
    <w:p w:rsidR="002F4ECA" w:rsidRPr="005415C1" w:rsidRDefault="002F4ECA" w:rsidP="002F4ECA">
      <w:pPr>
        <w:pStyle w:val="Paragrafi"/>
      </w:pPr>
      <w:r w:rsidRPr="005415C1">
        <w:t>Si në seancën e vlerësimit të masës së sigurimit</w:t>
      </w:r>
      <w:r>
        <w:t>,</w:t>
      </w:r>
      <w:r w:rsidRPr="005415C1">
        <w:t xml:space="preserve"> ashtu edhe në gjykimet e çështjeve në gjykatën e rret</w:t>
      </w:r>
      <w:r>
        <w:t>hit dhe të apelit, të gjykuarit</w:t>
      </w:r>
      <w:r w:rsidRPr="005415C1">
        <w:t xml:space="preserve"> janë mbrojtur me të njëjtin avokat.</w:t>
      </w:r>
    </w:p>
    <w:p w:rsidR="002F4ECA" w:rsidRPr="005415C1" w:rsidRDefault="002F4ECA" w:rsidP="002F4ECA">
      <w:pPr>
        <w:pStyle w:val="Paragrafi"/>
      </w:pPr>
      <w:r>
        <w:t>Megjithëse p</w:t>
      </w:r>
      <w:r w:rsidRPr="005415C1">
        <w:t>rokuroria e gjykatat kanë pranuar se të lart</w:t>
      </w:r>
      <w:r>
        <w:t>përmendurit veprat penale i kanë kryer në</w:t>
      </w:r>
      <w:r w:rsidRPr="005415C1">
        <w:t xml:space="preserve"> bashkëpunim me kërkuesin Arben Popaj</w:t>
      </w:r>
      <w:r>
        <w:t>,</w:t>
      </w:r>
      <w:r w:rsidRPr="005415C1">
        <w:t xml:space="preserve"> çështja penale në ngarkim të këtij të fundit u veçua dhe u dërgua për gjykim </w:t>
      </w:r>
      <w:r>
        <w:t>pasi kishte mbaruar gjykimi i</w:t>
      </w:r>
      <w:r w:rsidRPr="005415C1">
        <w:t xml:space="preserve"> tre të lartpërmendurve në Gjykatën e Shkallës së Parë në Shkodër. Kjo e fundit, me vendimin nr.281, datë 14.11.2002, e deklaroi kërkuesin të pafajshëm për veprën penale të sigurimit të kushteve e mjeteve për vrasje, në bashkëpunim, sipas neneve 80-25 të Kodit Penal.</w:t>
      </w:r>
    </w:p>
    <w:p w:rsidR="002F4ECA" w:rsidRPr="005415C1" w:rsidRDefault="002F4ECA" w:rsidP="002F4ECA">
      <w:pPr>
        <w:pStyle w:val="Paragrafi"/>
      </w:pPr>
      <w:r w:rsidRPr="005415C1">
        <w:lastRenderedPageBreak/>
        <w:t>Mbi apelimin e prokurorit, Gjykata e Apelit Sh</w:t>
      </w:r>
      <w:r>
        <w:t>kodër, me vendimin nr.32, datë 4.</w:t>
      </w:r>
      <w:r w:rsidRPr="005415C1">
        <w:t>3.2003 ndryshoi vendimin nr.281, datë 14.11.2000 të gjykatës së shkallës së parë</w:t>
      </w:r>
      <w:r>
        <w:t>,</w:t>
      </w:r>
      <w:r w:rsidRPr="005415C1">
        <w:t xml:space="preserve"> duke e deklaruar kërkuesin fajtor për veprën penale të sigurimit të kushteve e mjeteve materiale për vrasje dhe duke e dënuar atë me një vit burgim. </w:t>
      </w:r>
    </w:p>
    <w:p w:rsidR="002F4ECA" w:rsidRPr="005415C1" w:rsidRDefault="002F4ECA" w:rsidP="002F4ECA">
      <w:pPr>
        <w:pStyle w:val="Paragrafi"/>
      </w:pPr>
      <w:r>
        <w:t>Gjykata e a</w:t>
      </w:r>
      <w:r w:rsidRPr="005415C1">
        <w:t>pelit</w:t>
      </w:r>
      <w:r>
        <w:t>,</w:t>
      </w:r>
      <w:r w:rsidRPr="005415C1">
        <w:t xml:space="preserve"> ndonëse përmend si prova fajësie vendimin e Gjykatës së Shkallës </w:t>
      </w:r>
      <w:r>
        <w:t>së Parë Shkodër për dënimin e</w:t>
      </w:r>
      <w:r w:rsidRPr="005415C1">
        <w:t xml:space="preserve"> tre të lartpërmendurve, aktet e procedimit penal nr.285  në ngarkim të tyre</w:t>
      </w:r>
      <w:r>
        <w:t>,</w:t>
      </w:r>
      <w:r w:rsidRPr="005415C1">
        <w:t xml:space="preserve"> si dhe aktet shkresore të procesit për caktimin e masës së sigurimit të tyre, i cakton kryesisht kërkuesit si mbrojtës avokatin e të gjykuarve Paulin Bujaj e Kelmend Çelaj. Caktimi i këtij  avokati  vjen  në  kundërshtim  me  nenin  54  të  Kodit  të  Procedurës Penale</w:t>
      </w:r>
      <w:r>
        <w:t>,</w:t>
      </w:r>
      <w:r w:rsidRPr="005415C1">
        <w:t xml:space="preserve"> sepse midis të gjykuarve të mbrojtur më parë prej tij dhe kërkuesit ka pasur papajtueshmëri interesash. Kjo papajtueshmëri konstatohet në faktin që</w:t>
      </w:r>
      <w:r>
        <w:t>,</w:t>
      </w:r>
      <w:r w:rsidRPr="005415C1">
        <w:t xml:space="preserve"> ndërsa kërkuesi nuk e pranon akuzën</w:t>
      </w:r>
      <w:r>
        <w:t>,</w:t>
      </w:r>
      <w:r w:rsidRPr="005415C1">
        <w:t xml:space="preserve"> të gjykuarit e mëparshëm e implikonin atë në rolin e bashkëpuntorit në veprën penale të vrasjes </w:t>
      </w:r>
      <w:r>
        <w:t>s</w:t>
      </w:r>
      <w:r w:rsidRPr="005415C1">
        <w:t>ë kryer prej tyre. Në këto rrethana</w:t>
      </w:r>
      <w:r>
        <w:t>,</w:t>
      </w:r>
      <w:r w:rsidRPr="005415C1">
        <w:t xml:space="preserve"> pjesëmarrja në gjykimin e </w:t>
      </w:r>
      <w:r>
        <w:t>kërkuesit e të njëjtit avokat ce</w:t>
      </w:r>
      <w:r w:rsidRPr="005415C1">
        <w:t>non edhe  parimin kushtetues për një proces të rregullt ligjor parashikuar në nenin 42 të Kushtetut</w:t>
      </w:r>
      <w:r>
        <w:t>ës dhe të nenit 6 të Konventës europiane të të drejtave të n</w:t>
      </w:r>
      <w:r w:rsidRPr="005415C1">
        <w:t>jeriut. Detyra e organit proce</w:t>
      </w:r>
      <w:r>
        <w:t>dues, sipas rregullave procedur</w:t>
      </w:r>
      <w:r w:rsidRPr="005415C1">
        <w:t>ale është të krijojë mundësitë që avokati të zbatojë me kor</w:t>
      </w:r>
      <w:r>
        <w:t>r</w:t>
      </w:r>
      <w:r w:rsidRPr="005415C1">
        <w:t>ektesë detyrat e tij duke qe</w:t>
      </w:r>
      <w:r>
        <w:t>në figurë e respektuar procedur</w:t>
      </w:r>
      <w:r w:rsidRPr="005415C1">
        <w:t>ale e aftë për të dhënë ndihmën e kualifikuar juridike dhe për të zhvilluar një debat konstruktiv. Për sa sipër</w:t>
      </w:r>
      <w:r>
        <w:t>,</w:t>
      </w:r>
      <w:r w:rsidRPr="005415C1">
        <w:t xml:space="preserve"> gjykata  në  rastin konkret duhet të caktonte një mbrojtës tjetër i cili të mos ishte i ndikuar nga mbrojtja e të gjykuarve të tjerë me të cilët i akuzuari mbante qëndrim të kundërt në të njëjtën vepër penale.</w:t>
      </w:r>
    </w:p>
    <w:p w:rsidR="002F4ECA" w:rsidRPr="005415C1" w:rsidRDefault="002F4ECA" w:rsidP="002F4ECA">
      <w:pPr>
        <w:pStyle w:val="Paragrafi"/>
      </w:pPr>
      <w:r w:rsidRPr="005415C1">
        <w:t>Sipas përmbajtjes së neni</w:t>
      </w:r>
      <w:r>
        <w:t>t 6 paragrafi “b” të Konventës europiane të të drejtave të  n</w:t>
      </w:r>
      <w:r w:rsidRPr="005415C1">
        <w:t>jeriut  dhe  neneve 49 e 54  të  Kodit  të  Procedurës  Penale</w:t>
      </w:r>
      <w:r>
        <w:t>,</w:t>
      </w:r>
      <w:r w:rsidRPr="005415C1">
        <w:t xml:space="preserve">  gjykata  duhet të krijojë mundësitë që avokati të bëjë një mbrojtje sa më të efektshme. Ndihma juridike që i jepet të akuzuarit dhe që kërkohet në prizmin e interesit të drejtësisë e të rolit të rëndësishëm për një proces të rregullt ligjor në një shoqëri demokratike duhet të jetë pa paragjykime, praktike e efikase</w:t>
      </w:r>
      <w:r>
        <w:t>,</w:t>
      </w:r>
      <w:r w:rsidRPr="005415C1">
        <w:t xml:space="preserve"> dhe jo vetëm iluzore</w:t>
      </w:r>
      <w:r>
        <w:rPr>
          <w:rStyle w:val="FootnoteReference"/>
        </w:rPr>
        <w:footnoteReference w:id="1"/>
      </w:r>
      <w:r>
        <w:t xml:space="preserve"> </w:t>
      </w:r>
      <w:r w:rsidRPr="005415C1">
        <w:t>. Këto kërkesa nuk janë realizuar</w:t>
      </w:r>
      <w:r>
        <w:t xml:space="preserve"> në shyrtimin e çështjes në gjykatën e a</w:t>
      </w:r>
      <w:r w:rsidRPr="005415C1">
        <w:t>pelit</w:t>
      </w:r>
      <w:r>
        <w:t>,</w:t>
      </w:r>
      <w:r w:rsidRPr="005415C1">
        <w:t xml:space="preserve"> ku avokati i caktuar kryesisht, menjëherë pas fillimit të seancës gjyqësore, është kufizuar vetëm me kërkesën për lënien në fuqi të vendimit të gjykatës së rrethit</w:t>
      </w:r>
      <w:r>
        <w:t>.</w:t>
      </w:r>
      <w:r w:rsidRPr="005415C1">
        <w:t xml:space="preserve"> </w:t>
      </w:r>
    </w:p>
    <w:p w:rsidR="002F4ECA" w:rsidRPr="005415C1" w:rsidRDefault="002F4ECA" w:rsidP="002F4ECA">
      <w:pPr>
        <w:pStyle w:val="Paragrafi"/>
      </w:pPr>
      <w:r w:rsidRPr="005415C1">
        <w:t>Në rekursin e paraqitur para Kolegjit Penal të Gjykatës së Lartë</w:t>
      </w:r>
      <w:r>
        <w:t>,</w:t>
      </w:r>
      <w:r w:rsidRPr="005415C1">
        <w:t xml:space="preserve"> kërkuesi ka pretenduar shkelje të rënda të Kushtetutës e të Kodit të Procedurës Penale</w:t>
      </w:r>
      <w:r>
        <w:t>,</w:t>
      </w:r>
      <w:r w:rsidRPr="005415C1">
        <w:t xml:space="preserve"> që kanë të bëjnë me caktimin kryesisht të një mbrojtësi</w:t>
      </w:r>
      <w:r>
        <w:t>,</w:t>
      </w:r>
      <w:r w:rsidRPr="005415C1">
        <w:t xml:space="preserve"> i cili kishte qenë avokat i një të pandehuri me të cilin ai ka papajtueshmëri interesash, me marrjen e të dhënave kundër tij në prokurori nga personat ndaj të cilëve zhvillohen hetime pa praninë e mbrojtësit etj. Megjithëse k</w:t>
      </w:r>
      <w:r>
        <w:t>ëto pretendime mbështeteshin te</w:t>
      </w:r>
      <w:r w:rsidRPr="005415C1">
        <w:t xml:space="preserve"> të dhënat e dosjes</w:t>
      </w:r>
      <w:r>
        <w:t>,</w:t>
      </w:r>
      <w:r w:rsidRPr="005415C1">
        <w:t xml:space="preserve"> konstatohet se  Kolegji Penal i Gjykatës së Lartë nuk e ka marrë çështjen në shqyrtim në seanë plenare.</w:t>
      </w:r>
    </w:p>
    <w:p w:rsidR="002F4ECA" w:rsidRDefault="002F4ECA" w:rsidP="002F4ECA">
      <w:pPr>
        <w:pStyle w:val="Paragrafi"/>
      </w:pPr>
      <w:r w:rsidRPr="005415C1">
        <w:t>Në këto rrethana</w:t>
      </w:r>
      <w:r>
        <w:t>,</w:t>
      </w:r>
      <w:r w:rsidRPr="005415C1">
        <w:t xml:space="preserve"> vendimi i Gjykatës së Apelit Shkodër dhe i Kolegj</w:t>
      </w:r>
      <w:r>
        <w:t>it Civil të Gjykatës së Lartë (Dhoma e K</w:t>
      </w:r>
      <w:r w:rsidRPr="005415C1">
        <w:t>ëshillimit) duh</w:t>
      </w:r>
      <w:r>
        <w:t>en shfuqizuar si të papajtueshme</w:t>
      </w:r>
      <w:r w:rsidRPr="005415C1">
        <w:t xml:space="preserve"> me Kushtetutën.</w:t>
      </w:r>
    </w:p>
    <w:p w:rsidR="002F4ECA" w:rsidRDefault="002F4ECA" w:rsidP="002F4ECA">
      <w:pPr>
        <w:pStyle w:val="Paragrafi"/>
      </w:pPr>
    </w:p>
    <w:p w:rsidR="002F4ECA" w:rsidRDefault="002F4ECA" w:rsidP="002F4ECA">
      <w:pPr>
        <w:pStyle w:val="Paragrafi"/>
      </w:pPr>
    </w:p>
    <w:p w:rsidR="002F4ECA" w:rsidRDefault="002F4ECA" w:rsidP="002F4ECA">
      <w:pPr>
        <w:pStyle w:val="Paragrafi"/>
      </w:pPr>
    </w:p>
    <w:p w:rsidR="002F4ECA" w:rsidRPr="005415C1" w:rsidRDefault="002F4ECA" w:rsidP="002F4ECA">
      <w:pPr>
        <w:pStyle w:val="Paragrafi"/>
      </w:pPr>
    </w:p>
    <w:p w:rsidR="002F4ECA" w:rsidRDefault="002F4ECA" w:rsidP="002F4ECA">
      <w:pPr>
        <w:pStyle w:val="VENDOSI"/>
      </w:pPr>
      <w:r>
        <w:t>PËR KËTO ARSYE,</w:t>
      </w:r>
    </w:p>
    <w:p w:rsidR="002F4ECA" w:rsidRPr="00C20F7E" w:rsidRDefault="002F4ECA" w:rsidP="002F4ECA">
      <w:pPr>
        <w:rPr>
          <w:lang w:val="en-GB"/>
        </w:rPr>
      </w:pPr>
    </w:p>
    <w:p w:rsidR="002F4ECA" w:rsidRDefault="002F4ECA" w:rsidP="002F4ECA">
      <w:pPr>
        <w:pStyle w:val="Paragrafi"/>
      </w:pPr>
      <w:r w:rsidRPr="005415C1">
        <w:t>Gjykata  Kushtetuese   e  Republikës   së   Shqipërisë,   në  mbështetje   t</w:t>
      </w:r>
      <w:r>
        <w:t>ë  nenit   132   të Kushtetutës</w:t>
      </w:r>
      <w:r w:rsidRPr="005415C1">
        <w:t xml:space="preserve">  dhe   nenit  72  e  vijues  </w:t>
      </w:r>
      <w:r>
        <w:t>të  ligjit  nr.8577,  datë  10.</w:t>
      </w:r>
      <w:r w:rsidRPr="005415C1">
        <w:t>2.2000  “Për organizimin  dhe</w:t>
      </w:r>
      <w:r w:rsidRPr="001924DF">
        <w:t xml:space="preserve"> </w:t>
      </w:r>
      <w:r w:rsidRPr="005415C1">
        <w:t xml:space="preserve">funksionimin e Gjykatës Kushtetuese të Republikës së Shqipërisë”,  me shumicë votash; </w:t>
      </w:r>
    </w:p>
    <w:p w:rsidR="002F4ECA" w:rsidRPr="005415C1" w:rsidRDefault="002F4ECA" w:rsidP="002F4ECA">
      <w:pPr>
        <w:pStyle w:val="Paragrafi"/>
      </w:pPr>
    </w:p>
    <w:p w:rsidR="002F4ECA" w:rsidRDefault="002F4ECA" w:rsidP="002F4ECA">
      <w:pPr>
        <w:pStyle w:val="VENDOSI"/>
      </w:pPr>
      <w:r>
        <w:t>VENDOS</w:t>
      </w:r>
      <w:r w:rsidRPr="005415C1">
        <w:t>I :</w:t>
      </w:r>
    </w:p>
    <w:p w:rsidR="002F4ECA" w:rsidRPr="001924DF" w:rsidRDefault="002F4ECA" w:rsidP="002F4ECA">
      <w:pPr>
        <w:rPr>
          <w:lang w:val="en-GB"/>
        </w:rPr>
      </w:pPr>
    </w:p>
    <w:p w:rsidR="002F4ECA" w:rsidRPr="005415C1" w:rsidRDefault="002F4ECA" w:rsidP="002F4ECA">
      <w:pPr>
        <w:pStyle w:val="Paragrafi"/>
      </w:pPr>
      <w:r w:rsidRPr="005415C1">
        <w:t>- Shfuqizimin si antikush</w:t>
      </w:r>
      <w:r>
        <w:t>tetues të vendimit nr.32, datë 4.</w:t>
      </w:r>
      <w:r w:rsidRPr="005415C1">
        <w:t>3.2003 të Gjykatës së A</w:t>
      </w:r>
      <w:r>
        <w:t>pelit Shkodër dhe nr.308, datë 6.</w:t>
      </w:r>
      <w:r w:rsidRPr="005415C1">
        <w:t>6.2003 të Kolegjit Penal të Gjykatës së Lartë.</w:t>
      </w:r>
    </w:p>
    <w:p w:rsidR="002F4ECA" w:rsidRPr="005415C1" w:rsidRDefault="002F4ECA" w:rsidP="002F4ECA">
      <w:pPr>
        <w:pStyle w:val="Paragrafi"/>
      </w:pPr>
      <w:r w:rsidRPr="005415C1">
        <w:t>- Dërgimin e akteve të çështjes në Gjykatën e Apelit Shkodër.</w:t>
      </w:r>
    </w:p>
    <w:p w:rsidR="002F4ECA" w:rsidRDefault="002F4ECA" w:rsidP="002F4ECA">
      <w:pPr>
        <w:pStyle w:val="Paragrafi"/>
      </w:pPr>
      <w:r w:rsidRPr="005415C1">
        <w:t>- Ky  vendim  është  përfundimtar,  i  formës  së  prerë  dhe  hyn  në  fuqi  me botimin  në Fletoren Zyrtare.</w:t>
      </w:r>
    </w:p>
    <w:p w:rsidR="002F4ECA" w:rsidRPr="005415C1" w:rsidRDefault="002F4ECA" w:rsidP="002F4ECA">
      <w:pPr>
        <w:pStyle w:val="Paragrafi"/>
      </w:pPr>
    </w:p>
    <w:p w:rsidR="002F4ECA" w:rsidRPr="005415C1" w:rsidRDefault="002F4ECA" w:rsidP="002F4ECA">
      <w:pPr>
        <w:pStyle w:val="Paragrafi"/>
      </w:pPr>
    </w:p>
    <w:p w:rsidR="002F4ECA" w:rsidRPr="005415C1" w:rsidRDefault="002F4ECA" w:rsidP="002F4ECA">
      <w:pPr>
        <w:pStyle w:val="TitulliTitull"/>
      </w:pPr>
      <w:r w:rsidRPr="005415C1">
        <w:t>Mendimi i Pakicës</w:t>
      </w:r>
    </w:p>
    <w:p w:rsidR="002F4ECA" w:rsidRPr="005415C1" w:rsidRDefault="002F4ECA" w:rsidP="002F4ECA">
      <w:pPr>
        <w:pStyle w:val="Paragrafi"/>
      </w:pPr>
    </w:p>
    <w:p w:rsidR="002F4ECA" w:rsidRPr="005415C1" w:rsidRDefault="002F4ECA" w:rsidP="002F4ECA">
      <w:pPr>
        <w:pStyle w:val="Paragrafi"/>
      </w:pPr>
      <w:r w:rsidRPr="005415C1">
        <w:t>Kam mendim të kundërt me vendimin që mori Gjykata Kushtetuese me shumicë votash.</w:t>
      </w:r>
    </w:p>
    <w:p w:rsidR="002F4ECA" w:rsidRPr="005415C1" w:rsidRDefault="002F4ECA" w:rsidP="002F4ECA">
      <w:pPr>
        <w:pStyle w:val="Paragrafi"/>
      </w:pPr>
      <w:r w:rsidRPr="005415C1">
        <w:t>Konkluzioni i saj se në gjykimin e çështjes penale në ngarkim të kërkuesit Arben Popaj është shkelur e drejta e tij themelore për një proces të rregullt ligjor, nuk është i bazuar.</w:t>
      </w:r>
    </w:p>
    <w:p w:rsidR="002F4ECA" w:rsidRPr="005415C1" w:rsidRDefault="002F4ECA" w:rsidP="002F4ECA">
      <w:pPr>
        <w:pStyle w:val="Paragrafi"/>
      </w:pPr>
      <w:r w:rsidRPr="005415C1">
        <w:t>Në këtë vend</w:t>
      </w:r>
      <w:r>
        <w:t>im ajo ka pranuar se kjo shkelje</w:t>
      </w:r>
      <w:r w:rsidRPr="005415C1">
        <w:t xml:space="preserve"> kushtetuese konsiston në faktin se gjykata e apelit ka caktuar kryesisht si mbrojtës të kërkuesit, avokat Gjon Lepurin, ndonëse ky në një çështje tjetër penale që ka lidhje me atë në ngarkim të kërkuesit, ka mbrojtur dy të pandehur të tjerë, me të cilët kërkuesi ka pasë papajtueshmëri interesash.</w:t>
      </w:r>
    </w:p>
    <w:p w:rsidR="002F4ECA" w:rsidRPr="005415C1" w:rsidRDefault="002F4ECA" w:rsidP="002F4ECA">
      <w:pPr>
        <w:pStyle w:val="Paragrafi"/>
      </w:pPr>
      <w:r w:rsidRPr="005415C1">
        <w:t>Për sqarimin e kësaj rrethane</w:t>
      </w:r>
      <w:r>
        <w:t>,</w:t>
      </w:r>
      <w:r w:rsidRPr="005415C1">
        <w:t xml:space="preserve"> u administruan në seancë plenare dy dosjet gjyqësore të këtyre çështjeve, mir</w:t>
      </w:r>
      <w:r>
        <w:t>ë</w:t>
      </w:r>
      <w:r w:rsidRPr="005415C1">
        <w:t>po nga materialet që ndodhen në to, rezulton e kundërta. Në këto gjykime, si kërkues</w:t>
      </w:r>
      <w:r>
        <w:t>i, ashtu edhe dy të pandehurit e</w:t>
      </w:r>
      <w:r w:rsidRPr="005415C1">
        <w:t xml:space="preserve"> tjerë kanë mbajtur secili qëndrime të ndryshme. Megjithatë</w:t>
      </w:r>
      <w:r>
        <w:t>,</w:t>
      </w:r>
      <w:r w:rsidRPr="005415C1">
        <w:t xml:space="preserve"> në këtë fazë të procesit, asnjëri prej këtyre  të fundit nuk ka bërë atribuime në dëm të kërkuesit, nuk e ka implikuar këtë si bashkëpun</w:t>
      </w:r>
      <w:r>
        <w:t>ë</w:t>
      </w:r>
      <w:r w:rsidRPr="005415C1">
        <w:t>tor në veprën penale të vrasjes ose si autor të ndonjë ve</w:t>
      </w:r>
      <w:r>
        <w:t>pre tjetër penale që të ketë pas</w:t>
      </w:r>
      <w:r w:rsidRPr="005415C1">
        <w:t>ur lidhje me të parën. Mbi këtë bazë, kur gjatë këtyre gjykimeve nuk është vërtetuar ndonjë papajtueshmëri interesash midis personave të lartpërmendur, marrja e tyre në mbrojtje nga i njëjti avokat, nuk përbën shkelje në kuptim të nenit 54 të Kodit të Procedurës Civile dhe për rrjedhojë proces jo të rregullt ligjor.</w:t>
      </w:r>
    </w:p>
    <w:p w:rsidR="002F4ECA" w:rsidRPr="005415C1" w:rsidRDefault="002F4ECA" w:rsidP="002F4ECA">
      <w:pPr>
        <w:pStyle w:val="Paragrafi"/>
      </w:pPr>
      <w:r w:rsidRPr="005415C1">
        <w:t>Fakti se dy ose njëri prej të pandehurve të mësipërm gjatë fazës fillestare të hetimit kanë bërë atribuime të kësaj natyre në adresë të kërkuesit, nuk ka rëndësi për çështjen. Përderisa në gjyqin e zhvilluar kundër tyre, ata i kanë ndryshuar këto thënie, duke mohuar në mënyrë kategorike pjes</w:t>
      </w:r>
      <w:r>
        <w:t>ë</w:t>
      </w:r>
      <w:r w:rsidRPr="005415C1">
        <w:t>marrjen ose implikimin e kërkuesit ngjarjen për të cilën janë gjykuar, deklarimet e tyre në hetuesi kanë humbur çdo vlerë provuese. Kjo për arsye se me Kodin e ri të Procedurës Penale është pranuar parimi se provat formohen në gjyq. Pra</w:t>
      </w:r>
      <w:r>
        <w:t>,</w:t>
      </w:r>
      <w:r w:rsidRPr="005415C1">
        <w:t xml:space="preserve"> në gjykimin e çështjeve penale është hequr dorë nga kërkesat e procesit të mëparshëm inkuizitor dhe veprojnë ato të procesit akuzator.</w:t>
      </w:r>
    </w:p>
    <w:p w:rsidR="002F4ECA" w:rsidRPr="005415C1" w:rsidRDefault="002F4ECA" w:rsidP="002F4ECA">
      <w:pPr>
        <w:pStyle w:val="Paragrafi"/>
      </w:pPr>
      <w:r w:rsidRPr="005415C1">
        <w:t>Avokati Gjon Lepuri ka marrë pjesë vetëm në gjyq dhe nuk ka mbrojtur në hetuesi asnjërin prej tre të pandehu</w:t>
      </w:r>
      <w:r>
        <w:t>rve. Në gjyq as ai, as gjykatat</w:t>
      </w:r>
      <w:r w:rsidRPr="005415C1">
        <w:t xml:space="preserve"> nuk kanë konstatuar papajtueshmëri interesas</w:t>
      </w:r>
      <w:r>
        <w:t xml:space="preserve">h midis tyre. Në mbrojtjen që </w:t>
      </w:r>
      <w:r w:rsidRPr="005415C1">
        <w:t xml:space="preserve">u ka bërë atyre, avokati në fjalë nuk ka përdorur si argument atribuimin në hetuesi të njërit në favor të tjetrit, por në kërkimet e tij përfundimtare është mbështetur në qëndrimin që ata kanë mbajtur në gjyq. </w:t>
      </w:r>
    </w:p>
    <w:p w:rsidR="002F4ECA" w:rsidRPr="005415C1" w:rsidRDefault="002F4ECA" w:rsidP="002F4ECA">
      <w:pPr>
        <w:pStyle w:val="Paragrafi"/>
      </w:pPr>
      <w:r w:rsidRPr="005415C1">
        <w:t>Për këto arsye</w:t>
      </w:r>
      <w:r>
        <w:t>,</w:t>
      </w:r>
      <w:r w:rsidRPr="005415C1">
        <w:t xml:space="preserve"> unë jam i mendimit për </w:t>
      </w:r>
      <w:r>
        <w:t>r</w:t>
      </w:r>
      <w:r w:rsidRPr="005415C1">
        <w:t>rëzimin e kërkesës.</w:t>
      </w:r>
    </w:p>
    <w:p w:rsidR="002F4ECA" w:rsidRPr="005415C1" w:rsidRDefault="002F4ECA" w:rsidP="002F4ECA">
      <w:pPr>
        <w:pStyle w:val="Paragrafi"/>
      </w:pPr>
    </w:p>
    <w:p w:rsidR="002F4ECA" w:rsidRPr="005415C1" w:rsidRDefault="002F4ECA" w:rsidP="002F4ECA">
      <w:pPr>
        <w:pStyle w:val="Autoriteti"/>
      </w:pPr>
      <w:r>
        <w:t>GJYQTAR</w:t>
      </w:r>
    </w:p>
    <w:p w:rsidR="002F4ECA" w:rsidRPr="005415C1" w:rsidRDefault="002F4ECA" w:rsidP="002F4ECA">
      <w:pPr>
        <w:pStyle w:val="AutoritetiEmer"/>
      </w:pPr>
      <w:r w:rsidRPr="005415C1">
        <w:t>Zija Vuci</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A74C5B">
      <w:r>
        <w:separator/>
      </w:r>
    </w:p>
  </w:endnote>
  <w:endnote w:type="continuationSeparator" w:id="0">
    <w:p w:rsidR="00000000" w:rsidRDefault="00A74C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A74C5B">
      <w:r>
        <w:separator/>
      </w:r>
    </w:p>
  </w:footnote>
  <w:footnote w:type="continuationSeparator" w:id="0">
    <w:p w:rsidR="00000000" w:rsidRDefault="00A74C5B">
      <w:r>
        <w:continuationSeparator/>
      </w:r>
    </w:p>
  </w:footnote>
  <w:footnote w:id="1">
    <w:p w:rsidR="002F4ECA" w:rsidRDefault="002F4ECA" w:rsidP="002F4ECA">
      <w:pPr>
        <w:pStyle w:val="FootnoteText"/>
      </w:pPr>
      <w:r>
        <w:rPr>
          <w:rStyle w:val="FootnoteReference"/>
        </w:rPr>
        <w:footnoteRef/>
      </w:r>
      <w:r>
        <w:t xml:space="preserve"> </w:t>
      </w:r>
      <w:r w:rsidRPr="005415C1">
        <w:t>Vendimi</w:t>
      </w:r>
      <w:r>
        <w:t xml:space="preserve"> “Airey kundër Holandës”, datë </w:t>
      </w:r>
      <w:r w:rsidRPr="005415C1">
        <w:t>9.10.1979, A 32, paragrafi 24</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B29AB"/>
    <w:rsid w:val="00116978"/>
    <w:rsid w:val="00134ADF"/>
    <w:rsid w:val="00187855"/>
    <w:rsid w:val="001A58B2"/>
    <w:rsid w:val="001C7978"/>
    <w:rsid w:val="001E3F0B"/>
    <w:rsid w:val="0022170D"/>
    <w:rsid w:val="002C6BAB"/>
    <w:rsid w:val="002F4ECA"/>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74C5B"/>
    <w:rsid w:val="00A923BE"/>
    <w:rsid w:val="00AA3124"/>
    <w:rsid w:val="00AA4D4B"/>
    <w:rsid w:val="00B673CE"/>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B8C5176-6646-4B68-89B8-B677B7B89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4ECA"/>
    <w:rPr>
      <w:rFonts w:eastAsia="MS Mincho"/>
      <w:sz w:val="24"/>
      <w:szCs w:val="24"/>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VENDOSIChar">
    <w:name w:val="VENDOSI Char"/>
    <w:basedOn w:val="DefaultParagraphFont"/>
    <w:link w:val="VENDOSI"/>
    <w:rsid w:val="002F4ECA"/>
    <w:rPr>
      <w:rFonts w:ascii="CG Times" w:hAnsi="CG Times"/>
      <w:caps/>
      <w:sz w:val="22"/>
      <w:szCs w:val="22"/>
      <w:lang w:val="en-GB" w:eastAsia="en-US" w:bidi="ar-SA"/>
    </w:rPr>
  </w:style>
  <w:style w:type="paragraph" w:styleId="FootnoteText">
    <w:name w:val="footnote text"/>
    <w:basedOn w:val="Normal"/>
    <w:semiHidden/>
    <w:rsid w:val="002F4ECA"/>
    <w:rPr>
      <w:rFonts w:eastAsia="Times New Roman"/>
      <w:sz w:val="20"/>
      <w:szCs w:val="20"/>
    </w:rPr>
  </w:style>
  <w:style w:type="character" w:styleId="FootnoteReference">
    <w:name w:val="footnote reference"/>
    <w:basedOn w:val="DefaultParagraphFont"/>
    <w:semiHidden/>
    <w:rsid w:val="002F4EC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1431</Words>
  <Characters>8160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9572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2019-03-14T17:40:00Z</dcterms:created>
  <dcterms:modified xsi:type="dcterms:W3CDTF">2019-03-14T17:40:00Z</dcterms:modified>
</cp:coreProperties>
</file>