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EE0" w:rsidRDefault="00CF4EE0" w:rsidP="00CF4EE0">
      <w:pPr>
        <w:pStyle w:val="Akti"/>
        <w:keepNext w:val="0"/>
      </w:pPr>
      <w:bookmarkStart w:id="0" w:name="_GoBack"/>
      <w:bookmarkEnd w:id="0"/>
      <w:r>
        <w:t>VENDI</w:t>
      </w:r>
      <w:r w:rsidRPr="003F5689">
        <w:t>M</w:t>
      </w:r>
    </w:p>
    <w:p w:rsidR="00CF4EE0" w:rsidRPr="003F5689" w:rsidRDefault="00CF4EE0" w:rsidP="00CF4EE0">
      <w:pPr>
        <w:pStyle w:val="NumriData"/>
        <w:keepNext w:val="0"/>
      </w:pPr>
      <w:r>
        <w:t xml:space="preserve">Nr.18, datë </w:t>
      </w:r>
      <w:r w:rsidRPr="003F5689">
        <w:t>17.11.2004</w:t>
      </w:r>
    </w:p>
    <w:p w:rsidR="00CF4EE0" w:rsidRPr="003F5689" w:rsidRDefault="00CF4EE0" w:rsidP="00CF4EE0">
      <w:pPr>
        <w:pStyle w:val="Paragrafi"/>
      </w:pPr>
    </w:p>
    <w:p w:rsidR="00CF4EE0" w:rsidRPr="009E5269" w:rsidRDefault="00CF4EE0" w:rsidP="009E5269">
      <w:pPr>
        <w:pStyle w:val="Titulli"/>
        <w:rPr>
          <w:b w:val="0"/>
        </w:rPr>
      </w:pPr>
      <w:r w:rsidRPr="009E5269">
        <w:rPr>
          <w:b w:val="0"/>
        </w:rPr>
        <w:t>NË EMËR TË REPUBLIKËS SË SHQIPËRISË</w:t>
      </w:r>
    </w:p>
    <w:p w:rsidR="00CF4EE0" w:rsidRPr="003F5689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  <w:r w:rsidRPr="003F5689">
        <w:t>Gjykata Kushtetuese e Republikës së Shqipërisë, e përbërë nga:</w:t>
      </w:r>
    </w:p>
    <w:p w:rsidR="00CF4EE0" w:rsidRPr="003F5689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  <w:r>
        <w:t>Gjergj Sauli</w:t>
      </w:r>
      <w:r w:rsidRPr="003F5689">
        <w:tab/>
      </w:r>
      <w:r w:rsidRPr="003F5689">
        <w:tab/>
        <w:t xml:space="preserve">Kryetar  i Gjykatës Kushtetuese </w:t>
      </w:r>
    </w:p>
    <w:p w:rsidR="00CF4EE0" w:rsidRPr="003F5689" w:rsidRDefault="00CF4EE0" w:rsidP="00CF4EE0">
      <w:pPr>
        <w:pStyle w:val="Paragrafi"/>
      </w:pPr>
      <w:r>
        <w:t>Zija Vuci</w:t>
      </w:r>
      <w:r w:rsidRPr="003F5689">
        <w:tab/>
      </w:r>
      <w:r w:rsidRPr="003F5689">
        <w:tab/>
        <w:t>Anëtar   i</w:t>
      </w:r>
      <w:r w:rsidRPr="003F5689">
        <w:tab/>
        <w:t>“</w:t>
      </w:r>
      <w:r w:rsidRPr="003F5689">
        <w:tab/>
        <w:t xml:space="preserve">“  </w:t>
      </w:r>
    </w:p>
    <w:p w:rsidR="00CF4EE0" w:rsidRPr="003F5689" w:rsidRDefault="00CF4EE0" w:rsidP="00CF4EE0">
      <w:pPr>
        <w:pStyle w:val="Paragrafi"/>
      </w:pPr>
      <w:r>
        <w:t>Fehmi Abdiu</w:t>
      </w:r>
      <w:r w:rsidRPr="003F5689">
        <w:tab/>
      </w:r>
      <w:r w:rsidRPr="003F5689">
        <w:tab/>
        <w:t>Anëtar   i</w:t>
      </w:r>
      <w:r w:rsidRPr="003F5689">
        <w:tab/>
        <w:t>“</w:t>
      </w:r>
      <w:r w:rsidRPr="003F5689">
        <w:tab/>
        <w:t xml:space="preserve">“ </w:t>
      </w:r>
    </w:p>
    <w:p w:rsidR="00CF4EE0" w:rsidRPr="003F5689" w:rsidRDefault="00CF4EE0" w:rsidP="00CF4EE0">
      <w:pPr>
        <w:pStyle w:val="Paragrafi"/>
      </w:pPr>
      <w:r>
        <w:t>Kristofor Peçi</w:t>
      </w:r>
      <w:r w:rsidRPr="003F5689">
        <w:tab/>
      </w:r>
      <w:r w:rsidRPr="003F5689">
        <w:tab/>
        <w:t>Anëtar   i</w:t>
      </w:r>
      <w:r w:rsidRPr="003F5689">
        <w:tab/>
        <w:t>“</w:t>
      </w:r>
      <w:r w:rsidRPr="003F5689">
        <w:tab/>
        <w:t>“</w:t>
      </w:r>
    </w:p>
    <w:p w:rsidR="00CF4EE0" w:rsidRPr="003F5689" w:rsidRDefault="00CF4EE0" w:rsidP="00CF4EE0">
      <w:pPr>
        <w:pStyle w:val="Paragrafi"/>
      </w:pPr>
      <w:r w:rsidRPr="003F5689">
        <w:t>Kuj</w:t>
      </w:r>
      <w:r>
        <w:t>tim Puto</w:t>
      </w:r>
      <w:r w:rsidRPr="003F5689">
        <w:tab/>
      </w:r>
      <w:r w:rsidRPr="003F5689">
        <w:tab/>
        <w:t xml:space="preserve">Anëtar   i </w:t>
      </w:r>
      <w:r w:rsidRPr="003F5689">
        <w:tab/>
        <w:t>“</w:t>
      </w:r>
      <w:r w:rsidRPr="003F5689">
        <w:tab/>
        <w:t>“</w:t>
      </w:r>
      <w:r w:rsidRPr="003F5689">
        <w:tab/>
        <w:t xml:space="preserve">   </w:t>
      </w:r>
    </w:p>
    <w:p w:rsidR="00CF4EE0" w:rsidRPr="003F5689" w:rsidRDefault="00CF4EE0" w:rsidP="00CF4EE0">
      <w:pPr>
        <w:pStyle w:val="Paragrafi"/>
      </w:pPr>
      <w:r>
        <w:t>Xhezair Zaganjori</w:t>
      </w:r>
      <w:r w:rsidRPr="003F5689">
        <w:t xml:space="preserve">   </w:t>
      </w:r>
      <w:r w:rsidRPr="003F5689">
        <w:tab/>
        <w:t xml:space="preserve">Anëtar   i </w:t>
      </w:r>
      <w:r w:rsidRPr="003F5689">
        <w:tab/>
        <w:t>“</w:t>
      </w:r>
      <w:r w:rsidRPr="003F5689">
        <w:tab/>
        <w:t xml:space="preserve">“              </w:t>
      </w:r>
    </w:p>
    <w:p w:rsidR="00CF4EE0" w:rsidRPr="003F5689" w:rsidRDefault="00CF4EE0" w:rsidP="00CF4EE0">
      <w:pPr>
        <w:pStyle w:val="Paragrafi"/>
      </w:pPr>
      <w:r>
        <w:t>Petrit Plloçi</w:t>
      </w:r>
      <w:r w:rsidRPr="003F5689">
        <w:tab/>
      </w:r>
      <w:r w:rsidRPr="003F5689">
        <w:tab/>
        <w:t xml:space="preserve">Anëtar   i </w:t>
      </w:r>
      <w:r w:rsidRPr="003F5689">
        <w:tab/>
        <w:t>“</w:t>
      </w:r>
      <w:r w:rsidRPr="003F5689">
        <w:tab/>
        <w:t>“</w:t>
      </w:r>
      <w:r w:rsidRPr="003F5689">
        <w:tab/>
        <w:t xml:space="preserve">   </w:t>
      </w:r>
    </w:p>
    <w:p w:rsidR="00CF4EE0" w:rsidRPr="003F5689" w:rsidRDefault="00CF4EE0" w:rsidP="00CF4EE0">
      <w:pPr>
        <w:pStyle w:val="Paragrafi"/>
      </w:pPr>
      <w:r>
        <w:t>Sokol Sadushi</w:t>
      </w:r>
      <w:r w:rsidRPr="003F5689">
        <w:tab/>
      </w:r>
      <w:r>
        <w:tab/>
      </w:r>
      <w:r w:rsidRPr="003F5689">
        <w:t>Anëtar   i</w:t>
      </w:r>
      <w:r w:rsidRPr="003F5689">
        <w:tab/>
        <w:t>“</w:t>
      </w:r>
      <w:r w:rsidRPr="003F5689">
        <w:tab/>
        <w:t>“</w:t>
      </w:r>
    </w:p>
    <w:p w:rsidR="00CF4EE0" w:rsidRPr="003F5689" w:rsidRDefault="00CF4EE0" w:rsidP="00CF4EE0">
      <w:pPr>
        <w:pStyle w:val="Paragrafi"/>
      </w:pPr>
      <w:r>
        <w:t>Alfred Karamuço</w:t>
      </w:r>
      <w:r w:rsidRPr="003F5689">
        <w:tab/>
        <w:t>Anëtar   i</w:t>
      </w:r>
      <w:r w:rsidRPr="003F5689">
        <w:tab/>
        <w:t>“</w:t>
      </w:r>
      <w:r w:rsidRPr="003F5689">
        <w:tab/>
        <w:t>“</w:t>
      </w:r>
    </w:p>
    <w:p w:rsidR="00CF4EE0" w:rsidRPr="003F5689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  <w:r w:rsidRPr="003F5689">
        <w:t>me sekreta</w:t>
      </w:r>
      <w:r>
        <w:t>re Arbenka Lalica, në datat 25.6.2004 dhe 7.</w:t>
      </w:r>
      <w:r w:rsidRPr="003F5689">
        <w:t xml:space="preserve">7.2004, mori në shqyrtim në seancë gjyqësore me dyer të hapura çështjen me nr.16 Akti që i përket: </w:t>
      </w:r>
    </w:p>
    <w:p w:rsidR="00CF4EE0" w:rsidRPr="003F5689" w:rsidRDefault="00CF4EE0" w:rsidP="00CF4EE0">
      <w:pPr>
        <w:pStyle w:val="Paragrafi"/>
      </w:pPr>
      <w:r>
        <w:t>KËRKUE</w:t>
      </w:r>
      <w:r w:rsidRPr="003F5689">
        <w:t>S</w:t>
      </w:r>
      <w:r>
        <w:t>I: SHOQËRIA “EDIKOM” sh.p.k., Tiranë</w:t>
      </w:r>
      <w:r w:rsidRPr="003F5689">
        <w:t>, përfaqësuar nga avokat Fat</w:t>
      </w:r>
      <w:r>
        <w:t>mir Braka dhe Drejtori Ekonomik</w:t>
      </w:r>
      <w:r w:rsidRPr="003F5689">
        <w:t xml:space="preserve"> Jorgji Xhai, me prokurë. </w:t>
      </w:r>
    </w:p>
    <w:p w:rsidR="00CF4EE0" w:rsidRPr="003F5689" w:rsidRDefault="00CF4EE0" w:rsidP="00CF4EE0">
      <w:pPr>
        <w:pStyle w:val="Paragrafi"/>
      </w:pPr>
      <w:r w:rsidRPr="003F5689">
        <w:t>SUBJEKT</w:t>
      </w:r>
      <w:r>
        <w:t>I</w:t>
      </w:r>
      <w:r w:rsidRPr="003F5689">
        <w:t xml:space="preserve"> I INTERESUAR</w:t>
      </w:r>
      <w:r>
        <w:t>: DREJTORIA E PË</w:t>
      </w:r>
      <w:r w:rsidRPr="003F5689">
        <w:t xml:space="preserve">RGJITHSHME E TATIMEVE DHE </w:t>
      </w:r>
      <w:r>
        <w:t xml:space="preserve">E </w:t>
      </w:r>
      <w:r w:rsidRPr="003F5689">
        <w:t>TAKSAVE, përfaqësuar nga avokati i shtetit Delo Isufi, me prokurë.</w:t>
      </w:r>
    </w:p>
    <w:p w:rsidR="00CF4EE0" w:rsidRPr="003F5689" w:rsidRDefault="00CF4EE0" w:rsidP="00CF4EE0">
      <w:pPr>
        <w:pStyle w:val="Paragrafi"/>
      </w:pPr>
      <w:r>
        <w:t xml:space="preserve">OBJEKTI: </w:t>
      </w:r>
      <w:r w:rsidRPr="003F5689">
        <w:t>Shfuqizimi si antikusht</w:t>
      </w:r>
      <w:r>
        <w:t>etues i vendimit nr.1319, datë 7.</w:t>
      </w:r>
      <w:r w:rsidRPr="003F5689">
        <w:t>7.2003 të Kolegjit Civil të Gjykatës së Lartë.</w:t>
      </w:r>
    </w:p>
    <w:p w:rsidR="00CF4EE0" w:rsidRPr="003F5689" w:rsidRDefault="00CF4EE0" w:rsidP="00CF4EE0">
      <w:pPr>
        <w:pStyle w:val="Paragrafi"/>
      </w:pPr>
      <w:r w:rsidRPr="003F5689">
        <w:t>Kërkuesi ka parashtruar në kërkesë e në gjykim këto argumente:</w:t>
      </w:r>
    </w:p>
    <w:p w:rsidR="00CF4EE0" w:rsidRPr="003F5689" w:rsidRDefault="00CF4EE0" w:rsidP="00CF4EE0">
      <w:pPr>
        <w:pStyle w:val="Paragrafi"/>
      </w:pPr>
      <w:r w:rsidRPr="003F5689">
        <w:t>- Në kundërshtim me sa pranon Gjykata e Lartë, detyrimi fiskal ishte paguar para paraqitjes së kërkesës në gjykatë;</w:t>
      </w:r>
    </w:p>
    <w:p w:rsidR="00CF4EE0" w:rsidRPr="003F5689" w:rsidRDefault="00CF4EE0" w:rsidP="00CF4EE0">
      <w:pPr>
        <w:pStyle w:val="Paragrafi"/>
      </w:pPr>
      <w:r w:rsidRPr="003F5689">
        <w:t>- Gjykata e Lartë raportet midis kërkuesit dhe organeve administrative tatimore i ka trajtuar si raporte procedurale civile, duke i shtrirë ato dhe në shqyrtimin gjyqësor të çështjes.</w:t>
      </w:r>
    </w:p>
    <w:p w:rsidR="00CF4EE0" w:rsidRDefault="00CF4EE0" w:rsidP="00CF4EE0">
      <w:pPr>
        <w:pStyle w:val="Paragrafi"/>
      </w:pPr>
      <w:r w:rsidRPr="003F5689">
        <w:t>- Gjykata e Lartë në kundërshti</w:t>
      </w:r>
      <w:r>
        <w:t>m</w:t>
      </w:r>
      <w:r w:rsidRPr="003F5689">
        <w:t xml:space="preserve"> me funksionin e saj ka marrë në shqyrtim provat. Veç kësaj ajo ka shqyrtuar rekursin pa pasur dijeni pala kërkuese.</w:t>
      </w:r>
    </w:p>
    <w:p w:rsidR="00CF4EE0" w:rsidRDefault="00CF4EE0" w:rsidP="00CF4EE0">
      <w:pPr>
        <w:pStyle w:val="Paragrafi"/>
      </w:pPr>
    </w:p>
    <w:p w:rsidR="00CF4EE0" w:rsidRDefault="00CF4EE0" w:rsidP="00CF4EE0">
      <w:pPr>
        <w:pStyle w:val="Paragrafi"/>
      </w:pPr>
    </w:p>
    <w:p w:rsidR="00CF4EE0" w:rsidRDefault="00CF4EE0" w:rsidP="00CF4EE0">
      <w:pPr>
        <w:pStyle w:val="Paragrafi"/>
      </w:pPr>
    </w:p>
    <w:p w:rsidR="00CF4EE0" w:rsidRDefault="00CF4EE0" w:rsidP="00CF4EE0">
      <w:pPr>
        <w:pStyle w:val="Paragrafi"/>
      </w:pPr>
    </w:p>
    <w:p w:rsidR="00CF4EE0" w:rsidRDefault="00CF4EE0" w:rsidP="00CF4EE0">
      <w:pPr>
        <w:pStyle w:val="Paragrafi"/>
      </w:pPr>
    </w:p>
    <w:p w:rsidR="00CF4EE0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</w:p>
    <w:p w:rsidR="00CF4EE0" w:rsidRDefault="00CF4EE0" w:rsidP="00CF4EE0">
      <w:pPr>
        <w:pStyle w:val="Institucioni"/>
        <w:keepNext w:val="0"/>
      </w:pPr>
      <w:r w:rsidRPr="003F5689">
        <w:t>GJYKATA KUSHTETUESE,</w:t>
      </w:r>
    </w:p>
    <w:p w:rsidR="00CF4EE0" w:rsidRPr="003F5689" w:rsidRDefault="00CF4EE0" w:rsidP="00CF4EE0">
      <w:pPr>
        <w:pStyle w:val="Paragrafi"/>
      </w:pPr>
    </w:p>
    <w:p w:rsidR="00CF4EE0" w:rsidRDefault="00CF4EE0" w:rsidP="00CF4EE0">
      <w:pPr>
        <w:pStyle w:val="Paragrafi"/>
      </w:pPr>
      <w:r w:rsidRPr="003F5689">
        <w:t>pasi dëgjoi relatorin e çështjes Alfred Karamuço, përfaqësuesit e kërkues</w:t>
      </w:r>
      <w:r>
        <w:t>it e të subjektit të interesuar</w:t>
      </w:r>
      <w:r w:rsidRPr="003F5689">
        <w:t xml:space="preserve"> dhe bisedoi çështjen në tërësi,</w:t>
      </w:r>
    </w:p>
    <w:p w:rsidR="00CF4EE0" w:rsidRPr="003F5689" w:rsidRDefault="00CF4EE0" w:rsidP="00CF4EE0">
      <w:pPr>
        <w:pStyle w:val="Paragrafi"/>
      </w:pPr>
    </w:p>
    <w:p w:rsidR="00CF4EE0" w:rsidRDefault="00CF4EE0" w:rsidP="00CF4EE0">
      <w:pPr>
        <w:pStyle w:val="VENDOSI"/>
        <w:keepNext w:val="0"/>
      </w:pPr>
      <w:r>
        <w:t>VËRE</w:t>
      </w:r>
      <w:r w:rsidRPr="003F5689">
        <w:t>N:</w:t>
      </w:r>
    </w:p>
    <w:p w:rsidR="00CF4EE0" w:rsidRPr="003F5689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  <w:r w:rsidRPr="003F5689">
        <w:t>Drejtoria e Përgjithshme e Tatimeve në muajin gusht 2001 mbi bazën</w:t>
      </w:r>
      <w:r>
        <w:t xml:space="preserve"> e kontrollit të organizuar në s</w:t>
      </w:r>
      <w:r w:rsidRPr="003F5689">
        <w:t>hoqërinë “EDIKOM” sh</w:t>
      </w:r>
      <w:r>
        <w:t>.</w:t>
      </w:r>
      <w:r w:rsidRPr="003F5689">
        <w:t>p</w:t>
      </w:r>
      <w:r>
        <w:t>.</w:t>
      </w:r>
      <w:r w:rsidRPr="003F5689">
        <w:t>k</w:t>
      </w:r>
      <w:r>
        <w:t>.</w:t>
      </w:r>
      <w:r w:rsidRPr="003F5689">
        <w:t>, Tiranë, ka konkluduar se për dy objekte nuk është paguar tatimi mbi vlerën e shtuar, në vlerën e pë</w:t>
      </w:r>
      <w:r>
        <w:t xml:space="preserve">rgjithshme prej 18 334 </w:t>
      </w:r>
      <w:r w:rsidRPr="003F5689">
        <w:t>936 lekë</w:t>
      </w:r>
      <w:r>
        <w:t>sh. Për arkëtimin e kësaj shume, Drejtori i P</w:t>
      </w:r>
      <w:r w:rsidRPr="003F5689">
        <w:t>ërgjithshëm ka urdhëruar subjektin nëpërmjet aktit nr.2545, datë 2</w:t>
      </w:r>
      <w:r>
        <w:t>7.8.2001 dhe nr.2632, datë 31.</w:t>
      </w:r>
      <w:r w:rsidRPr="003F5689">
        <w:t>8.2001.</w:t>
      </w:r>
    </w:p>
    <w:p w:rsidR="00CF4EE0" w:rsidRDefault="00CF4EE0" w:rsidP="00CF4EE0">
      <w:pPr>
        <w:pStyle w:val="Paragrafi"/>
      </w:pPr>
      <w:r w:rsidRPr="003F5689">
        <w:t>Shoqëria “EDIKOM” sh</w:t>
      </w:r>
      <w:r>
        <w:t>.</w:t>
      </w:r>
      <w:r w:rsidRPr="003F5689">
        <w:t>p</w:t>
      </w:r>
      <w:r>
        <w:t>.</w:t>
      </w:r>
      <w:r w:rsidRPr="003F5689">
        <w:t>k</w:t>
      </w:r>
      <w:r>
        <w:t>.</w:t>
      </w:r>
      <w:r w:rsidRPr="003F5689">
        <w:t>, kundrejt këtij detyrimi, ka derdhur në dy raste në mua</w:t>
      </w:r>
      <w:r>
        <w:t xml:space="preserve">jin shtator vlerën prej 13 718 </w:t>
      </w:r>
      <w:r w:rsidRPr="003F5689">
        <w:t>762 lekë</w:t>
      </w:r>
      <w:r>
        <w:t>sh</w:t>
      </w:r>
      <w:r w:rsidRPr="003F5689">
        <w:t xml:space="preserve">, duke mbetur </w:t>
      </w:r>
      <w:r>
        <w:t xml:space="preserve">e detyruar për një shumë prej 4 616 </w:t>
      </w:r>
      <w:r w:rsidRPr="003F5689">
        <w:t>174 lekë</w:t>
      </w:r>
      <w:r>
        <w:t>sh</w:t>
      </w:r>
      <w:r w:rsidRPr="003F5689">
        <w:t>.</w:t>
      </w:r>
    </w:p>
    <w:p w:rsidR="00CF4EE0" w:rsidRPr="003F5689" w:rsidRDefault="00CF4EE0" w:rsidP="00CF4EE0">
      <w:pPr>
        <w:pStyle w:val="Paragrafi"/>
      </w:pPr>
      <w:r>
        <w:t>Pas pagimit të shumave, s</w:t>
      </w:r>
      <w:r w:rsidRPr="003F5689">
        <w:t>hoqëria “EDIKOM” sh</w:t>
      </w:r>
      <w:r>
        <w:t>.</w:t>
      </w:r>
      <w:r w:rsidRPr="003F5689">
        <w:t>p</w:t>
      </w:r>
      <w:r>
        <w:t>.</w:t>
      </w:r>
      <w:r w:rsidRPr="003F5689">
        <w:t>k</w:t>
      </w:r>
      <w:r>
        <w:t>.</w:t>
      </w:r>
      <w:r w:rsidRPr="003F5689">
        <w:t>, ka paraqitur padi në Gjykatën e Rrethit Gjyqësor</w:t>
      </w:r>
      <w:r>
        <w:t>,</w:t>
      </w:r>
      <w:r w:rsidRPr="003F5689">
        <w:t xml:space="preserve"> Tiranë duke kërkuar shfuqizimin e të dy akteve të Drejtorisë së Përgjithshme të Tatimeve </w:t>
      </w:r>
      <w:r w:rsidRPr="003F5689">
        <w:lastRenderedPageBreak/>
        <w:t>me argumentin se detyrimet nuk mbështeten në ligj. Gjykata e Rrethit Gjyqësor Tir</w:t>
      </w:r>
      <w:r>
        <w:t>anë, me vendimin nr.1373, datë 5.4.2002,</w:t>
      </w:r>
      <w:r w:rsidRPr="003F5689">
        <w:t xml:space="preserve"> ka shfuqizuar dy aktet e kontestuara, vendim që e la në fuqi dhe Gjykata e Apelit Tiran</w:t>
      </w:r>
      <w:r>
        <w:t>ë me vendimin nr.100, datë 24.</w:t>
      </w:r>
      <w:r w:rsidRPr="003F5689">
        <w:t>9.2002. Mbi rekursin e Drejtorisë së Përgjithshme të Tatimeve, Kolegji Civil i Gjykatës së La</w:t>
      </w:r>
      <w:r>
        <w:t>rtë, me vendimin nr.1319, datë 7.</w:t>
      </w:r>
      <w:r w:rsidRPr="003F5689">
        <w:t>7.2003, ka vendosur prishjen e dy vendimeve dhe pushimin e gjykimit të çështjes.</w:t>
      </w:r>
    </w:p>
    <w:p w:rsidR="00CF4EE0" w:rsidRPr="003F5689" w:rsidRDefault="00CF4EE0" w:rsidP="00CF4EE0">
      <w:pPr>
        <w:pStyle w:val="Paragrafi"/>
      </w:pPr>
      <w:r>
        <w:t>Në vendimin e tij Kolegji Civil</w:t>
      </w:r>
      <w:r w:rsidRPr="003F5689">
        <w:t xml:space="preserve"> arsyeton se paditësi nuk ka qenë i legjitimuar në ngritjen e padisë</w:t>
      </w:r>
      <w:r>
        <w:t>,</w:t>
      </w:r>
      <w:r w:rsidRPr="003F5689">
        <w:t xml:space="preserve"> sepse ai duhej të paguante detyrimin tatimor e më pas të ushtronte të drejtën e apelimit të akteve të Drejtorisë së Përgjithshme të Tatimeve, duke iu referuar nenit 43 të ligjit nr.8560, datë 22.12.1999 “Për procedurat tatimore”.</w:t>
      </w:r>
    </w:p>
    <w:p w:rsidR="00CF4EE0" w:rsidRPr="003F5689" w:rsidRDefault="00CF4EE0" w:rsidP="00CF4EE0">
      <w:pPr>
        <w:pStyle w:val="Paragrafi"/>
      </w:pPr>
      <w:r w:rsidRPr="003F5689">
        <w:t xml:space="preserve">Gjykata Kushtetuese, në vendimin e Kolegjit Civil të Gjykatës së Lartë, nuk gjen elemente të procesit të parregullt ligjor, për ta </w:t>
      </w:r>
      <w:r>
        <w:t>bërë procesin dhe vendimin të ce</w:t>
      </w:r>
      <w:r w:rsidRPr="003F5689">
        <w:t>nueshëm si antikushtetues.</w:t>
      </w:r>
    </w:p>
    <w:p w:rsidR="00CF4EE0" w:rsidRPr="003F5689" w:rsidRDefault="00CF4EE0" w:rsidP="00CF4EE0">
      <w:pPr>
        <w:pStyle w:val="Paragrafi"/>
      </w:pPr>
      <w:r w:rsidRPr="003F5689">
        <w:t>Gjykata Kushtetuese</w:t>
      </w:r>
      <w:r>
        <w:t>,</w:t>
      </w:r>
      <w:r w:rsidRPr="003F5689">
        <w:t xml:space="preserve"> duke rikonfirmuar qëndrimin e saj të </w:t>
      </w:r>
      <w:r>
        <w:t>mbajtur në vendimin nr.9, datë 2.4.2003</w:t>
      </w:r>
      <w:r w:rsidRPr="003F5689">
        <w:t xml:space="preserve"> lidhur me kuptimin dhe kushtetutshmërinë e neneve 41/4, 42/5 e 43/1 të ligjit nr.7928, datë 2</w:t>
      </w:r>
      <w:r>
        <w:t>7.</w:t>
      </w:r>
      <w:r w:rsidRPr="003F5689">
        <w:t xml:space="preserve">4.1995 “Për tatimin mbi vlerën e shtuar”, ka pranuar se procedurat e </w:t>
      </w:r>
      <w:r>
        <w:t>ankimit ndaj vlerësimit tatimor</w:t>
      </w:r>
      <w:r w:rsidRPr="003F5689">
        <w:t xml:space="preserve"> lejohen vetëm, pasi personi i kontrolluar të ketë paguar detyrimin.</w:t>
      </w:r>
    </w:p>
    <w:p w:rsidR="00CF4EE0" w:rsidRPr="003F5689" w:rsidRDefault="00CF4EE0" w:rsidP="00CF4EE0">
      <w:pPr>
        <w:pStyle w:val="Paragrafi"/>
      </w:pPr>
      <w:r w:rsidRPr="003F5689">
        <w:t>Vendosja e parakushtit të pagimit të detyrimit tatimor para fillimit të procedurave të ankimit, nga pik</w:t>
      </w:r>
      <w:r>
        <w:t>ë</w:t>
      </w:r>
      <w:r w:rsidRPr="003F5689">
        <w:t>pamja formale, paraqitet si një kufizim i së drejtës për t’iu drejtuar gjykatës, parashikuar në nenin 42 të Kushtetutës</w:t>
      </w:r>
      <w:r>
        <w:t>,</w:t>
      </w:r>
      <w:r w:rsidRPr="003F5689">
        <w:t xml:space="preserve"> si</w:t>
      </w:r>
      <w:r>
        <w:t xml:space="preserve"> dhe në nenin 17 të Konventës Europiane të t</w:t>
      </w:r>
      <w:r w:rsidRPr="003F5689">
        <w:t>ë Drejtave të Njeriut.</w:t>
      </w:r>
    </w:p>
    <w:p w:rsidR="00CF4EE0" w:rsidRPr="003F5689" w:rsidRDefault="00CF4EE0" w:rsidP="00CF4EE0">
      <w:pPr>
        <w:pStyle w:val="Paragrafi"/>
      </w:pPr>
      <w:r w:rsidRPr="003F5689">
        <w:t>E drejta për ankim efektiv nuk përjashton mundësinë e kufizimit të saj, mjafton që të konkurrojnë kushtet e parashikuara në nenin 17 të Kushtetutës. Në këtë kontekst, Gjykata gjen se ky kuf</w:t>
      </w:r>
      <w:r>
        <w:t>izim i përcaktuar me ligj nuk ce</w:t>
      </w:r>
      <w:r w:rsidRPr="003F5689">
        <w:t>non thelbin e së drejtës, është në përpjestim me gjendjen që e ka diktuar dhe se nuk tejkalon kufizime</w:t>
      </w:r>
      <w:r>
        <w:t>t e parashikuara në Konventën Eu</w:t>
      </w:r>
      <w:r w:rsidRPr="003F5689">
        <w:t>ropiane për të Dr</w:t>
      </w:r>
      <w:r>
        <w:t>ejtat e Njeriut. Kufizimi i s</w:t>
      </w:r>
      <w:r w:rsidRPr="003F5689">
        <w:t>ë drejtës së ankimit për rastet e përmbushjes së detyrimeve fiskale i shërben interesit publik, në përputhje me politikat e shtetit që kanë të bëjnë me grumbullimin e të ardhurave t</w:t>
      </w:r>
      <w:r>
        <w:t>ë ligjshme për shtetin. Sipas protokollit nr.1 të Konventës Eu</w:t>
      </w:r>
      <w:r w:rsidRPr="003F5689">
        <w:t>ropian</w:t>
      </w:r>
      <w:r>
        <w:t>e të s</w:t>
      </w:r>
      <w:r w:rsidRPr="003F5689">
        <w:t>ë Drejtave të Njeriut, krijohet mundësia për shtetet, që duke zbatuar parimin e ligjshmërisë, të venë në fuqi ligje për të siguruar pagesën e taksave, kontributeve të tjera ose të gjobave.</w:t>
      </w:r>
    </w:p>
    <w:p w:rsidR="00CF4EE0" w:rsidRPr="003F5689" w:rsidRDefault="00CF4EE0" w:rsidP="00CF4EE0">
      <w:pPr>
        <w:pStyle w:val="Paragrafi"/>
      </w:pPr>
      <w:r w:rsidRPr="003F5689">
        <w:t>Në rastin në shqyrtim, Gjykata Kushtet</w:t>
      </w:r>
      <w:r>
        <w:t>uese konstaton</w:t>
      </w:r>
      <w:r w:rsidRPr="003F5689">
        <w:t xml:space="preserve"> se kërkuesi</w:t>
      </w:r>
      <w:r>
        <w:t>,</w:t>
      </w:r>
      <w:r w:rsidRPr="003F5689">
        <w:t xml:space="preserve"> para se t’i referohej rrugës gjyqësore për kundërshtimin e akteve të vlerësimit tatimor, nuk ka pagua</w:t>
      </w:r>
      <w:r>
        <w:t>r tërësisht detyrimin, kusht ky</w:t>
      </w:r>
      <w:r w:rsidRPr="003F5689">
        <w:t xml:space="preserve"> për të realizuar ankimin administrativ e atë gjyqësor. Në këto rrethana, nuk ka vend pretendimi se nuk është respektuar rregulli i vendosur me ligj për ankimet ndaj vlerësimeve tatimore.</w:t>
      </w:r>
    </w:p>
    <w:p w:rsidR="00CF4EE0" w:rsidRDefault="00CF4EE0" w:rsidP="00CF4EE0">
      <w:pPr>
        <w:pStyle w:val="Paragrafi"/>
      </w:pPr>
      <w:r w:rsidRPr="003F5689">
        <w:t>Përsa i përket pretendimeve të kërkuesit se: “Gjykata e Lartë ka marrë në shqyrtim e ka analizuar prova në kundërshtim me rolin e funksionet e saj”, se “shqyrtimi i rekursit është bërë n</w:t>
      </w:r>
      <w:r>
        <w:t>ë mungesë të kërkuesit”</w:t>
      </w:r>
      <w:r w:rsidRPr="003F5689">
        <w:t xml:space="preserve"> nuk qëndrojnë. Në vendimin e tij Ko</w:t>
      </w:r>
      <w:r>
        <w:t>legji Civil i Gjykatës së Lartë</w:t>
      </w:r>
      <w:r w:rsidRPr="003F5689">
        <w:t xml:space="preserve"> nuk analizon prova, por thjesht pranon mospagimin e detyrimit, gjë që lidhet me legjitimimin e kërkuesit në ngritjen e padisë. Nga ana tjetër, Gjykata Kushtetuese konstatoi se në dosjen gjyqësore ekziston një dëftesë komunikimi e rekursit, që është nënshkruar nga avo</w:t>
      </w:r>
      <w:r>
        <w:t>katja e caktuar me prokurë nga s</w:t>
      </w:r>
      <w:r w:rsidRPr="003F5689">
        <w:t>hoqëria “EDIKOM” sh</w:t>
      </w:r>
      <w:r>
        <w:t>.</w:t>
      </w:r>
      <w:r w:rsidRPr="003F5689">
        <w:t>p</w:t>
      </w:r>
      <w:r>
        <w:t>.</w:t>
      </w:r>
      <w:r w:rsidRPr="003F5689">
        <w:t>k</w:t>
      </w:r>
      <w:r>
        <w:t>.,</w:t>
      </w:r>
      <w:r w:rsidRPr="003F5689">
        <w:t xml:space="preserve"> Tiranë.</w:t>
      </w:r>
    </w:p>
    <w:p w:rsidR="00CF4EE0" w:rsidRPr="003F5689" w:rsidRDefault="00CF4EE0" w:rsidP="00CF4EE0">
      <w:pPr>
        <w:pStyle w:val="Paragrafi"/>
        <w:ind w:firstLine="0"/>
      </w:pPr>
    </w:p>
    <w:p w:rsidR="00CF4EE0" w:rsidRDefault="00CF4EE0" w:rsidP="00CF4EE0">
      <w:pPr>
        <w:pStyle w:val="VENDOSI"/>
        <w:keepNext w:val="0"/>
      </w:pPr>
      <w:r>
        <w:t>PËR KËTO ARSYE:</w:t>
      </w:r>
    </w:p>
    <w:p w:rsidR="00CF4EE0" w:rsidRPr="003F5689" w:rsidRDefault="00CF4EE0" w:rsidP="00CF4EE0">
      <w:pPr>
        <w:pStyle w:val="Paragrafi"/>
      </w:pPr>
    </w:p>
    <w:p w:rsidR="00CF4EE0" w:rsidRDefault="00CF4EE0" w:rsidP="00CF4EE0">
      <w:pPr>
        <w:pStyle w:val="Paragrafi"/>
      </w:pPr>
      <w:r w:rsidRPr="003F5689">
        <w:t>Gjykata Kushtetuese e Republikës së Shqipërisë, në bazë të neneve 131</w:t>
      </w:r>
      <w:r>
        <w:t>/f të Kushtetutës</w:t>
      </w:r>
      <w:r w:rsidRPr="003F5689">
        <w:t xml:space="preserve"> dhe nenit 72 të ligjit “Për organizimin dhe funksionimin e Gjykatës Kushtetuese të Republikës së </w:t>
      </w:r>
      <w:r>
        <w:t>Shqipërisë”,  me shumicë votash,</w:t>
      </w:r>
    </w:p>
    <w:p w:rsidR="00CF4EE0" w:rsidRPr="003F5689" w:rsidRDefault="00CF4EE0" w:rsidP="00CF4EE0">
      <w:pPr>
        <w:pStyle w:val="Paragrafi"/>
      </w:pPr>
    </w:p>
    <w:p w:rsidR="00CF4EE0" w:rsidRDefault="00CF4EE0" w:rsidP="00CF4EE0">
      <w:pPr>
        <w:pStyle w:val="VENDOSI"/>
        <w:keepNext w:val="0"/>
      </w:pPr>
      <w:r>
        <w:t>VE</w:t>
      </w:r>
      <w:r w:rsidRPr="003F5689">
        <w:t>N</w:t>
      </w:r>
      <w:r>
        <w:t>DOS</w:t>
      </w:r>
      <w:r w:rsidRPr="003F5689">
        <w:t>I:</w:t>
      </w:r>
    </w:p>
    <w:p w:rsidR="00CF4EE0" w:rsidRPr="003F1A40" w:rsidRDefault="00CF4EE0" w:rsidP="00CF4EE0">
      <w:pPr>
        <w:pStyle w:val="Paragrafi"/>
      </w:pPr>
    </w:p>
    <w:p w:rsidR="00CF4EE0" w:rsidRPr="003F5689" w:rsidRDefault="00CF4EE0" w:rsidP="00CF4EE0">
      <w:pPr>
        <w:pStyle w:val="Paragrafi"/>
      </w:pPr>
      <w:r w:rsidRPr="003F5689">
        <w:t>- Rrëzimin e kërkesës.</w:t>
      </w:r>
    </w:p>
    <w:p w:rsidR="00CF4EE0" w:rsidRDefault="00CF4EE0" w:rsidP="00CF4EE0">
      <w:pPr>
        <w:pStyle w:val="Paragrafi"/>
      </w:pPr>
      <w:r w:rsidRPr="003F5689">
        <w:t>- Ky vendim është përfundimtar, i formës së prerë dhe hyn në fuqi  me botimin në Fletoren Zyrtare.</w:t>
      </w:r>
    </w:p>
    <w:sectPr w:rsidR="00CF4EE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0F66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E5269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4EE0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D3AE46-E16B-4AA5-97D2-87C3EB0F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F4EE0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F4E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