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EBC" w:rsidRPr="00C60EBA" w:rsidRDefault="004C2EBC" w:rsidP="004C2EBC">
      <w:pPr>
        <w:pStyle w:val="Akti"/>
      </w:pPr>
      <w:bookmarkStart w:id="0" w:name="_GoBack"/>
      <w:bookmarkEnd w:id="0"/>
      <w:r>
        <w:t>VENDI</w:t>
      </w:r>
      <w:r w:rsidRPr="00C60EBA">
        <w:t>M</w:t>
      </w:r>
    </w:p>
    <w:p w:rsidR="004C2EBC" w:rsidRPr="00C60EBA" w:rsidRDefault="004C2EBC" w:rsidP="004C2EBC">
      <w:pPr>
        <w:pStyle w:val="NumriData"/>
      </w:pPr>
      <w:r w:rsidRPr="00C60EBA">
        <w:t>Nr.20, datë 23.12.2004</w:t>
      </w:r>
    </w:p>
    <w:p w:rsidR="004C2EBC" w:rsidRPr="00C60EBA" w:rsidRDefault="004C2EBC" w:rsidP="004C2EBC">
      <w:pPr>
        <w:pStyle w:val="Paragrafi"/>
      </w:pPr>
    </w:p>
    <w:p w:rsidR="004C2EBC" w:rsidRPr="00C60EBA" w:rsidRDefault="004C2EBC" w:rsidP="004C2EBC">
      <w:pPr>
        <w:pStyle w:val="TitulliTitull"/>
      </w:pPr>
      <w:r w:rsidRPr="00C60EBA">
        <w:t>NË E</w:t>
      </w:r>
      <w:r>
        <w:t>MËR TË REPUBLIKËS SË SHQIPËRISË</w:t>
      </w:r>
    </w:p>
    <w:p w:rsidR="004C2EBC" w:rsidRPr="00C60EBA" w:rsidRDefault="004C2EBC" w:rsidP="004C2EBC">
      <w:pPr>
        <w:pStyle w:val="Paragrafi"/>
      </w:pPr>
    </w:p>
    <w:p w:rsidR="004C2EBC" w:rsidRDefault="004C2EBC" w:rsidP="004C2EBC">
      <w:pPr>
        <w:pStyle w:val="Paragrafi"/>
      </w:pPr>
      <w:r w:rsidRPr="00C60EBA">
        <w:t>Gjykata Kushtetuese e Republikës së Shqipërisë, e përbërë nga:</w:t>
      </w:r>
    </w:p>
    <w:p w:rsidR="004C2EBC" w:rsidRPr="00C60EBA" w:rsidRDefault="004C2EBC" w:rsidP="004C2EBC">
      <w:pPr>
        <w:pStyle w:val="Paragrafi"/>
      </w:pPr>
    </w:p>
    <w:p w:rsidR="004C2EBC" w:rsidRPr="00C60EBA" w:rsidRDefault="004C2EBC" w:rsidP="004C2EBC">
      <w:pPr>
        <w:pStyle w:val="Paragrafi"/>
      </w:pPr>
      <w:r>
        <w:t>Gjergj Sauli</w:t>
      </w:r>
      <w:r w:rsidRPr="00C60EBA">
        <w:tab/>
      </w:r>
      <w:r w:rsidRPr="00C60EBA">
        <w:tab/>
        <w:t xml:space="preserve">Kryetar  i Gjykatës Kushtetuese </w:t>
      </w:r>
    </w:p>
    <w:p w:rsidR="004C2EBC" w:rsidRPr="00C60EBA" w:rsidRDefault="004C2EBC" w:rsidP="004C2EBC">
      <w:pPr>
        <w:pStyle w:val="Paragrafi"/>
      </w:pPr>
      <w:r>
        <w:t>Alfred Karamuço</w:t>
      </w:r>
      <w:r w:rsidRPr="00C60EBA">
        <w:tab/>
        <w:t>Anëtar   i</w:t>
      </w:r>
      <w:r w:rsidRPr="00C60EBA">
        <w:tab/>
        <w:t>“</w:t>
      </w:r>
      <w:r w:rsidRPr="00C60EBA">
        <w:tab/>
        <w:t>“</w:t>
      </w:r>
    </w:p>
    <w:p w:rsidR="004C2EBC" w:rsidRPr="00C60EBA" w:rsidRDefault="004C2EBC" w:rsidP="004C2EBC">
      <w:pPr>
        <w:pStyle w:val="Paragrafi"/>
      </w:pPr>
      <w:r>
        <w:t>Fehmi Abdiu</w:t>
      </w:r>
      <w:r w:rsidRPr="00C60EBA">
        <w:tab/>
      </w:r>
      <w:r w:rsidRPr="00C60EBA">
        <w:tab/>
        <w:t>Anëtar   i</w:t>
      </w:r>
      <w:r w:rsidRPr="00C60EBA">
        <w:tab/>
        <w:t>“</w:t>
      </w:r>
      <w:r w:rsidRPr="00C60EBA">
        <w:tab/>
        <w:t xml:space="preserve">“ </w:t>
      </w:r>
    </w:p>
    <w:p w:rsidR="004C2EBC" w:rsidRPr="00C60EBA" w:rsidRDefault="004C2EBC" w:rsidP="004C2EBC">
      <w:pPr>
        <w:pStyle w:val="Paragrafi"/>
      </w:pPr>
      <w:r>
        <w:t>Kristofor Peçi</w:t>
      </w:r>
      <w:r w:rsidRPr="00C60EBA">
        <w:tab/>
      </w:r>
      <w:r w:rsidRPr="00C60EBA">
        <w:tab/>
        <w:t>Anëtar   i</w:t>
      </w:r>
      <w:r w:rsidRPr="00C60EBA">
        <w:tab/>
        <w:t>“</w:t>
      </w:r>
      <w:r w:rsidRPr="00C60EBA">
        <w:tab/>
        <w:t>“</w:t>
      </w:r>
    </w:p>
    <w:p w:rsidR="004C2EBC" w:rsidRPr="00C60EBA" w:rsidRDefault="004C2EBC" w:rsidP="004C2EBC">
      <w:pPr>
        <w:pStyle w:val="Paragrafi"/>
      </w:pPr>
      <w:r>
        <w:t>Xhezair Zaganjori</w:t>
      </w:r>
      <w:r w:rsidRPr="00C60EBA">
        <w:t xml:space="preserve"> </w:t>
      </w:r>
      <w:r w:rsidRPr="00C60EBA">
        <w:tab/>
        <w:t xml:space="preserve">Anëtar   i </w:t>
      </w:r>
      <w:r w:rsidRPr="00C60EBA">
        <w:tab/>
        <w:t>“</w:t>
      </w:r>
      <w:r w:rsidRPr="00C60EBA">
        <w:tab/>
        <w:t xml:space="preserve">“              </w:t>
      </w:r>
    </w:p>
    <w:p w:rsidR="004C2EBC" w:rsidRPr="00C60EBA" w:rsidRDefault="004C2EBC" w:rsidP="004C2EBC">
      <w:pPr>
        <w:pStyle w:val="Paragrafi"/>
      </w:pPr>
      <w:r>
        <w:t>Petrit Plloçi</w:t>
      </w:r>
      <w:r w:rsidRPr="00C60EBA">
        <w:tab/>
      </w:r>
      <w:r w:rsidRPr="00C60EBA">
        <w:tab/>
        <w:t xml:space="preserve">Anëtar   i </w:t>
      </w:r>
      <w:r w:rsidRPr="00C60EBA">
        <w:tab/>
        <w:t>“</w:t>
      </w:r>
      <w:r w:rsidRPr="00C60EBA">
        <w:tab/>
        <w:t>“</w:t>
      </w:r>
      <w:r w:rsidRPr="00C60EBA">
        <w:tab/>
        <w:t xml:space="preserve">   </w:t>
      </w:r>
    </w:p>
    <w:p w:rsidR="004C2EBC" w:rsidRPr="00C60EBA" w:rsidRDefault="004C2EBC" w:rsidP="004C2EBC">
      <w:pPr>
        <w:pStyle w:val="Paragrafi"/>
      </w:pPr>
      <w:r>
        <w:t>Sokol Sadushi</w:t>
      </w:r>
      <w:r w:rsidRPr="00C60EBA">
        <w:tab/>
      </w:r>
      <w:r>
        <w:tab/>
      </w:r>
      <w:r w:rsidRPr="00C60EBA">
        <w:t>Anëtar   i</w:t>
      </w:r>
      <w:r w:rsidRPr="00C60EBA">
        <w:tab/>
        <w:t>“</w:t>
      </w:r>
      <w:r w:rsidRPr="00C60EBA">
        <w:tab/>
        <w:t>“</w:t>
      </w:r>
    </w:p>
    <w:p w:rsidR="004C2EBC" w:rsidRDefault="004C2EBC" w:rsidP="004C2EBC">
      <w:pPr>
        <w:pStyle w:val="Paragrafi"/>
      </w:pPr>
      <w:r>
        <w:t>Kujtim Puto</w:t>
      </w:r>
      <w:r w:rsidRPr="00C60EBA">
        <w:tab/>
      </w:r>
      <w:r w:rsidRPr="00C60EBA">
        <w:tab/>
        <w:t xml:space="preserve">Anëtar   i </w:t>
      </w:r>
      <w:r w:rsidRPr="00C60EBA">
        <w:tab/>
        <w:t>“</w:t>
      </w:r>
      <w:r w:rsidRPr="00C60EBA">
        <w:tab/>
        <w:t>“</w:t>
      </w:r>
    </w:p>
    <w:p w:rsidR="004C2EBC" w:rsidRPr="00C60EBA" w:rsidRDefault="004C2EBC" w:rsidP="004C2EBC">
      <w:pPr>
        <w:pStyle w:val="Paragrafi"/>
      </w:pPr>
    </w:p>
    <w:p w:rsidR="004C2EBC" w:rsidRPr="00C60EBA" w:rsidRDefault="004C2EBC" w:rsidP="004C2EBC">
      <w:pPr>
        <w:pStyle w:val="Paragrafi"/>
      </w:pPr>
      <w:r w:rsidRPr="00C60EBA">
        <w:t xml:space="preserve">me sekretare Arbenka Lalica, në datën 20.10.2004, mori në shqyrtim në seancë gjyqësore me dyer të hapura çështjen me nr.21 Akti që i përket: </w:t>
      </w:r>
    </w:p>
    <w:p w:rsidR="004C2EBC" w:rsidRPr="00C60EBA" w:rsidRDefault="004C2EBC" w:rsidP="004C2EBC">
      <w:pPr>
        <w:pStyle w:val="Paragrafi"/>
      </w:pPr>
      <w:r>
        <w:t xml:space="preserve">KËRKUES: </w:t>
      </w:r>
      <w:r w:rsidRPr="00C60EBA">
        <w:t>RAMIZ DAUTI</w:t>
      </w:r>
    </w:p>
    <w:p w:rsidR="004C2EBC" w:rsidRPr="00C60EBA" w:rsidRDefault="004C2EBC" w:rsidP="004C2EBC">
      <w:pPr>
        <w:pStyle w:val="Paragrafi"/>
      </w:pPr>
      <w:r>
        <w:t>1. SUBJEKTE TË INTERESUARA: KOMISIONI QENDROR I CAKTIMIT TË AFTËSISË PËR PUNË</w:t>
      </w:r>
      <w:r w:rsidRPr="00C60EBA">
        <w:t>, përfaqësuar nga Avokati i Shtetit, Delo Isufi, me autorizim.</w:t>
      </w:r>
    </w:p>
    <w:p w:rsidR="004C2EBC" w:rsidRPr="00C60EBA" w:rsidRDefault="004C2EBC" w:rsidP="004C2EBC">
      <w:pPr>
        <w:pStyle w:val="Paragrafi"/>
      </w:pPr>
      <w:r>
        <w:t>2. INSTITUTI I SIGURIMEVE SHOQ</w:t>
      </w:r>
      <w:r>
        <w:rPr>
          <w:rFonts w:cs="CG Times"/>
        </w:rPr>
        <w:t>Ë</w:t>
      </w:r>
      <w:r w:rsidRPr="00C60EBA">
        <w:t>RORE, përfaqësuar nga Mirela Selita, drejtore e drejtorisë juridike, me autorizim.</w:t>
      </w:r>
    </w:p>
    <w:p w:rsidR="004C2EBC" w:rsidRPr="00C60EBA" w:rsidRDefault="004C2EBC" w:rsidP="004C2EBC">
      <w:pPr>
        <w:pStyle w:val="Paragrafi"/>
      </w:pPr>
      <w:r>
        <w:t xml:space="preserve">OBJEKTI: </w:t>
      </w:r>
      <w:r w:rsidRPr="00C60EBA">
        <w:t>Shfuqizimi si antikushtet</w:t>
      </w:r>
      <w:r>
        <w:t xml:space="preserve">ues i vendimeve nr.3587, datë  </w:t>
      </w:r>
      <w:r w:rsidRPr="00C60EBA">
        <w:t xml:space="preserve">9.6.2003 të Gjykatës së Rrethit </w:t>
      </w:r>
      <w:r>
        <w:t xml:space="preserve">Gjyqësor Tiranë; nr.1068, datë </w:t>
      </w:r>
      <w:r w:rsidRPr="00C60EBA">
        <w:t xml:space="preserve">9.10.2003 të Gjykatës së </w:t>
      </w:r>
      <w:r>
        <w:t>Apelit Tiranë dhe nr.581, datë 5.</w:t>
      </w:r>
      <w:r w:rsidRPr="00C60EBA">
        <w:t xml:space="preserve">3.2004 të Kolegjit Civil të Gjykatës së Lartë. </w:t>
      </w:r>
    </w:p>
    <w:p w:rsidR="004C2EBC" w:rsidRPr="00C60EBA" w:rsidRDefault="004C2EBC" w:rsidP="004C2EBC">
      <w:pPr>
        <w:pStyle w:val="Paragrafi"/>
      </w:pPr>
      <w:r>
        <w:t xml:space="preserve">BAZA LIGJORE: </w:t>
      </w:r>
      <w:r w:rsidRPr="00C60EBA">
        <w:t>N</w:t>
      </w:r>
      <w:r>
        <w:t>e</w:t>
      </w:r>
      <w:r w:rsidRPr="00C60EBA">
        <w:t>net 52 e 131/f të Kushtetutës.</w:t>
      </w:r>
    </w:p>
    <w:p w:rsidR="004C2EBC" w:rsidRPr="00C60EBA" w:rsidRDefault="004C2EBC" w:rsidP="004C2EBC">
      <w:pPr>
        <w:pStyle w:val="Paragrafi"/>
      </w:pPr>
      <w:r w:rsidRPr="00C60EBA">
        <w:t>Kërkuesi ka parashtruar këto shkaqe për shfuqizimin si antikushtetues</w:t>
      </w:r>
      <w:r>
        <w:t>e</w:t>
      </w:r>
      <w:r w:rsidRPr="00C60EBA">
        <w:t xml:space="preserve"> të vendimeve të mësipërme:</w:t>
      </w:r>
    </w:p>
    <w:p w:rsidR="004C2EBC" w:rsidRDefault="004C2EBC" w:rsidP="004C2EBC">
      <w:pPr>
        <w:pStyle w:val="Paragrafi"/>
      </w:pPr>
      <w:r w:rsidRPr="00C60EBA">
        <w:t>- Rregulli i shprehur në nenit</w:t>
      </w:r>
      <w:r>
        <w:t xml:space="preserve"> 35 të ligjit nr.7703, datë 11.</w:t>
      </w:r>
      <w:r w:rsidRPr="00C60EBA">
        <w:t xml:space="preserve">5.1993 “Për sigurimet Shoqërore </w:t>
      </w:r>
      <w:r>
        <w:t>në Republikën e Shqipërisë” se v</w:t>
      </w:r>
      <w:r w:rsidRPr="00C60EBA">
        <w:t>endimi i Komisionit Mjekësor të Caktimit të Aftësisë për Punë është i formës së prerë, ka të bëjë me “gjykimin administrativ”, por nuk përjashton kontrollin gjyqësor mbi veprimtarinë e atij komisioni</w:t>
      </w:r>
      <w:r>
        <w:t>. Mënjanimi i këtij kontrolli ce</w:t>
      </w:r>
      <w:r w:rsidRPr="00C60EBA">
        <w:t>non parimin kushtetues të ndarjes së pushteteve;</w:t>
      </w:r>
    </w:p>
    <w:p w:rsidR="004C2EBC" w:rsidRPr="00C60EBA" w:rsidRDefault="004C2EBC" w:rsidP="004C2EBC">
      <w:pPr>
        <w:pStyle w:val="Paragrafi"/>
      </w:pPr>
    </w:p>
    <w:p w:rsidR="004C2EBC" w:rsidRPr="00C60EBA" w:rsidRDefault="004C2EBC" w:rsidP="004C2EBC">
      <w:pPr>
        <w:pStyle w:val="Paragrafi"/>
      </w:pPr>
      <w:r w:rsidRPr="00C60EBA">
        <w:t>- Komisioni Mjekësor Epror i C</w:t>
      </w:r>
      <w:r>
        <w:t>aktimit të Aftësisë për Punë (KMCA</w:t>
      </w:r>
      <w:r w:rsidRPr="00C60EBA">
        <w:t>P) Tiranë, nuk ka zhvilluar një proces të rregullt administrativ</w:t>
      </w:r>
      <w:r>
        <w:t>,</w:t>
      </w:r>
      <w:r w:rsidRPr="00C60EBA">
        <w:t xml:space="preserve"> sepse e ka shqyrtuar ankimin e tij me s</w:t>
      </w:r>
      <w:r>
        <w:t xml:space="preserve">humë vonesë. Jo vetëm kaq, por </w:t>
      </w:r>
      <w:r w:rsidRPr="00C60EBA">
        <w:t>shqyrtimi i çështjes dhe ekzaminimi i tij në Komisionin Epror është bërë nga mjekë jo kompetentë;</w:t>
      </w:r>
    </w:p>
    <w:p w:rsidR="004C2EBC" w:rsidRPr="00C60EBA" w:rsidRDefault="004C2EBC" w:rsidP="004C2EBC">
      <w:pPr>
        <w:pStyle w:val="Paragrafi"/>
      </w:pPr>
      <w:r>
        <w:t>-  KMCAP</w:t>
      </w:r>
      <w:r w:rsidRPr="00C60EBA">
        <w:t>, Epror ka rënduar pozitën e tij si ankues</w:t>
      </w:r>
      <w:r>
        <w:t>,</w:t>
      </w:r>
      <w:r w:rsidRPr="00C60EBA">
        <w:t xml:space="preserve"> sepse ndryshoi vendimin e komisionit të rrethit në disfavorin e tij;</w:t>
      </w:r>
    </w:p>
    <w:p w:rsidR="004C2EBC" w:rsidRDefault="004C2EBC" w:rsidP="004C2EBC">
      <w:pPr>
        <w:pStyle w:val="Paragrafi"/>
      </w:pPr>
      <w:r w:rsidRPr="00C60EBA">
        <w:t>-  Kolegji Civil i Gjykatës së Lartë, nuk ka respektuar parimin e procesit gojor, sepse nuk ka dëgjuar drejtpërdrejt pretendimet e tij.</w:t>
      </w:r>
    </w:p>
    <w:p w:rsidR="004C2EBC" w:rsidRPr="00C60EBA" w:rsidRDefault="004C2EBC" w:rsidP="004C2EBC">
      <w:pPr>
        <w:pStyle w:val="Paragrafi"/>
      </w:pPr>
    </w:p>
    <w:p w:rsidR="004C2EBC" w:rsidRDefault="004C2EBC" w:rsidP="004C2EBC">
      <w:pPr>
        <w:pStyle w:val="Institucioni"/>
      </w:pPr>
      <w:r w:rsidRPr="00C60EBA">
        <w:t>GJYKATA KUSHTETUESE,</w:t>
      </w:r>
    </w:p>
    <w:p w:rsidR="004C2EBC" w:rsidRPr="00C60EBA" w:rsidRDefault="004C2EBC" w:rsidP="004C2EBC">
      <w:pPr>
        <w:pStyle w:val="Paragrafi"/>
      </w:pPr>
    </w:p>
    <w:p w:rsidR="004C2EBC" w:rsidRDefault="004C2EBC" w:rsidP="004C2EBC">
      <w:pPr>
        <w:pStyle w:val="Paragrafi"/>
      </w:pPr>
      <w:r w:rsidRPr="00C60EBA">
        <w:t>pasi dëgjoi relatorin e çështjes Kujtim Puto, kërkuesin, përfaqësuesit e subjekteve të interesuara dhe bisedoi çështjen në tërësi,</w:t>
      </w:r>
    </w:p>
    <w:p w:rsidR="004C2EBC" w:rsidRPr="00C60EBA" w:rsidRDefault="004C2EBC" w:rsidP="004C2EBC">
      <w:pPr>
        <w:pStyle w:val="Paragrafi"/>
      </w:pPr>
    </w:p>
    <w:p w:rsidR="004C2EBC" w:rsidRDefault="004C2EBC" w:rsidP="004C2EBC">
      <w:pPr>
        <w:pStyle w:val="VENDOSI"/>
      </w:pPr>
      <w:r>
        <w:t>VËRE</w:t>
      </w:r>
      <w:r w:rsidRPr="00C60EBA">
        <w:t>N:</w:t>
      </w:r>
    </w:p>
    <w:p w:rsidR="004C2EBC" w:rsidRPr="00C60EBA" w:rsidRDefault="004C2EBC" w:rsidP="004C2EBC">
      <w:pPr>
        <w:pStyle w:val="Paragrafi"/>
      </w:pPr>
    </w:p>
    <w:p w:rsidR="004C2EBC" w:rsidRPr="00C60EBA" w:rsidRDefault="004C2EBC" w:rsidP="004C2EBC">
      <w:pPr>
        <w:pStyle w:val="Paragrafi"/>
      </w:pPr>
      <w:r w:rsidRPr="00C60EBA">
        <w:t>Komisioni Mjekësor i C</w:t>
      </w:r>
      <w:r>
        <w:t>aktimit të Aftësisë për Punë (KMC</w:t>
      </w:r>
      <w:r w:rsidRPr="00C60EBA">
        <w:t>P) Dibë</w:t>
      </w:r>
      <w:r>
        <w:t>r, me vendimin nr.657, datë 28.</w:t>
      </w:r>
      <w:r w:rsidRPr="00C60EBA">
        <w:t>9.2001, i ka njohur kërkuesit të drejtën e invaliditetit të gru</w:t>
      </w:r>
      <w:r>
        <w:t>pit të katërt për periudhën 16.</w:t>
      </w:r>
      <w:r w:rsidRPr="00C60EBA">
        <w:t>3.2001</w:t>
      </w:r>
      <w:r>
        <w:t>-30.</w:t>
      </w:r>
      <w:r w:rsidRPr="00C60EBA">
        <w:t>3.2002. Kundër këtij vend</w:t>
      </w:r>
      <w:r>
        <w:t>imi kërkuesi është ankuar në (KMCA</w:t>
      </w:r>
      <w:r w:rsidRPr="00C60EBA">
        <w:t>P) Epror dhe ky i fu</w:t>
      </w:r>
      <w:r>
        <w:t>ndit me vendimin nr.7, datë 30.</w:t>
      </w:r>
      <w:r w:rsidRPr="00C60EBA">
        <w:t>1.2003, ka arritur në përfundimin se kërkuesi nuk është invalid, por, i aftë p</w:t>
      </w:r>
      <w:r>
        <w:t xml:space="preserve">ër </w:t>
      </w:r>
      <w:r>
        <w:lastRenderedPageBreak/>
        <w:t>punë në profesionin që ka pas</w:t>
      </w:r>
      <w:r w:rsidRPr="00C60EBA">
        <w:t xml:space="preserve">ur. </w:t>
      </w:r>
    </w:p>
    <w:p w:rsidR="004C2EBC" w:rsidRPr="00C60EBA" w:rsidRDefault="004C2EBC" w:rsidP="004C2EBC">
      <w:pPr>
        <w:pStyle w:val="Paragrafi"/>
      </w:pPr>
      <w:r w:rsidRPr="00C60EBA">
        <w:t>Kundër vendimit të Komisionit Epror kërkuesi është ankuar në Gjykatën e Rrethit Gjyqësor Tiranë, e c</w:t>
      </w:r>
      <w:r>
        <w:t>ila, me vendimin nr.2587, datë 9.</w:t>
      </w:r>
      <w:r w:rsidRPr="00C60EBA">
        <w:t>6.2003, i</w:t>
      </w:r>
      <w:r>
        <w:t>a</w:t>
      </w:r>
      <w:r w:rsidRPr="00C60EBA">
        <w:t xml:space="preserve"> ka rrëzuar kërkesën me arsyetimin se ai nuk mund të ankohet në gjykatë përderisa</w:t>
      </w:r>
      <w:r>
        <w:t>,</w:t>
      </w:r>
      <w:r w:rsidRPr="00C60EBA">
        <w:t xml:space="preserve"> sipas nenit</w:t>
      </w:r>
      <w:r>
        <w:t xml:space="preserve"> 35 të ligjit nr.7703, datë 11.5.2</w:t>
      </w:r>
      <w:r w:rsidRPr="00C60EBA">
        <w:t>003</w:t>
      </w:r>
      <w:r>
        <w:t xml:space="preserve"> “Për sigurimet s</w:t>
      </w:r>
      <w:r w:rsidRPr="00C60EBA">
        <w:t>hoqërore në Republikën e Shqipërisë”, vendimi i Komisionit Mjekësor të Caktimit të Aftësisë për Punë pranë Ins</w:t>
      </w:r>
      <w:r>
        <w:t>titutit të Sigurimeve Shoqërore</w:t>
      </w:r>
      <w:r w:rsidRPr="00C60EBA">
        <w:t xml:space="preserve"> është i formës së prerë.</w:t>
      </w:r>
    </w:p>
    <w:p w:rsidR="004C2EBC" w:rsidRPr="00C60EBA" w:rsidRDefault="004C2EBC" w:rsidP="004C2EBC">
      <w:pPr>
        <w:pStyle w:val="Paragrafi"/>
      </w:pPr>
      <w:r w:rsidRPr="00C60EBA">
        <w:t>Gjykata e Apelit Tir</w:t>
      </w:r>
      <w:r>
        <w:t xml:space="preserve">anë, me vendimin nr.1068, datë </w:t>
      </w:r>
      <w:r w:rsidRPr="00C60EBA">
        <w:t xml:space="preserve">9.10.2003, pranon </w:t>
      </w:r>
      <w:r>
        <w:t>se vendimi i KMCAP Epror</w:t>
      </w:r>
      <w:r w:rsidRPr="00C60EBA">
        <w:t xml:space="preserve"> është i formës së prerë përsa i përket caktimit të aftësisë për punë, por, ndryshe nga sa pretendon kërkuesi</w:t>
      </w:r>
      <w:r>
        <w:t>,</w:t>
      </w:r>
      <w:r w:rsidRPr="00C60EBA">
        <w:t xml:space="preserve"> ka pranuar të shqyrtojë çështjen përsa i përket pretendimeve që ka ngritur kërkuesi në padi për zhvillimin e një procesi të parregullt nga ky komision administrativ. Kështu</w:t>
      </w:r>
      <w:r>
        <w:t xml:space="preserve">, ajo ka shqyrtuar pretendimet </w:t>
      </w:r>
      <w:r w:rsidRPr="00C60EBA">
        <w:t>për përbërjen e komisionit dhe aftësinë e tyre profesionale duke konkluduar se jo vetëm që kjo përbërje ka qenë e rregullt</w:t>
      </w:r>
      <w:r>
        <w:t>,</w:t>
      </w:r>
      <w:r w:rsidRPr="00C60EBA">
        <w:t xml:space="preserve"> por edhe që anëtarët e komisionit ishin mjekë specialistë të kualifikuar, të caktuar si të tillë nga Ministria e Shëndetësisë.</w:t>
      </w:r>
    </w:p>
    <w:p w:rsidR="004C2EBC" w:rsidRPr="00C60EBA" w:rsidRDefault="004C2EBC" w:rsidP="004C2EBC">
      <w:pPr>
        <w:pStyle w:val="Paragrafi"/>
      </w:pPr>
      <w:r w:rsidRPr="00C60EBA">
        <w:t>Duke qëndruar çështja si më sipër, Gjykata Kushtetuese nuk konstaton që gjykata e apelit të ketë zhvilluar një proces të parregullt gjyqësor, në kuptim të nenit 42 të Kushtetutës. Në pajtim me dispozitat kushtetuese</w:t>
      </w:r>
      <w:r>
        <w:t>,</w:t>
      </w:r>
      <w:r w:rsidRPr="00C60EBA">
        <w:t xml:space="preserve"> si dhe me dispozitat procedurale civile e administrative që kanë të bëjnë me të drejtën e çdo individi për të bërë ankim ndaj çdo akti administrativ, gjykata e apelit, ndryshe nga gjykata e rrethit, i ka hyrë në aspekti</w:t>
      </w:r>
      <w:r>
        <w:t>n procedural problemeve të ligj</w:t>
      </w:r>
      <w:r w:rsidRPr="00C60EBA">
        <w:t>shmërisë së aktit të komisionit. Ajo ka arritur në përfundimin se komisioni epror përbëhej nga mjekë specialistë të kualifikuar e të aftë profesionalisht, të caktuar si të tillë nga Ministria e Shëndetësisë. Ajo ka pranuar njëkohësisht se verifikimi i aftësisë konkrete për punë ka të bëjë me vlerësimin e bindjen profesionale të anëtarëve të komisionit epror. Vetë natyra e vendimit të komisionit përsa i përket gjendjes shëndetësore të kërkuesit e ka çuar gjykatën në konkluzionin se ndjekja strikte e procedurës nuk do të sjellë ndonjë vlerësim më të saktë dhe si rrjedhojë as në ndryshim  të vendimit të komisionit epror.</w:t>
      </w:r>
    </w:p>
    <w:p w:rsidR="004C2EBC" w:rsidRPr="00C60EBA" w:rsidRDefault="004C2EBC" w:rsidP="004C2EBC">
      <w:pPr>
        <w:pStyle w:val="Paragrafi"/>
      </w:pPr>
      <w:r w:rsidRPr="00C60EBA">
        <w:t>Kërkuesi pretendon gjithashtu se komisioni epror e ka lënë pa grup invaliditeti</w:t>
      </w:r>
      <w:r>
        <w:t>,</w:t>
      </w:r>
      <w:r w:rsidRPr="00C60EBA">
        <w:t xml:space="preserve"> megjithëse komisioni në rreth e ka përcaktuar invalid të grupit të katërt. Përsa i përket këtij pretendimi, Gjykata Kushtetuese arrin në përfundimin se është e drejta e organeve të administratës dhe e gjykatave të sistemit gjyqësor  për t’i  dhënë zgjidhje konkrete e ligjore çështjes duke interp</w:t>
      </w:r>
      <w:r>
        <w:t>r</w:t>
      </w:r>
      <w:r w:rsidRPr="00C60EBA">
        <w:t xml:space="preserve">etuar e zbatuar Kodin e Procedurave Administrative. </w:t>
      </w:r>
    </w:p>
    <w:p w:rsidR="004C2EBC" w:rsidRDefault="004C2EBC" w:rsidP="004C2EBC">
      <w:pPr>
        <w:pStyle w:val="Paragrafi"/>
      </w:pPr>
    </w:p>
    <w:p w:rsidR="004C2EBC" w:rsidRDefault="004C2EBC" w:rsidP="004C2EBC">
      <w:pPr>
        <w:pStyle w:val="Paragrafi"/>
      </w:pPr>
    </w:p>
    <w:p w:rsidR="004C2EBC" w:rsidRDefault="004C2EBC" w:rsidP="004C2EBC">
      <w:pPr>
        <w:pStyle w:val="Paragrafi"/>
      </w:pPr>
    </w:p>
    <w:p w:rsidR="004C2EBC" w:rsidRPr="00C60EBA" w:rsidRDefault="004C2EBC" w:rsidP="004C2EBC">
      <w:pPr>
        <w:pStyle w:val="Paragrafi"/>
        <w:ind w:firstLine="0"/>
      </w:pPr>
    </w:p>
    <w:p w:rsidR="004C2EBC" w:rsidRDefault="004C2EBC" w:rsidP="004C2EBC">
      <w:pPr>
        <w:pStyle w:val="VENDOSI"/>
      </w:pPr>
      <w:r>
        <w:t>PËR KËTO ARSYE,</w:t>
      </w:r>
    </w:p>
    <w:p w:rsidR="004C2EBC" w:rsidRPr="00C60EBA" w:rsidRDefault="004C2EBC" w:rsidP="004C2EBC">
      <w:pPr>
        <w:pStyle w:val="Paragrafi"/>
      </w:pPr>
    </w:p>
    <w:p w:rsidR="004C2EBC" w:rsidRDefault="004C2EBC" w:rsidP="004C2EBC">
      <w:pPr>
        <w:pStyle w:val="Paragrafi"/>
      </w:pPr>
      <w:r w:rsidRPr="00C60EBA">
        <w:t>Gjykata Kushtetuese e Republikës së Shqipërisë, në mbështetje të nenit 132 të Kushtetutës</w:t>
      </w:r>
      <w:r>
        <w:t>,</w:t>
      </w:r>
      <w:r w:rsidRPr="00C60EBA">
        <w:t xml:space="preserve"> si dhe </w:t>
      </w:r>
      <w:r>
        <w:t xml:space="preserve">të </w:t>
      </w:r>
      <w:r w:rsidRPr="00C60EBA">
        <w:t>nenit 72 e vij</w:t>
      </w:r>
      <w:r>
        <w:t>ues të ligjit nr.8577, datë 10.</w:t>
      </w:r>
      <w:r w:rsidRPr="00C60EBA">
        <w:t>2.2000 “Për organizimin dhe funksionimin e Gjykatës Kushtetuese të Republikës së Shqipërisë”, me shumicë votash,</w:t>
      </w:r>
    </w:p>
    <w:p w:rsidR="004C2EBC" w:rsidRPr="00C60EBA" w:rsidRDefault="004C2EBC" w:rsidP="004C2EBC">
      <w:pPr>
        <w:pStyle w:val="Paragrafi"/>
      </w:pPr>
    </w:p>
    <w:p w:rsidR="004C2EBC" w:rsidRDefault="004C2EBC" w:rsidP="004C2EBC">
      <w:pPr>
        <w:pStyle w:val="VENDOSI"/>
      </w:pPr>
      <w:r>
        <w:t>VENDOSI</w:t>
      </w:r>
      <w:r w:rsidRPr="00C60EBA">
        <w:t>:</w:t>
      </w:r>
    </w:p>
    <w:p w:rsidR="004C2EBC" w:rsidRPr="00C60EBA" w:rsidRDefault="004C2EBC" w:rsidP="004C2EBC">
      <w:pPr>
        <w:pStyle w:val="Paragrafi"/>
      </w:pPr>
    </w:p>
    <w:p w:rsidR="004C2EBC" w:rsidRPr="00C60EBA" w:rsidRDefault="004C2EBC" w:rsidP="004C2EBC">
      <w:pPr>
        <w:pStyle w:val="Paragrafi"/>
      </w:pPr>
      <w:r w:rsidRPr="00C60EBA">
        <w:t>- Rrëzimin e kërkesës</w:t>
      </w:r>
      <w:r>
        <w:t>.</w:t>
      </w:r>
    </w:p>
    <w:p w:rsidR="004C2EBC" w:rsidRDefault="004C2EBC" w:rsidP="004C2EBC">
      <w:pPr>
        <w:pStyle w:val="Paragrafi"/>
      </w:pPr>
      <w:r w:rsidRPr="00C60EBA">
        <w:t>- Ky vendim është përfundimtar, i formës së prerë dhe hyn në fuqi ditën e botimit në Fletoren Zyrtare.</w:t>
      </w:r>
    </w:p>
    <w:p w:rsidR="004C2EBC" w:rsidRPr="00C60EBA" w:rsidRDefault="004C2EBC" w:rsidP="004C2EBC">
      <w:pPr>
        <w:pStyle w:val="Paragrafi"/>
      </w:pPr>
    </w:p>
    <w:p w:rsidR="004C2EBC" w:rsidRPr="00C60EBA" w:rsidRDefault="004C2EBC" w:rsidP="004C2EBC">
      <w:pPr>
        <w:pStyle w:val="Paragrafi"/>
      </w:pPr>
    </w:p>
    <w:p w:rsidR="004C2EBC" w:rsidRPr="00AA3124" w:rsidRDefault="004C2EBC" w:rsidP="004C2EBC">
      <w:pPr>
        <w:pStyle w:val="Paragrafi"/>
      </w:pPr>
    </w:p>
    <w:p w:rsidR="004C2EBC" w:rsidRDefault="004C2EBC" w:rsidP="004C2EBC">
      <w:pPr>
        <w:pStyle w:val="Paragrafi"/>
      </w:pPr>
    </w:p>
    <w:p w:rsidR="004C2EBC" w:rsidRDefault="004C2EBC" w:rsidP="004C2EBC">
      <w:pPr>
        <w:pStyle w:val="Paragrafi"/>
      </w:pPr>
    </w:p>
    <w:p w:rsidR="004C2EBC" w:rsidRPr="00AA3124" w:rsidRDefault="004C2EBC" w:rsidP="004C2EB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4C2EBC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714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C7BD5">
      <w:r>
        <w:separator/>
      </w:r>
    </w:p>
  </w:endnote>
  <w:endnote w:type="continuationSeparator" w:id="0">
    <w:p w:rsidR="00000000" w:rsidRDefault="00BC7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EBC" w:rsidRDefault="004C2EBC" w:rsidP="004C2EB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C2EBC" w:rsidRDefault="004C2EBC" w:rsidP="004C2EB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2EBC" w:rsidRDefault="004C2EBC" w:rsidP="004C2EB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7BD5">
      <w:rPr>
        <w:rStyle w:val="PageNumber"/>
      </w:rPr>
      <w:t>7146</w:t>
    </w:r>
    <w:r>
      <w:rPr>
        <w:rStyle w:val="PageNumber"/>
      </w:rPr>
      <w:fldChar w:fldCharType="end"/>
    </w:r>
  </w:p>
  <w:p w:rsidR="004C2EBC" w:rsidRDefault="004C2EBC" w:rsidP="004C2EB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C7BD5">
      <w:r>
        <w:separator/>
      </w:r>
    </w:p>
  </w:footnote>
  <w:footnote w:type="continuationSeparator" w:id="0">
    <w:p w:rsidR="00000000" w:rsidRDefault="00BC7B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4C2EB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C7BD5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C8C1B9-512D-4D74-B743-5BA94106D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EBC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4C2EB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C2EBC"/>
  </w:style>
  <w:style w:type="character" w:customStyle="1" w:styleId="TitulliTitullChar">
    <w:name w:val="Titulli_Titull Char"/>
    <w:basedOn w:val="DefaultParagraphFont"/>
    <w:link w:val="TitulliTitull"/>
    <w:rsid w:val="004C2EB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