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02F7" w:rsidRPr="004B7906" w:rsidRDefault="00E202F7" w:rsidP="00E202F7">
      <w:pPr>
        <w:pStyle w:val="Akti"/>
        <w:keepNext w:val="0"/>
        <w:rPr>
          <w:lang w:val="it-IT"/>
        </w:rPr>
      </w:pPr>
      <w:bookmarkStart w:id="0" w:name="_GoBack"/>
      <w:bookmarkEnd w:id="0"/>
      <w:r>
        <w:rPr>
          <w:lang w:val="it-IT"/>
        </w:rPr>
        <w:t>VENDI</w:t>
      </w:r>
      <w:r w:rsidRPr="004B7906">
        <w:rPr>
          <w:lang w:val="it-IT"/>
        </w:rPr>
        <w:t>M</w:t>
      </w:r>
    </w:p>
    <w:p w:rsidR="00E202F7" w:rsidRDefault="00E202F7" w:rsidP="00E202F7">
      <w:pPr>
        <w:pStyle w:val="NumriData"/>
        <w:keepNext w:val="0"/>
        <w:rPr>
          <w:lang w:val="it-IT"/>
        </w:rPr>
      </w:pPr>
      <w:r w:rsidRPr="004B7906">
        <w:rPr>
          <w:lang w:val="it-IT"/>
        </w:rPr>
        <w:t>Nr.6, datë 15.4.2005</w:t>
      </w:r>
    </w:p>
    <w:p w:rsidR="00E202F7" w:rsidRPr="002B69B3" w:rsidRDefault="00E202F7" w:rsidP="00E202F7">
      <w:pPr>
        <w:pStyle w:val="Paragrafi"/>
      </w:pPr>
    </w:p>
    <w:p w:rsidR="00E202F7" w:rsidRPr="00E202F7" w:rsidRDefault="00E202F7" w:rsidP="00E202F7">
      <w:pPr>
        <w:pStyle w:val="Titulli"/>
        <w:rPr>
          <w:b w:val="0"/>
        </w:rPr>
      </w:pPr>
      <w:r w:rsidRPr="00E202F7">
        <w:rPr>
          <w:b w:val="0"/>
        </w:rPr>
        <w:t>Në EMëR Të REPUBLIKëS Së SHQIPëRISë</w:t>
      </w:r>
    </w:p>
    <w:p w:rsidR="00E202F7" w:rsidRPr="004B7906" w:rsidRDefault="00E202F7" w:rsidP="00E202F7">
      <w:pPr>
        <w:pStyle w:val="Paragrafi"/>
        <w:rPr>
          <w:lang w:val="it-IT"/>
        </w:rPr>
      </w:pPr>
    </w:p>
    <w:p w:rsidR="00E202F7" w:rsidRDefault="00E202F7" w:rsidP="00E202F7">
      <w:pPr>
        <w:pStyle w:val="Paragrafi"/>
        <w:rPr>
          <w:lang w:val="it-IT"/>
        </w:rPr>
      </w:pPr>
      <w:r w:rsidRPr="004B7906">
        <w:rPr>
          <w:lang w:val="it-IT"/>
        </w:rPr>
        <w:t>Gjykata Kushtetuese e Republikës së Shqipërisë, e përbërë nga:</w:t>
      </w:r>
    </w:p>
    <w:p w:rsidR="00E202F7" w:rsidRPr="004B7906" w:rsidRDefault="00E202F7" w:rsidP="00E202F7">
      <w:pPr>
        <w:pStyle w:val="Paragrafi"/>
        <w:rPr>
          <w:lang w:val="it-IT"/>
        </w:rPr>
      </w:pPr>
    </w:p>
    <w:p w:rsidR="00E202F7" w:rsidRPr="004B7906" w:rsidRDefault="00E202F7" w:rsidP="00E202F7">
      <w:pPr>
        <w:pStyle w:val="Paragrafi"/>
        <w:rPr>
          <w:lang w:val="it-IT"/>
        </w:rPr>
      </w:pPr>
      <w:r>
        <w:rPr>
          <w:lang w:val="it-IT"/>
        </w:rPr>
        <w:t>Gjergj Sauli</w:t>
      </w:r>
      <w:r w:rsidRPr="004B7906">
        <w:rPr>
          <w:lang w:val="it-IT"/>
        </w:rPr>
        <w:t xml:space="preserve">              </w:t>
      </w:r>
      <w:r w:rsidRPr="004B7906">
        <w:rPr>
          <w:lang w:val="it-IT"/>
        </w:rPr>
        <w:tab/>
        <w:t xml:space="preserve"> Kryetar  i Gjykatës Kushtetuese </w:t>
      </w:r>
    </w:p>
    <w:p w:rsidR="00E202F7" w:rsidRPr="004B7906" w:rsidRDefault="00E202F7" w:rsidP="00E202F7">
      <w:pPr>
        <w:pStyle w:val="Paragrafi"/>
        <w:rPr>
          <w:lang w:val="it-IT"/>
        </w:rPr>
      </w:pPr>
      <w:r>
        <w:rPr>
          <w:lang w:val="it-IT"/>
        </w:rPr>
        <w:t>Alfred Karamuço</w:t>
      </w:r>
      <w:r w:rsidRPr="004B7906">
        <w:rPr>
          <w:lang w:val="it-IT"/>
        </w:rPr>
        <w:tab/>
        <w:t>Anëtar    i</w:t>
      </w:r>
      <w:r w:rsidRPr="004B7906">
        <w:rPr>
          <w:lang w:val="it-IT"/>
        </w:rPr>
        <w:tab/>
        <w:t>“</w:t>
      </w:r>
      <w:r w:rsidRPr="004B7906">
        <w:rPr>
          <w:lang w:val="it-IT"/>
        </w:rPr>
        <w:tab/>
        <w:t xml:space="preserve">“   </w:t>
      </w:r>
    </w:p>
    <w:p w:rsidR="00E202F7" w:rsidRPr="004B7906" w:rsidRDefault="00E202F7" w:rsidP="00E202F7">
      <w:pPr>
        <w:pStyle w:val="Paragrafi"/>
        <w:rPr>
          <w:lang w:val="it-IT"/>
        </w:rPr>
      </w:pPr>
      <w:r>
        <w:rPr>
          <w:lang w:val="it-IT"/>
        </w:rPr>
        <w:t>Fehmi Abdiu</w:t>
      </w:r>
      <w:r w:rsidRPr="004B7906">
        <w:rPr>
          <w:lang w:val="it-IT"/>
        </w:rPr>
        <w:tab/>
      </w:r>
      <w:r w:rsidRPr="004B7906">
        <w:rPr>
          <w:lang w:val="it-IT"/>
        </w:rPr>
        <w:tab/>
        <w:t>Anëtar    i</w:t>
      </w:r>
      <w:r w:rsidRPr="004B7906">
        <w:rPr>
          <w:lang w:val="it-IT"/>
        </w:rPr>
        <w:tab/>
        <w:t>“</w:t>
      </w:r>
      <w:r w:rsidRPr="004B7906">
        <w:rPr>
          <w:lang w:val="it-IT"/>
        </w:rPr>
        <w:tab/>
        <w:t>“</w:t>
      </w:r>
    </w:p>
    <w:p w:rsidR="00E202F7" w:rsidRPr="004B7906" w:rsidRDefault="00E202F7" w:rsidP="00E202F7">
      <w:pPr>
        <w:pStyle w:val="Paragrafi"/>
        <w:rPr>
          <w:lang w:val="it-IT"/>
        </w:rPr>
      </w:pPr>
      <w:r>
        <w:rPr>
          <w:lang w:val="it-IT"/>
        </w:rPr>
        <w:t>Kristofor Peçi</w:t>
      </w:r>
      <w:r w:rsidRPr="004B7906">
        <w:rPr>
          <w:lang w:val="it-IT"/>
        </w:rPr>
        <w:tab/>
      </w:r>
      <w:r w:rsidRPr="004B7906">
        <w:rPr>
          <w:lang w:val="it-IT"/>
        </w:rPr>
        <w:tab/>
        <w:t>Anëtar    i</w:t>
      </w:r>
      <w:r w:rsidRPr="004B7906">
        <w:rPr>
          <w:lang w:val="it-IT"/>
        </w:rPr>
        <w:tab/>
        <w:t>“</w:t>
      </w:r>
      <w:r w:rsidRPr="004B7906">
        <w:rPr>
          <w:lang w:val="it-IT"/>
        </w:rPr>
        <w:tab/>
        <w:t>“</w:t>
      </w:r>
    </w:p>
    <w:p w:rsidR="00E202F7" w:rsidRPr="004B7906" w:rsidRDefault="00E202F7" w:rsidP="00E202F7">
      <w:pPr>
        <w:pStyle w:val="Paragrafi"/>
        <w:rPr>
          <w:lang w:val="it-IT"/>
        </w:rPr>
      </w:pPr>
      <w:r>
        <w:rPr>
          <w:lang w:val="it-IT"/>
        </w:rPr>
        <w:t>Xhezair Zaganjori</w:t>
      </w:r>
      <w:r w:rsidRPr="004B7906">
        <w:rPr>
          <w:lang w:val="it-IT"/>
        </w:rPr>
        <w:t xml:space="preserve">    </w:t>
      </w:r>
      <w:r w:rsidRPr="004B7906">
        <w:rPr>
          <w:lang w:val="it-IT"/>
        </w:rPr>
        <w:tab/>
        <w:t>Anëtar    i</w:t>
      </w:r>
      <w:r w:rsidRPr="004B7906">
        <w:rPr>
          <w:lang w:val="it-IT"/>
        </w:rPr>
        <w:tab/>
        <w:t>“</w:t>
      </w:r>
      <w:r w:rsidRPr="004B7906">
        <w:rPr>
          <w:lang w:val="it-IT"/>
        </w:rPr>
        <w:tab/>
        <w:t xml:space="preserve">“   </w:t>
      </w:r>
    </w:p>
    <w:p w:rsidR="00E202F7" w:rsidRPr="004B7906" w:rsidRDefault="00E202F7" w:rsidP="00E202F7">
      <w:pPr>
        <w:pStyle w:val="Paragrafi"/>
        <w:rPr>
          <w:lang w:val="it-IT"/>
        </w:rPr>
      </w:pPr>
      <w:r>
        <w:rPr>
          <w:lang w:val="it-IT"/>
        </w:rPr>
        <w:t>Petrit Plloçi</w:t>
      </w:r>
      <w:r w:rsidRPr="004B7906">
        <w:rPr>
          <w:lang w:val="it-IT"/>
        </w:rPr>
        <w:tab/>
      </w:r>
      <w:r w:rsidRPr="004B7906">
        <w:rPr>
          <w:lang w:val="it-IT"/>
        </w:rPr>
        <w:tab/>
        <w:t>Anëtar    i</w:t>
      </w:r>
      <w:r w:rsidRPr="004B7906">
        <w:rPr>
          <w:lang w:val="it-IT"/>
        </w:rPr>
        <w:tab/>
        <w:t>“</w:t>
      </w:r>
      <w:r w:rsidRPr="004B7906">
        <w:rPr>
          <w:lang w:val="it-IT"/>
        </w:rPr>
        <w:tab/>
        <w:t xml:space="preserve">“  </w:t>
      </w:r>
    </w:p>
    <w:p w:rsidR="00E202F7" w:rsidRDefault="00E202F7" w:rsidP="00E202F7">
      <w:pPr>
        <w:pStyle w:val="Paragrafi"/>
        <w:rPr>
          <w:lang w:val="it-IT"/>
        </w:rPr>
      </w:pPr>
      <w:r>
        <w:rPr>
          <w:lang w:val="it-IT"/>
        </w:rPr>
        <w:t>Kujtim Puto</w:t>
      </w:r>
      <w:r w:rsidRPr="004B7906">
        <w:rPr>
          <w:lang w:val="it-IT"/>
        </w:rPr>
        <w:t xml:space="preserve">              </w:t>
      </w:r>
      <w:r w:rsidRPr="004B7906">
        <w:rPr>
          <w:lang w:val="it-IT"/>
        </w:rPr>
        <w:tab/>
        <w:t xml:space="preserve">Anëtar    i </w:t>
      </w:r>
      <w:r w:rsidRPr="004B7906">
        <w:rPr>
          <w:lang w:val="it-IT"/>
        </w:rPr>
        <w:tab/>
        <w:t>“</w:t>
      </w:r>
      <w:r w:rsidRPr="004B7906">
        <w:rPr>
          <w:lang w:val="it-IT"/>
        </w:rPr>
        <w:tab/>
        <w:t xml:space="preserve">“ </w:t>
      </w:r>
    </w:p>
    <w:p w:rsidR="00E202F7" w:rsidRPr="004B7906" w:rsidRDefault="00E202F7" w:rsidP="00E202F7">
      <w:pPr>
        <w:pStyle w:val="Paragrafi"/>
        <w:rPr>
          <w:lang w:val="it-IT"/>
        </w:rPr>
      </w:pPr>
    </w:p>
    <w:p w:rsidR="00E202F7" w:rsidRPr="004B7906" w:rsidRDefault="00E202F7" w:rsidP="00E202F7">
      <w:pPr>
        <w:pStyle w:val="Paragrafi"/>
        <w:rPr>
          <w:lang w:val="it-IT"/>
        </w:rPr>
      </w:pPr>
      <w:r w:rsidRPr="004B7906">
        <w:rPr>
          <w:lang w:val="it-IT"/>
        </w:rPr>
        <w:t>me sekretare Arbenka Lalica, në datat 1.10.2004 dhe 22.10.2004, mori në shqyrtim në seancë gjyqësore me dyer të hapura çështjen nr.23/3 Akti që i përket:</w:t>
      </w:r>
    </w:p>
    <w:p w:rsidR="00E202F7" w:rsidRPr="004B7906" w:rsidRDefault="00E202F7" w:rsidP="00E202F7">
      <w:pPr>
        <w:pStyle w:val="Paragrafi"/>
        <w:rPr>
          <w:lang w:val="it-IT"/>
        </w:rPr>
      </w:pPr>
      <w:r>
        <w:rPr>
          <w:lang w:val="it-IT"/>
        </w:rPr>
        <w:t xml:space="preserve">KËRKUES: </w:t>
      </w:r>
      <w:r w:rsidRPr="004B7906">
        <w:rPr>
          <w:lang w:val="it-IT"/>
        </w:rPr>
        <w:t xml:space="preserve">DRITA SILIQI, GJINOVEFA MIHALI, ANDREA E MARINA SHUNDI, përfaqësuar nga avokat Agim Tartari, me prokurë të posaçme.   </w:t>
      </w:r>
    </w:p>
    <w:p w:rsidR="00E202F7" w:rsidRPr="004B7906" w:rsidRDefault="00E202F7" w:rsidP="00E202F7">
      <w:pPr>
        <w:pStyle w:val="Paragrafi"/>
        <w:rPr>
          <w:lang w:val="it-IT"/>
        </w:rPr>
      </w:pPr>
      <w:r>
        <w:rPr>
          <w:lang w:val="it-IT"/>
        </w:rPr>
        <w:t>SUBJEKTE TË</w:t>
      </w:r>
      <w:r w:rsidRPr="004B7906">
        <w:rPr>
          <w:lang w:val="it-IT"/>
        </w:rPr>
        <w:t xml:space="preserve"> INTERESUARA:</w:t>
      </w:r>
      <w:r w:rsidRPr="004B7906">
        <w:rPr>
          <w:lang w:val="it-IT"/>
        </w:rPr>
        <w:tab/>
      </w:r>
    </w:p>
    <w:p w:rsidR="00E202F7" w:rsidRDefault="00E202F7" w:rsidP="00E202F7">
      <w:pPr>
        <w:pStyle w:val="Paragrafi"/>
        <w:rPr>
          <w:lang w:val="it-IT"/>
        </w:rPr>
      </w:pPr>
      <w:r w:rsidRPr="004B7906">
        <w:rPr>
          <w:lang w:val="it-IT"/>
        </w:rPr>
        <w:t xml:space="preserve">1. KOMISIONI I KTHIMIT DHE </w:t>
      </w:r>
      <w:r>
        <w:rPr>
          <w:lang w:val="it-IT"/>
        </w:rPr>
        <w:t>I KOMPENSIMIT TË PRONAVE ISH-PRONARËVE TIRANË</w:t>
      </w:r>
      <w:r w:rsidRPr="004B7906">
        <w:rPr>
          <w:lang w:val="it-IT"/>
        </w:rPr>
        <w:t>, përfaqësuar nga Avokati i Shtetit, Delo Isufi.</w:t>
      </w:r>
    </w:p>
    <w:p w:rsidR="00E202F7" w:rsidRPr="004B7906" w:rsidRDefault="00E202F7" w:rsidP="00E202F7">
      <w:pPr>
        <w:pStyle w:val="Paragrafi"/>
        <w:rPr>
          <w:lang w:val="it-IT"/>
        </w:rPr>
      </w:pPr>
    </w:p>
    <w:p w:rsidR="00E202F7" w:rsidRPr="00E834BC" w:rsidRDefault="00E202F7" w:rsidP="00E202F7">
      <w:pPr>
        <w:pStyle w:val="Paragrafi"/>
        <w:rPr>
          <w:lang w:val="it-IT"/>
        </w:rPr>
      </w:pPr>
      <w:r w:rsidRPr="00E834BC">
        <w:rPr>
          <w:lang w:val="it-IT"/>
        </w:rPr>
        <w:t>2. AGJENCIA</w:t>
      </w:r>
      <w:r>
        <w:rPr>
          <w:lang w:val="it-IT"/>
        </w:rPr>
        <w:t xml:space="preserve"> KOMBË</w:t>
      </w:r>
      <w:r w:rsidRPr="00E834BC">
        <w:rPr>
          <w:lang w:val="it-IT"/>
        </w:rPr>
        <w:t>TARE E PRIVATIZIMIT, përfaqësuar nga Lefteri Lleshi, me autorizim dhe Delo Isufi, Avokat i Shtetit.</w:t>
      </w:r>
    </w:p>
    <w:p w:rsidR="00E202F7" w:rsidRPr="00E834BC" w:rsidRDefault="00E202F7" w:rsidP="00E202F7">
      <w:pPr>
        <w:pStyle w:val="Paragrafi"/>
        <w:rPr>
          <w:lang w:val="it-IT"/>
        </w:rPr>
      </w:pPr>
      <w:r>
        <w:rPr>
          <w:lang w:val="it-IT"/>
        </w:rPr>
        <w:t>3. BASHKIA TIRANË</w:t>
      </w:r>
      <w:r w:rsidRPr="00E834BC">
        <w:rPr>
          <w:lang w:val="it-IT"/>
        </w:rPr>
        <w:t>, përfaqësuar nga Lindita Troja, me autorizim.</w:t>
      </w:r>
    </w:p>
    <w:p w:rsidR="00E202F7" w:rsidRPr="000A65BB" w:rsidRDefault="00E202F7" w:rsidP="00E202F7">
      <w:pPr>
        <w:pStyle w:val="Paragrafi"/>
        <w:rPr>
          <w:lang w:val="it-IT"/>
        </w:rPr>
      </w:pPr>
      <w:r w:rsidRPr="000A65BB">
        <w:rPr>
          <w:lang w:val="it-IT"/>
        </w:rPr>
        <w:t>4. EKREM BARDHA, përfaqësuar nga avokat Krenar Loloçi, me prokurë të posaçme.</w:t>
      </w:r>
    </w:p>
    <w:p w:rsidR="00E202F7" w:rsidRPr="000A65BB" w:rsidRDefault="00E202F7" w:rsidP="00E202F7">
      <w:pPr>
        <w:pStyle w:val="Paragrafi"/>
        <w:rPr>
          <w:lang w:val="it-IT"/>
        </w:rPr>
      </w:pPr>
      <w:r>
        <w:rPr>
          <w:lang w:val="it-IT"/>
        </w:rPr>
        <w:t xml:space="preserve">OBJEKTI: </w:t>
      </w:r>
      <w:r w:rsidRPr="000A65BB">
        <w:rPr>
          <w:lang w:val="it-IT"/>
        </w:rPr>
        <w:t>Shfuqizimi si antikushtetues</w:t>
      </w:r>
      <w:r>
        <w:rPr>
          <w:lang w:val="it-IT"/>
        </w:rPr>
        <w:t>e</w:t>
      </w:r>
      <w:r w:rsidRPr="000A65BB">
        <w:rPr>
          <w:lang w:val="it-IT"/>
        </w:rPr>
        <w:t xml:space="preserve"> i vendimeve nr.3357, datë 16.11.1999 të Gjykatës së Rrethit Gjyqësor Tiranë; nr.1216, datë 13.12.2000 të Gjykatës së Apelit Tiranë dhe nr.467, datë 24.4.2002 të Kolegjit Civil të Gjykatës së Lartë.</w:t>
      </w:r>
    </w:p>
    <w:p w:rsidR="00E202F7" w:rsidRPr="004B7906" w:rsidRDefault="00E202F7" w:rsidP="00E202F7">
      <w:pPr>
        <w:pStyle w:val="Paragrafi"/>
        <w:rPr>
          <w:lang w:val="it-IT"/>
        </w:rPr>
      </w:pPr>
      <w:r>
        <w:rPr>
          <w:lang w:val="it-IT"/>
        </w:rPr>
        <w:t xml:space="preserve">BAZA LIGJORE: </w:t>
      </w:r>
      <w:r w:rsidRPr="004B7906">
        <w:rPr>
          <w:lang w:val="it-IT"/>
        </w:rPr>
        <w:t>Nenet 4</w:t>
      </w:r>
      <w:r>
        <w:rPr>
          <w:lang w:val="it-IT"/>
        </w:rPr>
        <w:t>1/1 e 42 të Kushtetutës s</w:t>
      </w:r>
      <w:r w:rsidRPr="004B7906">
        <w:rPr>
          <w:lang w:val="it-IT"/>
        </w:rPr>
        <w:t>ë Republikës së Shqipërisë.</w:t>
      </w:r>
    </w:p>
    <w:p w:rsidR="00E202F7" w:rsidRPr="004B7906" w:rsidRDefault="00E202F7" w:rsidP="00E202F7">
      <w:pPr>
        <w:pStyle w:val="Paragrafi"/>
        <w:rPr>
          <w:lang w:val="it-IT"/>
        </w:rPr>
      </w:pPr>
      <w:r w:rsidRPr="004B7906">
        <w:rPr>
          <w:b/>
          <w:i/>
          <w:lang w:val="it-IT"/>
        </w:rPr>
        <w:t xml:space="preserve">Kërkuesit </w:t>
      </w:r>
      <w:r w:rsidRPr="004B7906">
        <w:rPr>
          <w:lang w:val="it-IT"/>
        </w:rPr>
        <w:t xml:space="preserve">kanë parashtruar këto shkaqe për shfuqizimin e vendimeve gjyqësore: </w:t>
      </w:r>
    </w:p>
    <w:p w:rsidR="00E202F7" w:rsidRPr="004B7906" w:rsidRDefault="00E202F7" w:rsidP="00E202F7">
      <w:pPr>
        <w:pStyle w:val="Paragrafi"/>
        <w:rPr>
          <w:lang w:val="it-IT"/>
        </w:rPr>
      </w:pPr>
      <w:r w:rsidRPr="004B7906">
        <w:rPr>
          <w:lang w:val="it-IT"/>
        </w:rPr>
        <w:t>- Privatizimi i tre lokaleve ës</w:t>
      </w:r>
      <w:r>
        <w:rPr>
          <w:lang w:val="it-IT"/>
        </w:rPr>
        <w:t>htë bërë pa ankand dhe kjo ka ce</w:t>
      </w:r>
      <w:r w:rsidRPr="004B7906">
        <w:rPr>
          <w:lang w:val="it-IT"/>
        </w:rPr>
        <w:t xml:space="preserve">nuar të drejtën e tyre për të konkurruar si ish-pronarë të truallit në këtë privatizim; </w:t>
      </w:r>
    </w:p>
    <w:p w:rsidR="00E202F7" w:rsidRPr="004B7906" w:rsidRDefault="00E202F7" w:rsidP="00E202F7">
      <w:pPr>
        <w:pStyle w:val="Paragrafi"/>
        <w:rPr>
          <w:lang w:val="it-IT"/>
        </w:rPr>
      </w:pPr>
      <w:r w:rsidRPr="004B7906">
        <w:rPr>
          <w:lang w:val="it-IT"/>
        </w:rPr>
        <w:t>- Agjencia Kombëtare e Privatizimit nuk mund ta shiste truallin, sepse ky i fundit ishte bërë më parë pronë e kërkuesve dhe i</w:t>
      </w:r>
      <w:r>
        <w:rPr>
          <w:lang w:val="it-IT"/>
        </w:rPr>
        <w:t>shte regjistruar si i tillë në zyrën e regjistrimit të pasurive të p</w:t>
      </w:r>
      <w:r w:rsidRPr="004B7906">
        <w:rPr>
          <w:lang w:val="it-IT"/>
        </w:rPr>
        <w:t>aluajtshme. Në këtë mënyrë është c</w:t>
      </w:r>
      <w:r>
        <w:rPr>
          <w:lang w:val="it-IT"/>
        </w:rPr>
        <w:t>e</w:t>
      </w:r>
      <w:r w:rsidRPr="004B7906">
        <w:rPr>
          <w:lang w:val="it-IT"/>
        </w:rPr>
        <w:t>nuar parimi i mbrojtjes së barabartë të llojeve të pronave;</w:t>
      </w:r>
    </w:p>
    <w:p w:rsidR="00E202F7" w:rsidRPr="004B7906" w:rsidRDefault="00E202F7" w:rsidP="00E202F7">
      <w:pPr>
        <w:pStyle w:val="Paragrafi"/>
        <w:rPr>
          <w:lang w:val="it-IT"/>
        </w:rPr>
      </w:pPr>
      <w:r w:rsidRPr="004B7906">
        <w:rPr>
          <w:lang w:val="it-IT"/>
        </w:rPr>
        <w:t>- Shitja e truallit personave të tretë mund të bëhej vetëm pasi të përfundonte kompensimi f</w:t>
      </w:r>
      <w:r>
        <w:rPr>
          <w:lang w:val="it-IT"/>
        </w:rPr>
        <w:t>izik i ish-pronarëve, ndryshe ce</w:t>
      </w:r>
      <w:r w:rsidRPr="004B7906">
        <w:rPr>
          <w:lang w:val="it-IT"/>
        </w:rPr>
        <w:t>nohen t</w:t>
      </w:r>
      <w:r>
        <w:rPr>
          <w:lang w:val="it-IT"/>
        </w:rPr>
        <w:t>ë drejtat kushtetuese për të pas</w:t>
      </w:r>
      <w:r w:rsidRPr="004B7906">
        <w:rPr>
          <w:lang w:val="it-IT"/>
        </w:rPr>
        <w:t>ur pronë private e për ta trashëguar</w:t>
      </w:r>
      <w:r>
        <w:rPr>
          <w:lang w:val="it-IT"/>
        </w:rPr>
        <w:t>,</w:t>
      </w:r>
      <w:r w:rsidRPr="004B7906">
        <w:rPr>
          <w:lang w:val="it-IT"/>
        </w:rPr>
        <w:t xml:space="preserve"> si dhe të drejtat e mosshpronësimit e të garantimit të pronës;</w:t>
      </w:r>
    </w:p>
    <w:p w:rsidR="00E202F7" w:rsidRPr="004B7906" w:rsidRDefault="00E202F7" w:rsidP="00E202F7">
      <w:pPr>
        <w:pStyle w:val="Paragrafi"/>
        <w:rPr>
          <w:lang w:val="it-IT"/>
        </w:rPr>
      </w:pPr>
      <w:r w:rsidRPr="004B7906">
        <w:rPr>
          <w:lang w:val="it-IT"/>
        </w:rPr>
        <w:t>- Në gjykimin e çështjes, megjithëse është ndryshuar si shkaku i padisë ashtu edhe objekti i saj, gjykatat nuk pushuan çështjen, por vazhduan gjykimin;</w:t>
      </w:r>
    </w:p>
    <w:p w:rsidR="00E202F7" w:rsidRPr="004B7906" w:rsidRDefault="00E202F7" w:rsidP="00E202F7">
      <w:pPr>
        <w:pStyle w:val="Paragrafi"/>
        <w:rPr>
          <w:lang w:val="it-IT"/>
        </w:rPr>
      </w:pPr>
      <w:r w:rsidRPr="004B7906">
        <w:rPr>
          <w:lang w:val="it-IT"/>
        </w:rPr>
        <w:t>- Gjykata ka dalë tej caqeve të objektit të padisë. Ajo ka mohuar të drejtën për parablerjen e lokaleve, megjithëse nuk ishte kërkuar nga subjektet e interesuara;</w:t>
      </w:r>
    </w:p>
    <w:p w:rsidR="00E202F7" w:rsidRPr="004B7906" w:rsidRDefault="00E202F7" w:rsidP="00E202F7">
      <w:pPr>
        <w:pStyle w:val="Paragrafi"/>
        <w:rPr>
          <w:lang w:val="it-IT"/>
        </w:rPr>
      </w:pPr>
      <w:r w:rsidRPr="004B7906">
        <w:rPr>
          <w:lang w:val="it-IT"/>
        </w:rPr>
        <w:t>- Kolegji Civil i Gjykatës së Lartë konfondon të drejtën tonë të pronësisë mbi truallin me bashkëpronësinë në lokale, duke keqinte</w:t>
      </w:r>
      <w:r>
        <w:rPr>
          <w:lang w:val="it-IT"/>
        </w:rPr>
        <w:t>rpretuar vendimin nr.4, datë 8.</w:t>
      </w:r>
      <w:r w:rsidRPr="004B7906">
        <w:rPr>
          <w:lang w:val="it-IT"/>
        </w:rPr>
        <w:t>4.1994 të Gjykatës Kushtetuese;</w:t>
      </w:r>
    </w:p>
    <w:p w:rsidR="00E202F7" w:rsidRPr="004B7906" w:rsidRDefault="00E202F7" w:rsidP="00E202F7">
      <w:pPr>
        <w:pStyle w:val="Paragrafi"/>
        <w:rPr>
          <w:lang w:val="it-IT"/>
        </w:rPr>
      </w:pPr>
      <w:r w:rsidRPr="004B7906">
        <w:rPr>
          <w:lang w:val="it-IT"/>
        </w:rPr>
        <w:t>- Kolegji Civil i Gjykatës së Lartë ka bërë</w:t>
      </w:r>
      <w:r>
        <w:rPr>
          <w:lang w:val="it-IT"/>
        </w:rPr>
        <w:t xml:space="preserve"> më shumë analizën e provave se</w:t>
      </w:r>
      <w:r w:rsidRPr="004B7906">
        <w:rPr>
          <w:lang w:val="it-IT"/>
        </w:rPr>
        <w:t>sa ka trajtuar ligjin.</w:t>
      </w:r>
    </w:p>
    <w:p w:rsidR="00E202F7" w:rsidRPr="004B7906" w:rsidRDefault="00E202F7" w:rsidP="00E202F7">
      <w:pPr>
        <w:pStyle w:val="Paragrafi"/>
        <w:rPr>
          <w:lang w:val="it-IT"/>
        </w:rPr>
      </w:pPr>
      <w:r>
        <w:rPr>
          <w:b/>
          <w:i/>
          <w:lang w:val="it-IT"/>
        </w:rPr>
        <w:t>Subjektet e i</w:t>
      </w:r>
      <w:r w:rsidRPr="004B7906">
        <w:rPr>
          <w:b/>
          <w:i/>
          <w:lang w:val="it-IT"/>
        </w:rPr>
        <w:t>nteresuara kanë parashtruar</w:t>
      </w:r>
      <w:r w:rsidRPr="004B7906">
        <w:rPr>
          <w:lang w:val="it-IT"/>
        </w:rPr>
        <w:t>:</w:t>
      </w:r>
    </w:p>
    <w:p w:rsidR="00E202F7" w:rsidRDefault="00E202F7" w:rsidP="00E202F7">
      <w:pPr>
        <w:pStyle w:val="Paragrafi"/>
        <w:rPr>
          <w:lang w:val="it-IT"/>
        </w:rPr>
      </w:pPr>
      <w:r w:rsidRPr="004B7906">
        <w:rPr>
          <w:lang w:val="it-IT"/>
        </w:rPr>
        <w:t>- Neni 23 i ligjit nr.7512, datë 10.8.1991 “Për sanksionimin dhe mbrojtjen e pronës private, të nismës së lirë, të veprimtarive private të pavarura dhe privatizimit”, lejonte që kalimi i pronës shtetërore në pronë private të bëhej edhe në forma të tjera</w:t>
      </w:r>
      <w:r>
        <w:rPr>
          <w:lang w:val="it-IT"/>
        </w:rPr>
        <w:t>,</w:t>
      </w:r>
      <w:r w:rsidRPr="004B7906">
        <w:rPr>
          <w:lang w:val="it-IT"/>
        </w:rPr>
        <w:t xml:space="preserve"> veç atyre të shprehura në ligj. </w:t>
      </w:r>
    </w:p>
    <w:p w:rsidR="00E202F7" w:rsidRPr="004B7906" w:rsidRDefault="00E202F7" w:rsidP="00E202F7">
      <w:pPr>
        <w:pStyle w:val="Paragrafi"/>
        <w:rPr>
          <w:lang w:val="it-IT"/>
        </w:rPr>
      </w:pPr>
    </w:p>
    <w:p w:rsidR="00E202F7" w:rsidRPr="004B7906" w:rsidRDefault="00E202F7" w:rsidP="00E202F7">
      <w:pPr>
        <w:pStyle w:val="Paragrafi"/>
        <w:rPr>
          <w:lang w:val="it-IT"/>
        </w:rPr>
      </w:pPr>
      <w:r w:rsidRPr="004B7906">
        <w:rPr>
          <w:lang w:val="it-IT"/>
        </w:rPr>
        <w:t>- Pretendimet për privatizimin pa ankand nuk janë ngritur në asnjë prej gjykatave që kanë gjykuar çështjen;</w:t>
      </w:r>
    </w:p>
    <w:p w:rsidR="00E202F7" w:rsidRPr="004B7906" w:rsidRDefault="00E202F7" w:rsidP="00E202F7">
      <w:pPr>
        <w:pStyle w:val="Paragrafi"/>
        <w:rPr>
          <w:lang w:val="it-IT"/>
        </w:rPr>
      </w:pPr>
      <w:r w:rsidRPr="004B7906">
        <w:rPr>
          <w:lang w:val="it-IT"/>
        </w:rPr>
        <w:lastRenderedPageBreak/>
        <w:t>- Pavlefshmëria absolute e kontratës së shitblerjes së truallit është problem material që zgjidhet nga gjykatat e sistemit gjyqësor, por jo nga Gjykata Kushtetuese. Veç kësaj, kjo shitblerje është bazuar në nenin 4 të ligjit nr.7980, datë 27.7.1995 “Për shitblerjen e trojeve”, sepse ishte truall i zënë me godina dhe jo truall i lirë siç pretendojnë kërkuesit;</w:t>
      </w:r>
    </w:p>
    <w:p w:rsidR="00E202F7" w:rsidRPr="004B7906" w:rsidRDefault="00E202F7" w:rsidP="00E202F7">
      <w:pPr>
        <w:pStyle w:val="Paragrafi"/>
        <w:rPr>
          <w:lang w:val="it-IT"/>
        </w:rPr>
      </w:pPr>
      <w:r w:rsidRPr="004B7906">
        <w:rPr>
          <w:lang w:val="it-IT"/>
        </w:rPr>
        <w:t>- Ligji i kohës lejonte ndryshimin e shkakut dhe të objektit të padisë njëkohësisht. Megjithatë, në çështjen në shqyrtim, me kërkesën e vetë kërkuesit, është pakësuar vetëm objekti i padisë;</w:t>
      </w:r>
    </w:p>
    <w:p w:rsidR="00E202F7" w:rsidRPr="004B7906" w:rsidRDefault="00E202F7" w:rsidP="00E202F7">
      <w:pPr>
        <w:pStyle w:val="Paragrafi"/>
        <w:rPr>
          <w:lang w:val="it-IT"/>
        </w:rPr>
      </w:pPr>
      <w:r w:rsidRPr="004B7906">
        <w:rPr>
          <w:lang w:val="it-IT"/>
        </w:rPr>
        <w:t>- Neni 17 i ligjit nr.7698, datë 15.4.1993 “Për kthimin dhe kompensimin e pronave ish-pronarëve”, që lejonte bashkëpronësinë midis pronarit të lokalit dhe ish-pronarit të truallit, është shfuqizuar me vendim të Gjykatës Kushtetuese;</w:t>
      </w:r>
    </w:p>
    <w:p w:rsidR="00E202F7" w:rsidRDefault="00E202F7" w:rsidP="00E202F7">
      <w:pPr>
        <w:pStyle w:val="Paragrafi"/>
        <w:rPr>
          <w:lang w:val="it-IT"/>
        </w:rPr>
      </w:pPr>
      <w:r w:rsidRPr="00932C45">
        <w:rPr>
          <w:lang w:val="it-IT"/>
        </w:rPr>
        <w:t>- Gjykata e Lartë nuk ka bërë interpretim të provave, por kontrollin e zbatimit të ligjit dhe interpretimin e tij.</w:t>
      </w:r>
    </w:p>
    <w:p w:rsidR="00E202F7" w:rsidRPr="00932C45" w:rsidRDefault="00E202F7" w:rsidP="00E202F7">
      <w:pPr>
        <w:pStyle w:val="Paragrafi"/>
        <w:rPr>
          <w:lang w:val="it-IT"/>
        </w:rPr>
      </w:pPr>
    </w:p>
    <w:p w:rsidR="00E202F7" w:rsidRPr="004B7906" w:rsidRDefault="00E202F7" w:rsidP="00E202F7">
      <w:pPr>
        <w:pStyle w:val="Institucioni"/>
        <w:keepNext w:val="0"/>
      </w:pPr>
      <w:r w:rsidRPr="004B7906">
        <w:t xml:space="preserve">GJYKATA KUSHTETUESE, </w:t>
      </w:r>
    </w:p>
    <w:p w:rsidR="00E202F7" w:rsidRPr="004B7906" w:rsidRDefault="00E202F7" w:rsidP="00E202F7">
      <w:pPr>
        <w:pStyle w:val="Paragrafi"/>
      </w:pPr>
    </w:p>
    <w:p w:rsidR="00E202F7" w:rsidRPr="004B7906" w:rsidRDefault="00E202F7" w:rsidP="00E202F7">
      <w:pPr>
        <w:pStyle w:val="Paragrafi"/>
        <w:rPr>
          <w:lang w:val="it-IT"/>
        </w:rPr>
      </w:pPr>
      <w:r w:rsidRPr="004B7906">
        <w:rPr>
          <w:lang w:val="it-IT"/>
        </w:rPr>
        <w:t>pasi dëgjoi relatorin e çështjes Kujtim Puto, përfaqësuesin e kërkuesve që kërkuan pranimin e kërkesës, përfaqësuesit e subjekteve të interesuara që u shprehën për rrëzimin e kërkesës</w:t>
      </w:r>
      <w:r>
        <w:rPr>
          <w:lang w:val="it-IT"/>
        </w:rPr>
        <w:t>,</w:t>
      </w:r>
      <w:r w:rsidRPr="004B7906">
        <w:rPr>
          <w:lang w:val="it-IT"/>
        </w:rPr>
        <w:t xml:space="preserve"> si dhe bisedoi çështjen në tërësi,</w:t>
      </w:r>
    </w:p>
    <w:p w:rsidR="00E202F7" w:rsidRDefault="00E202F7" w:rsidP="00E202F7">
      <w:pPr>
        <w:pStyle w:val="Paragrafi"/>
      </w:pPr>
    </w:p>
    <w:p w:rsidR="00E202F7" w:rsidRPr="004B7906" w:rsidRDefault="00E202F7" w:rsidP="00E202F7">
      <w:pPr>
        <w:pStyle w:val="Paragrafi"/>
      </w:pPr>
    </w:p>
    <w:p w:rsidR="00E202F7" w:rsidRPr="004B7906" w:rsidRDefault="00E202F7" w:rsidP="00E202F7">
      <w:pPr>
        <w:pStyle w:val="VENDOSI"/>
        <w:keepNext w:val="0"/>
      </w:pPr>
      <w:r>
        <w:t>VëRE</w:t>
      </w:r>
      <w:r w:rsidRPr="004B7906">
        <w:t>N:</w:t>
      </w:r>
    </w:p>
    <w:p w:rsidR="00E202F7" w:rsidRPr="004B7906" w:rsidRDefault="00E202F7" w:rsidP="00E202F7">
      <w:pPr>
        <w:pStyle w:val="Paragrafi"/>
      </w:pPr>
    </w:p>
    <w:p w:rsidR="00E202F7" w:rsidRPr="004B7906" w:rsidRDefault="00E202F7" w:rsidP="00E202F7">
      <w:pPr>
        <w:pStyle w:val="Paragrafi"/>
        <w:rPr>
          <w:lang w:val="it-IT"/>
        </w:rPr>
      </w:pPr>
      <w:r w:rsidRPr="004B7906">
        <w:rPr>
          <w:lang w:val="it-IT"/>
        </w:rPr>
        <w:t xml:space="preserve"> Nga materialet e çështjes rezulton se subjekti i interesuar Ek</w:t>
      </w:r>
      <w:r>
        <w:rPr>
          <w:lang w:val="it-IT"/>
        </w:rPr>
        <w:t>rem Bardha, duke qenë ortak në ndërmarrjen e p</w:t>
      </w:r>
      <w:r w:rsidRPr="004B7906">
        <w:rPr>
          <w:lang w:val="it-IT"/>
        </w:rPr>
        <w:t>ërbashkët “Mërgimtari”, ka blerë nga ortaku tjetër, Ndërmarrja Tregtare e Ushqimit e Ushqimit Social Tira</w:t>
      </w:r>
      <w:r>
        <w:rPr>
          <w:lang w:val="it-IT"/>
        </w:rPr>
        <w:t>në, në datën 22.3.1993, lokalet</w:t>
      </w:r>
      <w:r w:rsidRPr="004B7906">
        <w:rPr>
          <w:lang w:val="it-IT"/>
        </w:rPr>
        <w:t>: “Birrari”, “Restorant” e “Embëltore”, pas Muzeut Kombëtar Tiranë.</w:t>
      </w:r>
    </w:p>
    <w:p w:rsidR="00E202F7" w:rsidRPr="004B7906" w:rsidRDefault="00E202F7" w:rsidP="00E202F7">
      <w:pPr>
        <w:pStyle w:val="Paragrafi"/>
        <w:rPr>
          <w:lang w:val="it-IT"/>
        </w:rPr>
      </w:pPr>
      <w:r w:rsidRPr="004B7906">
        <w:rPr>
          <w:lang w:val="it-IT"/>
        </w:rPr>
        <w:t>Me vendimin nr.1046, datë 30.12.1994 të Komisionit të Kthimit dhe Kompensimit të Pronave</w:t>
      </w:r>
      <w:r>
        <w:rPr>
          <w:lang w:val="it-IT"/>
        </w:rPr>
        <w:t>,</w:t>
      </w:r>
      <w:r w:rsidRPr="004B7906">
        <w:rPr>
          <w:lang w:val="it-IT"/>
        </w:rPr>
        <w:t xml:space="preserve"> Tiranë, kërkuesve Drita Siliqi, Gjinovefa Mihali, Andrea e Marina Shundi, u është njohur e kthyer një sipërfaqe trualli prej 2461.97 m</w:t>
      </w:r>
      <w:r w:rsidRPr="004D068E">
        <w:rPr>
          <w:vertAlign w:val="superscript"/>
          <w:lang w:val="it-IT"/>
        </w:rPr>
        <w:t>2</w:t>
      </w:r>
      <w:r w:rsidRPr="004B7906">
        <w:rPr>
          <w:lang w:val="it-IT"/>
        </w:rPr>
        <w:t>, të cilën e regji</w:t>
      </w:r>
      <w:r>
        <w:rPr>
          <w:lang w:val="it-IT"/>
        </w:rPr>
        <w:t>struan në zyrën e regjistrimit të pasurive të p</w:t>
      </w:r>
      <w:r w:rsidRPr="004B7906">
        <w:rPr>
          <w:lang w:val="it-IT"/>
        </w:rPr>
        <w:t>aluajtshme në datën 17.1.1995. Në prill të vitit 1996, gjysma e kësaj sipërfaqeje i shitet subjektit të interesuar, Ekrem Bardha nga Agjencia Kombëtare e Privatizimit. Lidhur me këto veprime juridike të organeve shtetërore, kanë ngritur padi në gjykatë si kërkuesit ashtu edhe subjekti i interesu</w:t>
      </w:r>
      <w:r>
        <w:rPr>
          <w:lang w:val="it-IT"/>
        </w:rPr>
        <w:t>ar. Kërkuesit kanë kërkuar anul</w:t>
      </w:r>
      <w:r w:rsidRPr="004B7906">
        <w:rPr>
          <w:lang w:val="it-IT"/>
        </w:rPr>
        <w:t>imin e kontratës së shitblerjes së truallit, ndërsa subjekti i interesuar ka kërkuar anullimin e vendimit të Komisionit të Kthimit dhe Kompensimit të Pronave.</w:t>
      </w:r>
    </w:p>
    <w:p w:rsidR="00E202F7" w:rsidRPr="004B7906" w:rsidRDefault="00E202F7" w:rsidP="00E202F7">
      <w:pPr>
        <w:pStyle w:val="Paragrafi"/>
        <w:rPr>
          <w:lang w:val="it-IT"/>
        </w:rPr>
      </w:pPr>
      <w:r w:rsidRPr="004B7906">
        <w:rPr>
          <w:lang w:val="it-IT"/>
        </w:rPr>
        <w:t xml:space="preserve">Gjykata e Rrethit Gjyqësor Tiranë, me vendimin nr.3357, datë 16.11.1999, ka pranuar pjesërisht padinë e kërkuesve dhe </w:t>
      </w:r>
      <w:r>
        <w:rPr>
          <w:lang w:val="it-IT"/>
        </w:rPr>
        <w:t xml:space="preserve">e </w:t>
      </w:r>
      <w:r w:rsidRPr="004B7906">
        <w:rPr>
          <w:lang w:val="it-IT"/>
        </w:rPr>
        <w:t>ka deklaruar të pavlefshme kontratën e shitblerjes së truallit vetëm për sipërfaqen prej 197 m</w:t>
      </w:r>
      <w:r w:rsidRPr="004D068E">
        <w:rPr>
          <w:vertAlign w:val="superscript"/>
          <w:lang w:val="it-IT"/>
        </w:rPr>
        <w:t>2</w:t>
      </w:r>
      <w:r w:rsidRPr="004B7906">
        <w:rPr>
          <w:lang w:val="it-IT"/>
        </w:rPr>
        <w:t xml:space="preserve"> nën lokalin njëkatësh. Ajo ka detyruar subjektin e in</w:t>
      </w:r>
      <w:r>
        <w:rPr>
          <w:lang w:val="it-IT"/>
        </w:rPr>
        <w:t>teresuar të lidhë kontratën e qi</w:t>
      </w:r>
      <w:r w:rsidRPr="004B7906">
        <w:rPr>
          <w:lang w:val="it-IT"/>
        </w:rPr>
        <w:t>rasë ose ta riblejë këtë truall nga ish-pronarët. Kjo gjykatë ka pranuar pjesërisht edhe kundërpadinë e subjektit të inter</w:t>
      </w:r>
      <w:r>
        <w:rPr>
          <w:lang w:val="it-IT"/>
        </w:rPr>
        <w:t>esuar, Ekrem Bardha dhe ka anul</w:t>
      </w:r>
      <w:r w:rsidRPr="004B7906">
        <w:rPr>
          <w:lang w:val="it-IT"/>
        </w:rPr>
        <w:t>uar vendimin nr.1046, datë 30.12.1994 të Komisionit të Kthimit dhe Kompensimit të Pronave, pranë Bashkisë Tiranë, në pjesën që i</w:t>
      </w:r>
      <w:r>
        <w:rPr>
          <w:lang w:val="it-IT"/>
        </w:rPr>
        <w:t>u</w:t>
      </w:r>
      <w:r w:rsidRPr="004B7906">
        <w:rPr>
          <w:lang w:val="it-IT"/>
        </w:rPr>
        <w:t xml:space="preserve"> jep të drejtë kërkuesve për parablerjen e lokaleve në pronësi të subjektit të interesuar.</w:t>
      </w:r>
    </w:p>
    <w:p w:rsidR="00E202F7" w:rsidRPr="004B7906" w:rsidRDefault="00E202F7" w:rsidP="00E202F7">
      <w:pPr>
        <w:pStyle w:val="Paragrafi"/>
        <w:rPr>
          <w:lang w:val="it-IT"/>
        </w:rPr>
      </w:pPr>
      <w:r w:rsidRPr="004B7906">
        <w:rPr>
          <w:lang w:val="it-IT"/>
        </w:rPr>
        <w:t>Gjykata e Apelit Tiranë, me vendimin nr.1216, datë 13.12.2000, e ka lënë në fuqi vendimin e gjykatës së rrethit lidhur me rrëzimin e padisë për kthimin e sipërfaqes në funksion të lokalit prej 194 m</w:t>
      </w:r>
      <w:r w:rsidRPr="007D4FDD">
        <w:rPr>
          <w:vertAlign w:val="superscript"/>
          <w:lang w:val="it-IT"/>
        </w:rPr>
        <w:t>2</w:t>
      </w:r>
      <w:r w:rsidRPr="004B7906">
        <w:rPr>
          <w:lang w:val="it-IT"/>
        </w:rPr>
        <w:t>, dhe e ka ndryshuar atë duke i rrëzuar padinë edhe për pavlefshmërinë e shitjes së sipërfaqes nën lokal prej 197 m</w:t>
      </w:r>
      <w:r w:rsidRPr="007D4FDD">
        <w:rPr>
          <w:vertAlign w:val="superscript"/>
          <w:lang w:val="it-IT"/>
        </w:rPr>
        <w:t>2</w:t>
      </w:r>
      <w:r w:rsidRPr="004B7906">
        <w:rPr>
          <w:lang w:val="it-IT"/>
        </w:rPr>
        <w:t xml:space="preserve">. Kjo gjykatë ka ndryshuar vendimin e gjykatës së rrethit edhe përsa </w:t>
      </w:r>
      <w:r>
        <w:rPr>
          <w:lang w:val="it-IT"/>
        </w:rPr>
        <w:t>i përket kundërpadisë duke anul</w:t>
      </w:r>
      <w:r w:rsidRPr="004B7906">
        <w:rPr>
          <w:lang w:val="it-IT"/>
        </w:rPr>
        <w:t>uar vendimin e Komisionit të Kthimit dhe Kompensimit të Pronave pranë Bashkisë Tiranë për kthimin e sipërfaqes prej 1284 m</w:t>
      </w:r>
      <w:r w:rsidRPr="007D4FDD">
        <w:rPr>
          <w:vertAlign w:val="superscript"/>
          <w:lang w:val="it-IT"/>
        </w:rPr>
        <w:t>2</w:t>
      </w:r>
      <w:r w:rsidRPr="004B7906">
        <w:rPr>
          <w:lang w:val="it-IT"/>
        </w:rPr>
        <w:t>, duke e lënë këtë në fuqi për kthimin e gjysmës tjetër prej 1284 m</w:t>
      </w:r>
      <w:r w:rsidRPr="007D4FDD">
        <w:rPr>
          <w:vertAlign w:val="superscript"/>
          <w:lang w:val="it-IT"/>
        </w:rPr>
        <w:t>2</w:t>
      </w:r>
      <w:r w:rsidRPr="004B7906">
        <w:rPr>
          <w:lang w:val="it-IT"/>
        </w:rPr>
        <w:t>.</w:t>
      </w:r>
    </w:p>
    <w:p w:rsidR="00E202F7" w:rsidRPr="004B7906" w:rsidRDefault="00E202F7" w:rsidP="00E202F7">
      <w:pPr>
        <w:pStyle w:val="Paragrafi"/>
        <w:rPr>
          <w:lang w:val="it-IT"/>
        </w:rPr>
      </w:pPr>
      <w:r w:rsidRPr="004B7906">
        <w:rPr>
          <w:lang w:val="it-IT"/>
        </w:rPr>
        <w:t>Kolegji Civil i Gjykatës së Lartë, me vendimin nr.467, datë 24.4.2002, ka lënë në fuqi në tërësi vendimin e gjykatës së apelit, duke e ndryshuar atë e duke anuluar vendimin e Komisionit të Kthimit dhe Kompensimit të Pronave për gjithë sipërfaqen e kthyer prej tij prej 2461.97 m</w:t>
      </w:r>
      <w:r w:rsidRPr="007D4FDD">
        <w:rPr>
          <w:vertAlign w:val="superscript"/>
          <w:lang w:val="it-IT"/>
        </w:rPr>
        <w:t>2</w:t>
      </w:r>
      <w:r w:rsidRPr="004B7906">
        <w:rPr>
          <w:lang w:val="it-IT"/>
        </w:rPr>
        <w:t>. Sipas vendimit të kolegjit civil, kërkuesit duhet të kompensohen për të gjithë këtë sipërfaqe në një nga format që parashikon neni 16 i ligjit nr.7698, datë 15.4.1993 “Për kthimin dhe kompensimin e pronave ish-pronarëve”.</w:t>
      </w:r>
    </w:p>
    <w:p w:rsidR="00E202F7" w:rsidRPr="004B7906" w:rsidRDefault="00E202F7" w:rsidP="00E202F7">
      <w:pPr>
        <w:pStyle w:val="Paragrafi"/>
        <w:rPr>
          <w:lang w:val="it-IT"/>
        </w:rPr>
      </w:pPr>
      <w:r w:rsidRPr="004B7906">
        <w:rPr>
          <w:lang w:val="it-IT"/>
        </w:rPr>
        <w:t xml:space="preserve">Gjykata Kushtetuese konstaton se pretendimet e palëve, në çështjen në shqyrtim, janë të ndërvarura nga njëra-tjetra dhe kanë të bëjnë me kompetencën e gjykatave të sistemit gjyqësor për </w:t>
      </w:r>
      <w:r w:rsidRPr="004B7906">
        <w:rPr>
          <w:lang w:val="it-IT"/>
        </w:rPr>
        <w:lastRenderedPageBreak/>
        <w:t>zgjidhjen e çështjes konkrete. Në aspektin kushtetues nuk ko</w:t>
      </w:r>
      <w:r>
        <w:rPr>
          <w:lang w:val="it-IT"/>
        </w:rPr>
        <w:t>nstatohet që gjykatat të kenë ce</w:t>
      </w:r>
      <w:r w:rsidRPr="004B7906">
        <w:rPr>
          <w:lang w:val="it-IT"/>
        </w:rPr>
        <w:t>nuar parimin e mbrojtjes së barabartë të llojeve të pronave. Kthimi i truallit ish-pronarit është bër</w:t>
      </w:r>
      <w:r>
        <w:rPr>
          <w:lang w:val="it-IT"/>
        </w:rPr>
        <w:t>ë në kundërshtim me ligjin për kthimin dhe kompensimin e p</w:t>
      </w:r>
      <w:r w:rsidRPr="004B7906">
        <w:rPr>
          <w:lang w:val="it-IT"/>
        </w:rPr>
        <w:t>ronave, sepse ai ishte i zënë me lokale të blera nga subjekti i interesuar para daljes së ligjit të mësipërm. Parimi i mbrojtjes së barabartë gjen zbatim në rastet kur këto prona përfitojnë mbrojtje të njëjtë ligjore, por jo në rastet kur gëzimi e disponimi i tyre nuk bazohet në ligj.</w:t>
      </w:r>
    </w:p>
    <w:p w:rsidR="00E202F7" w:rsidRPr="004B7906" w:rsidRDefault="00E202F7" w:rsidP="00E202F7">
      <w:pPr>
        <w:pStyle w:val="Paragrafi"/>
        <w:rPr>
          <w:lang w:val="it-IT"/>
        </w:rPr>
      </w:pPr>
      <w:r w:rsidRPr="004B7906">
        <w:rPr>
          <w:lang w:val="it-IT"/>
        </w:rPr>
        <w:t>Në kërkesëpadinë e paraqitur në</w:t>
      </w:r>
      <w:r>
        <w:rPr>
          <w:lang w:val="it-IT"/>
        </w:rPr>
        <w:t xml:space="preserve"> gjykatën e rrethit në datë 18.</w:t>
      </w:r>
      <w:r w:rsidRPr="004B7906">
        <w:rPr>
          <w:lang w:val="it-IT"/>
        </w:rPr>
        <w:t>2.19</w:t>
      </w:r>
      <w:r>
        <w:rPr>
          <w:lang w:val="it-IT"/>
        </w:rPr>
        <w:t>97, kërkuesit kanë kërkuar anul</w:t>
      </w:r>
      <w:r w:rsidRPr="004B7906">
        <w:rPr>
          <w:lang w:val="it-IT"/>
        </w:rPr>
        <w:t>imin e kontratës së shitblerjes së truallit nga subjekti i interesuar, për sipërfaqen 1284 m</w:t>
      </w:r>
      <w:r w:rsidRPr="005A5529">
        <w:rPr>
          <w:vertAlign w:val="superscript"/>
          <w:lang w:val="it-IT"/>
        </w:rPr>
        <w:t>2</w:t>
      </w:r>
      <w:r w:rsidRPr="004B7906">
        <w:rPr>
          <w:lang w:val="it-IT"/>
        </w:rPr>
        <w:t>, duke përcaktuar si bazë ligjore nenin 92 të Kodit Civil. Në shtesat e objektit të padisë, kërkuesit kanë kërkuar edhe kthimin e truallit me sipërfaqe 969 m</w:t>
      </w:r>
      <w:r w:rsidRPr="007D4FDD">
        <w:rPr>
          <w:vertAlign w:val="superscript"/>
          <w:lang w:val="it-IT"/>
        </w:rPr>
        <w:t>2</w:t>
      </w:r>
      <w:r w:rsidRPr="004B7906">
        <w:rPr>
          <w:lang w:val="it-IT"/>
        </w:rPr>
        <w:t>, duke përcaktuar si bazë ligjore nenet 296 e 298 të Kodit Civil. Në kërkesën e datës 14.7.1999, kërkuesit, ndonëse kanë përcaktuar si bazë ligjore vetëm nenet 296 e 298 të Kodit Civil, kanë kë</w:t>
      </w:r>
      <w:r>
        <w:rPr>
          <w:lang w:val="it-IT"/>
        </w:rPr>
        <w:t>rkuar përsëri anul</w:t>
      </w:r>
      <w:r w:rsidRPr="004B7906">
        <w:rPr>
          <w:lang w:val="it-IT"/>
        </w:rPr>
        <w:t>imin e kontratës së shitjes për sipërfaqen prej 392 m</w:t>
      </w:r>
      <w:r w:rsidRPr="007D4FDD">
        <w:rPr>
          <w:vertAlign w:val="superscript"/>
          <w:lang w:val="it-IT"/>
        </w:rPr>
        <w:t>2</w:t>
      </w:r>
      <w:r w:rsidRPr="004B7906">
        <w:rPr>
          <w:lang w:val="it-IT"/>
        </w:rPr>
        <w:t>.</w:t>
      </w:r>
    </w:p>
    <w:p w:rsidR="00E202F7" w:rsidRPr="004B7906" w:rsidRDefault="00E202F7" w:rsidP="00E202F7">
      <w:pPr>
        <w:pStyle w:val="Paragrafi"/>
        <w:rPr>
          <w:lang w:val="it-IT"/>
        </w:rPr>
      </w:pPr>
      <w:r w:rsidRPr="004B7906">
        <w:rPr>
          <w:lang w:val="it-IT"/>
        </w:rPr>
        <w:t>Vazhdimi i gjykimit nga gjykata pas paraqitjes së shtesave në objekt</w:t>
      </w:r>
      <w:r>
        <w:rPr>
          <w:lang w:val="it-IT"/>
        </w:rPr>
        <w:t>in e padisë nuk përmban elemente</w:t>
      </w:r>
      <w:r w:rsidRPr="004B7906">
        <w:rPr>
          <w:lang w:val="it-IT"/>
        </w:rPr>
        <w:t xml:space="preserve"> të procesit jo t</w:t>
      </w:r>
      <w:r>
        <w:rPr>
          <w:lang w:val="it-IT"/>
        </w:rPr>
        <w:t>ë rregullt në kuptimin ligjor. Ë</w:t>
      </w:r>
      <w:r w:rsidRPr="004B7906">
        <w:rPr>
          <w:lang w:val="it-IT"/>
        </w:rPr>
        <w:t xml:space="preserve">shtë e drejta e palëve të disponojnë mbi objektin e padisë dhe të vlerësojnë kërkesat e tyre, duke bërë edhe ndryshimet, shtesat ose pakësimet e objektit të padisë. Gjykata nuk mund t’u diktojë atyre objektin e kërkesës dhe as </w:t>
      </w:r>
      <w:r>
        <w:rPr>
          <w:lang w:val="it-IT"/>
        </w:rPr>
        <w:t>t’i pengojë ata në ushtrimin e s</w:t>
      </w:r>
      <w:r w:rsidRPr="004B7906">
        <w:rPr>
          <w:lang w:val="it-IT"/>
        </w:rPr>
        <w:t>ë drejtës së mbrojtjes lidhur me këtë objekt. Në çështjen në shqyrtim, kërkuesit asnjëhe</w:t>
      </w:r>
      <w:r>
        <w:rPr>
          <w:lang w:val="it-IT"/>
        </w:rPr>
        <w:t>rë nuk kanë hequr dorë nga anul</w:t>
      </w:r>
      <w:r w:rsidRPr="004B7906">
        <w:rPr>
          <w:lang w:val="it-IT"/>
        </w:rPr>
        <w:t>imi i kontratës së shitblerjes së truallit dhe nga e drejta e tyre për t’iu kthyer ky send e për ta gëzuar atë. Për më tepër, pakësimi i sipërfaqes objekt konflikti dhe vazhdimi i gjykimit mbi bazën e kërkesës së re nuk i ka ndryshuar arsyet e kërkimit gjyqësor që kanë</w:t>
      </w:r>
      <w:r>
        <w:rPr>
          <w:lang w:val="it-IT"/>
        </w:rPr>
        <w:t xml:space="preserve"> mbetur të njëjta si në kërkesë</w:t>
      </w:r>
      <w:r w:rsidRPr="004B7906">
        <w:rPr>
          <w:lang w:val="it-IT"/>
        </w:rPr>
        <w:t>padi</w:t>
      </w:r>
      <w:r>
        <w:rPr>
          <w:lang w:val="it-IT"/>
        </w:rPr>
        <w:t>në kryesore, ashtu edhe në ato q</w:t>
      </w:r>
      <w:r w:rsidRPr="004B7906">
        <w:rPr>
          <w:lang w:val="it-IT"/>
        </w:rPr>
        <w:t>ë e pasuan atë.</w:t>
      </w:r>
    </w:p>
    <w:p w:rsidR="00E202F7" w:rsidRPr="004B7906" w:rsidRDefault="00E202F7" w:rsidP="00E202F7">
      <w:pPr>
        <w:pStyle w:val="Paragrafi"/>
        <w:rPr>
          <w:lang w:val="it-IT"/>
        </w:rPr>
      </w:pPr>
      <w:r w:rsidRPr="004B7906">
        <w:rPr>
          <w:lang w:val="it-IT"/>
        </w:rPr>
        <w:t>Përsa i përket pretendim</w:t>
      </w:r>
      <w:r>
        <w:rPr>
          <w:lang w:val="it-IT"/>
        </w:rPr>
        <w:t>it tjetër se gjykatat kanë anul</w:t>
      </w:r>
      <w:r w:rsidRPr="004B7906">
        <w:rPr>
          <w:lang w:val="it-IT"/>
        </w:rPr>
        <w:t>uar vendimin e Komisionit të Kthimit dhe Kompensimit të Pronave në pikën 1/d (ku i jepet ish-pronarëve e drejta e parablerjes së lokaleve), megjithëse nuk është kërkuar nga subjekti i interesuar, Gjykata Kushtetuese konstaton se kjo shkelje procedurale e lejuar gjatë gjykimit, nuk mund ta bëjë procesin jo të rregullt në kuptimin kushtetues. Parimet e disponibilitetit të objektit të padisë dhe të barazisë së armëve në proces janë pjesë përbërëse e së drejt</w:t>
      </w:r>
      <w:r>
        <w:rPr>
          <w:lang w:val="it-IT"/>
        </w:rPr>
        <w:t>ës për një proces të rregullt. P</w:t>
      </w:r>
      <w:r w:rsidRPr="004B7906">
        <w:rPr>
          <w:lang w:val="it-IT"/>
        </w:rPr>
        <w:t>or nga gjykimi i çështjes nuk rezulton që palët të jenë vënë në pozita të disfavorshme në raport me njëra-tjetrën. Palët kanë realizuar të drejtën e mbrojtjes në gjyq duke dhënë shpjegime edhe për të drejtën e parablerjes së lokaleve. Ato kanë paraqitur provat përkatëse dhe gjykata duke i vlerësuar në raport me ligjin, ka arritur në përfundimin se kjo e drejtë nuk mund të gjejë zbatim në kushtet kur lokalet janë privatizuar nga subjekti i interesuar para se të dilte ligji për kthimin dhe kompensimin e pro</w:t>
      </w:r>
      <w:r>
        <w:rPr>
          <w:lang w:val="it-IT"/>
        </w:rPr>
        <w:t>nave dhe përderisa gjykata anul</w:t>
      </w:r>
      <w:r w:rsidRPr="004B7906">
        <w:rPr>
          <w:lang w:val="it-IT"/>
        </w:rPr>
        <w:t>oi kthimin e gjithë truallit ish-pronarëve.</w:t>
      </w:r>
    </w:p>
    <w:p w:rsidR="00E202F7" w:rsidRPr="004B7906" w:rsidRDefault="00E202F7" w:rsidP="00E202F7">
      <w:pPr>
        <w:pStyle w:val="Paragrafi"/>
        <w:rPr>
          <w:lang w:val="it-IT"/>
        </w:rPr>
      </w:pPr>
      <w:r w:rsidRPr="004B7906">
        <w:rPr>
          <w:lang w:val="it-IT"/>
        </w:rPr>
        <w:t>Edhe pretendimi tjetër i kërkuesve për mungesën e bazës ligjore të kundërpadisë është i pabazuar. Në kundërpadinë e subjektit t</w:t>
      </w:r>
      <w:r>
        <w:rPr>
          <w:lang w:val="it-IT"/>
        </w:rPr>
        <w:t>ë interesuar është kërkuar anul</w:t>
      </w:r>
      <w:r w:rsidRPr="004B7906">
        <w:rPr>
          <w:lang w:val="it-IT"/>
        </w:rPr>
        <w:t>imi pjesëris</w:t>
      </w:r>
      <w:r>
        <w:rPr>
          <w:lang w:val="it-IT"/>
        </w:rPr>
        <w:t>ht i vendimit të Komisionit të Kthimit dhe Kompensimit të P</w:t>
      </w:r>
      <w:r w:rsidRPr="004B7906">
        <w:rPr>
          <w:lang w:val="it-IT"/>
        </w:rPr>
        <w:t>ronave, duke u përmendur si bazë ligjore nenet 4, 16 e vij</w:t>
      </w:r>
      <w:r>
        <w:rPr>
          <w:lang w:val="it-IT"/>
        </w:rPr>
        <w:t>ues të ligjit nr.7698, datë 15.</w:t>
      </w:r>
      <w:r w:rsidRPr="004B7906">
        <w:rPr>
          <w:lang w:val="it-IT"/>
        </w:rPr>
        <w:t>4.1993 “Për kthimin dhe kompensimin e pronave ish-pron</w:t>
      </w:r>
      <w:r>
        <w:rPr>
          <w:lang w:val="it-IT"/>
        </w:rPr>
        <w:t>arëve”; udhëzimi nr.3, datë 21.</w:t>
      </w:r>
      <w:r w:rsidRPr="004B7906">
        <w:rPr>
          <w:lang w:val="it-IT"/>
        </w:rPr>
        <w:t>6.1993, pika</w:t>
      </w:r>
      <w:r>
        <w:rPr>
          <w:lang w:val="it-IT"/>
        </w:rPr>
        <w:t xml:space="preserve"> 1, paragrafë</w:t>
      </w:r>
      <w:r w:rsidRPr="004B7906">
        <w:rPr>
          <w:lang w:val="it-IT"/>
        </w:rPr>
        <w:t>t e parë dhe të dytë, për zbatimin e ligjit të më</w:t>
      </w:r>
      <w:r>
        <w:rPr>
          <w:lang w:val="it-IT"/>
        </w:rPr>
        <w:t>sipërm; ligji nr.7980, datë 27.</w:t>
      </w:r>
      <w:r w:rsidRPr="004B7906">
        <w:rPr>
          <w:lang w:val="it-IT"/>
        </w:rPr>
        <w:t>7.1</w:t>
      </w:r>
      <w:r>
        <w:rPr>
          <w:lang w:val="it-IT"/>
        </w:rPr>
        <w:t>995 “Për shitblerjen e trojeve”</w:t>
      </w:r>
      <w:r w:rsidRPr="004B7906">
        <w:rPr>
          <w:lang w:val="it-IT"/>
        </w:rPr>
        <w:t xml:space="preserve"> etj. Nëse në ligjin për shitblerjes e trojeve nuk është përcaktuar dispozita përkatëse, kjo mangësi nuk mund të jetë e tillë që të përbëjë proces jo të rregullt ligjor në kuptimin kushtetues, përderisa pretendimet e ngritura janë shqyrtuar e zgjidhur nga gjykata duke u siguruar të drejtën e dëgjimit dhe duke respektuar parimin e paanësisë në gjykim.</w:t>
      </w:r>
    </w:p>
    <w:p w:rsidR="00E202F7" w:rsidRPr="004B7906" w:rsidRDefault="00E202F7" w:rsidP="00E202F7">
      <w:pPr>
        <w:pStyle w:val="Paragrafi"/>
        <w:rPr>
          <w:lang w:val="it-IT"/>
        </w:rPr>
      </w:pPr>
      <w:r w:rsidRPr="004B7906">
        <w:rPr>
          <w:lang w:val="it-IT"/>
        </w:rPr>
        <w:t>Në kundërshtim me sa ka pretenduar kërkuesi, Kolegji Civil i Gjykatës së Lartë, shq</w:t>
      </w:r>
      <w:r>
        <w:rPr>
          <w:lang w:val="it-IT"/>
        </w:rPr>
        <w:t>yrtimin e çështjes e ka përqe</w:t>
      </w:r>
      <w:r w:rsidRPr="004B7906">
        <w:rPr>
          <w:lang w:val="it-IT"/>
        </w:rPr>
        <w:t>ndruar në kontrollin e ligjshmërisë së vendimit të gjykatës së apelit. Konkluzionet e veta i ka bazuar në provat e administruara e të vlerësuara në gjykatën e apelit.</w:t>
      </w:r>
    </w:p>
    <w:p w:rsidR="00E202F7" w:rsidRPr="004B7906" w:rsidRDefault="00E202F7" w:rsidP="00E202F7">
      <w:pPr>
        <w:pStyle w:val="Paragrafi"/>
        <w:rPr>
          <w:lang w:val="it-IT"/>
        </w:rPr>
      </w:pPr>
      <w:r w:rsidRPr="004B7906">
        <w:rPr>
          <w:lang w:val="it-IT"/>
        </w:rPr>
        <w:t>Kjo e fundit ka pranuar se gjithë sipërfaqja prej 2641.97 m</w:t>
      </w:r>
      <w:r w:rsidRPr="007D4FDD">
        <w:rPr>
          <w:vertAlign w:val="superscript"/>
          <w:lang w:val="it-IT"/>
        </w:rPr>
        <w:t>2</w:t>
      </w:r>
      <w:r w:rsidRPr="004B7906">
        <w:rPr>
          <w:lang w:val="it-IT"/>
        </w:rPr>
        <w:t xml:space="preserve"> e kthyer nga Komisioni i Kthimit dhe Kompensimit të Pronave është e zënë me ndërtime, lulishte e trotuare, pjesë e një studimi urbanistik. Mbi bazën e këtij vlerësimi, kolegji civil ka arritur në përfundimin se subjekti i interesuar legjitimohet të kërkoj</w:t>
      </w:r>
      <w:r>
        <w:rPr>
          <w:lang w:val="it-IT"/>
        </w:rPr>
        <w:t>ë anul</w:t>
      </w:r>
      <w:r w:rsidRPr="004B7906">
        <w:rPr>
          <w:lang w:val="it-IT"/>
        </w:rPr>
        <w:t>imin e vendimit të Komisionit të Kthimit dhe Kompensimit të Pronave për gjithë sipërfaqen dhe jo vetëm për një pjesë të saj. Ky qëndrim i Gjykatës së Lartë lidhet me kompetencën e saj për interpretimin e ligjit e kontrollin e zbatimit të tij dhe nuk përbën ndonjë element të procesit jo të rregullt ligjor në kuptim të nenit 42 të Kushtetutës.</w:t>
      </w:r>
    </w:p>
    <w:p w:rsidR="00E202F7" w:rsidRPr="004B7906" w:rsidRDefault="00E202F7" w:rsidP="00E202F7">
      <w:pPr>
        <w:pStyle w:val="Paragrafi"/>
        <w:rPr>
          <w:lang w:val="it-IT"/>
        </w:rPr>
      </w:pPr>
      <w:r w:rsidRPr="004B7906">
        <w:rPr>
          <w:lang w:val="it-IT"/>
        </w:rPr>
        <w:t>Në kundërshtim me sa pretendojnë kërkuesit, në vendimin e Kolegjit Civil të Gjykatës së Lartë, nuk konstatohet ndonjë keqinterpretim i frymës dhe i përmbajtjes s</w:t>
      </w:r>
      <w:r>
        <w:rPr>
          <w:lang w:val="it-IT"/>
        </w:rPr>
        <w:t xml:space="preserve">ë vendimit nr.4, datë </w:t>
      </w:r>
      <w:r>
        <w:rPr>
          <w:lang w:val="it-IT"/>
        </w:rPr>
        <w:lastRenderedPageBreak/>
        <w:t>8.</w:t>
      </w:r>
      <w:r w:rsidRPr="004B7906">
        <w:rPr>
          <w:lang w:val="it-IT"/>
        </w:rPr>
        <w:t>4.1994 të Gjykatës Kushtetuese. Vendimi i Gjykatës Kushtetuese ka shfuqizuar nenin</w:t>
      </w:r>
      <w:r>
        <w:rPr>
          <w:lang w:val="it-IT"/>
        </w:rPr>
        <w:t xml:space="preserve"> 17 të ligjit nr.7698, datë 15.</w:t>
      </w:r>
      <w:r w:rsidRPr="004B7906">
        <w:rPr>
          <w:lang w:val="it-IT"/>
        </w:rPr>
        <w:t>4.1993 “Për kthimin dhe kompensimin e pronave ish-pronarëve”, duke mosnjohur si kthimin ish-pronarëve të trojeve mbi të cilat janë ndërtuar lokale</w:t>
      </w:r>
      <w:r>
        <w:rPr>
          <w:lang w:val="it-IT"/>
        </w:rPr>
        <w:t>, ashtu dhe bashkëpr</w:t>
      </w:r>
      <w:r w:rsidRPr="004B7906">
        <w:rPr>
          <w:lang w:val="it-IT"/>
        </w:rPr>
        <w:t>onësinë në këto lokale të ish-pronarit të truallit me pronarin e lokalit. Duke u nisur nga ky qëndrim, Ko</w:t>
      </w:r>
      <w:r>
        <w:rPr>
          <w:lang w:val="it-IT"/>
        </w:rPr>
        <w:t>legji Civil i Gjykatës së Lartë</w:t>
      </w:r>
      <w:r w:rsidRPr="004B7906">
        <w:rPr>
          <w:lang w:val="it-IT"/>
        </w:rPr>
        <w:t xml:space="preserve"> e ka konsideruar të pabazuar në ligj vendimin e Komisionit të Kthimit dhe Kompensimit të Pronave, me të cilin u është kthyer kërkuesve trualli i zënë me lokale</w:t>
      </w:r>
      <w:r>
        <w:rPr>
          <w:lang w:val="it-IT"/>
        </w:rPr>
        <w:t>,</w:t>
      </w:r>
      <w:r w:rsidRPr="004B7906">
        <w:rPr>
          <w:lang w:val="it-IT"/>
        </w:rPr>
        <w:t xml:space="preserve"> si dhe trualli në funksion të këtyre të fundit.</w:t>
      </w:r>
    </w:p>
    <w:p w:rsidR="00E202F7" w:rsidRPr="004B7906" w:rsidRDefault="00E202F7" w:rsidP="00E202F7">
      <w:pPr>
        <w:pStyle w:val="Paragrafi"/>
        <w:rPr>
          <w:lang w:val="it-IT"/>
        </w:rPr>
      </w:pPr>
      <w:r w:rsidRPr="004B7906">
        <w:rPr>
          <w:lang w:val="it-IT"/>
        </w:rPr>
        <w:t>Kërkuesi pretendon gjithashtu se privatizimi i lokaleve pa ankand jo vetëm vjen në kundërshtim me nenin</w:t>
      </w:r>
      <w:r>
        <w:rPr>
          <w:lang w:val="it-IT"/>
        </w:rPr>
        <w:t xml:space="preserve"> 23 të ligjit nr.7512, datë 10.</w:t>
      </w:r>
      <w:r w:rsidRPr="004B7906">
        <w:rPr>
          <w:lang w:val="it-IT"/>
        </w:rPr>
        <w:t>8.1991 “Për sanksionimin e mbrojtjen e pronës private, të nismës së lirë, të veprimtarisë private të pavarur</w:t>
      </w:r>
      <w:r>
        <w:rPr>
          <w:lang w:val="it-IT"/>
        </w:rPr>
        <w:t>a dhe privatizimit”, por u ka ce</w:t>
      </w:r>
      <w:r w:rsidRPr="004B7906">
        <w:rPr>
          <w:lang w:val="it-IT"/>
        </w:rPr>
        <w:t>nuar atyre të drejtën për të konkurruar në privatizim</w:t>
      </w:r>
      <w:r>
        <w:rPr>
          <w:lang w:val="it-IT"/>
        </w:rPr>
        <w:t>,</w:t>
      </w:r>
      <w:r w:rsidRPr="004B7906">
        <w:rPr>
          <w:lang w:val="it-IT"/>
        </w:rPr>
        <w:t xml:space="preserve"> si dhe të drejtën e parablerjes. Lidhur me këtë pretendim, Gjykata Kushtetuese konstaton se kërkuesit nuk i janë drejtuar gjykatave të sistemit gjyqësor me padi për të kërkuar pavlefshmërinë e këtyre veprimeve. Sipas nenit 131/f të Kushtetutës shqyrtimi nga juridiksioni kushtetues i ankesave të individëve për shkeljen e të drejtave të tyre kushtetuese për një proces të rregullt ligjor mund të bëhet vetëm pasi kërkuesi të ketë shteruar të gjitha mjetet juridike për mbrojtjen e këtyre të drejtave.</w:t>
      </w:r>
    </w:p>
    <w:p w:rsidR="00E202F7" w:rsidRPr="004B7906" w:rsidRDefault="00E202F7" w:rsidP="00E202F7">
      <w:pPr>
        <w:pStyle w:val="Paragrafi"/>
        <w:rPr>
          <w:lang w:val="it-IT"/>
        </w:rPr>
      </w:pPr>
    </w:p>
    <w:p w:rsidR="00E202F7" w:rsidRPr="004B7906" w:rsidRDefault="00E202F7" w:rsidP="00E202F7">
      <w:pPr>
        <w:pStyle w:val="VENDOSI"/>
        <w:keepNext w:val="0"/>
      </w:pPr>
      <w:r>
        <w:t>PëR KëTO ARSYE,</w:t>
      </w:r>
    </w:p>
    <w:p w:rsidR="00E202F7" w:rsidRPr="004B7906" w:rsidRDefault="00E202F7" w:rsidP="00E202F7">
      <w:pPr>
        <w:pStyle w:val="Paragrafi"/>
        <w:rPr>
          <w:lang w:val="it-IT"/>
        </w:rPr>
      </w:pPr>
    </w:p>
    <w:p w:rsidR="00E202F7" w:rsidRPr="004B7906" w:rsidRDefault="00E202F7" w:rsidP="00E202F7">
      <w:pPr>
        <w:pStyle w:val="Paragrafi"/>
        <w:rPr>
          <w:lang w:val="it-IT"/>
        </w:rPr>
      </w:pPr>
      <w:r w:rsidRPr="004B7906">
        <w:rPr>
          <w:lang w:val="it-IT"/>
        </w:rPr>
        <w:t>Gjykata Kushtetuese e Republikës së Shqipërisë, në bazë të nenit 131/f të Kushtetutës</w:t>
      </w:r>
      <w:r>
        <w:rPr>
          <w:lang w:val="it-IT"/>
        </w:rPr>
        <w:t>,</w:t>
      </w:r>
      <w:r w:rsidRPr="004B7906">
        <w:rPr>
          <w:lang w:val="it-IT"/>
        </w:rPr>
        <w:t xml:space="preserve"> si dhe neneve 72 e vijues të ligjit nr.8577, datë 10.2.2000 “Për organizimin dhe funksionimin e Gjykatës Kushtetuese të Republikës së Shqipërisë”, njëzëri, </w:t>
      </w:r>
    </w:p>
    <w:p w:rsidR="00E202F7" w:rsidRPr="004B7906" w:rsidRDefault="00E202F7" w:rsidP="00E202F7">
      <w:pPr>
        <w:pStyle w:val="Paragrafi"/>
        <w:rPr>
          <w:lang w:val="it-IT"/>
        </w:rPr>
      </w:pPr>
    </w:p>
    <w:p w:rsidR="00E202F7" w:rsidRPr="004B7906" w:rsidRDefault="00E202F7" w:rsidP="00E202F7">
      <w:pPr>
        <w:pStyle w:val="VENDOSI"/>
      </w:pPr>
      <w:r>
        <w:t>VENDOS</w:t>
      </w:r>
      <w:r w:rsidRPr="004B7906">
        <w:t>I:</w:t>
      </w:r>
    </w:p>
    <w:p w:rsidR="00E202F7" w:rsidRPr="004B7906" w:rsidRDefault="00E202F7" w:rsidP="00E202F7">
      <w:pPr>
        <w:pStyle w:val="Paragrafi"/>
        <w:rPr>
          <w:lang w:val="it-IT"/>
        </w:rPr>
      </w:pPr>
    </w:p>
    <w:p w:rsidR="00E202F7" w:rsidRPr="004B7906" w:rsidRDefault="00E202F7" w:rsidP="00E202F7">
      <w:pPr>
        <w:pStyle w:val="Paragrafi"/>
        <w:rPr>
          <w:lang w:val="it-IT"/>
        </w:rPr>
      </w:pPr>
      <w:r w:rsidRPr="004B7906">
        <w:rPr>
          <w:lang w:val="it-IT"/>
        </w:rPr>
        <w:t>- Rrëzimin e kërkesës.</w:t>
      </w:r>
    </w:p>
    <w:p w:rsidR="00E202F7" w:rsidRDefault="00E202F7" w:rsidP="00E202F7">
      <w:pPr>
        <w:pStyle w:val="Paragrafi"/>
        <w:rPr>
          <w:lang w:val="it-IT"/>
        </w:rPr>
      </w:pPr>
      <w:r w:rsidRPr="004B7906">
        <w:rPr>
          <w:lang w:val="it-IT"/>
        </w:rPr>
        <w:t>- Ky vendim është përfundimtar, i formës së prerë dhe hyn në fuqi ditën e botimit në Fletoren Zyrtare.</w:t>
      </w:r>
    </w:p>
    <w:p w:rsidR="00E202F7" w:rsidRPr="004B7906" w:rsidRDefault="00E202F7" w:rsidP="00E202F7">
      <w:pPr>
        <w:pStyle w:val="Paragrafi"/>
        <w:ind w:firstLine="0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1E4E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202F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E697308-F8A4-43A9-8BE9-9D9433E9E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E202F7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TitullChar">
    <w:name w:val="Titulli_Titull Char"/>
    <w:basedOn w:val="DefaultParagraphFont"/>
    <w:link w:val="TitulliTitull"/>
    <w:rsid w:val="00E202F7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2162</Words>
  <Characters>12328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2019-03-16T14:15:00Z</dcterms:created>
  <dcterms:modified xsi:type="dcterms:W3CDTF">2019-03-16T14:15:00Z</dcterms:modified>
</cp:coreProperties>
</file>