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C61" w:rsidRPr="00281013" w:rsidRDefault="00F23C61" w:rsidP="00F23C61">
      <w:pPr>
        <w:pStyle w:val="Akti"/>
        <w:rPr>
          <w:lang w:val="it-IT"/>
        </w:rPr>
      </w:pPr>
      <w:bookmarkStart w:id="0" w:name="_GoBack"/>
      <w:bookmarkEnd w:id="0"/>
      <w:r w:rsidRPr="00281013">
        <w:rPr>
          <w:lang w:val="it-IT"/>
        </w:rPr>
        <w:t>VENdIM</w:t>
      </w:r>
    </w:p>
    <w:p w:rsidR="00F23C61" w:rsidRPr="00281013" w:rsidRDefault="00F23C61" w:rsidP="00F23C61">
      <w:pPr>
        <w:pStyle w:val="NumriData"/>
        <w:rPr>
          <w:lang w:val="it-IT"/>
        </w:rPr>
      </w:pPr>
      <w:r w:rsidRPr="00281013">
        <w:rPr>
          <w:lang w:val="it-IT"/>
        </w:rPr>
        <w:t>Nr.8, datë 27.4.2005</w:t>
      </w:r>
    </w:p>
    <w:p w:rsidR="00F23C61" w:rsidRPr="00281013" w:rsidRDefault="00F23C61" w:rsidP="00F23C61">
      <w:pPr>
        <w:pStyle w:val="Paragrafi"/>
        <w:rPr>
          <w:lang w:val="it-IT"/>
        </w:rPr>
      </w:pPr>
    </w:p>
    <w:p w:rsidR="00F23C61" w:rsidRPr="00F23C61" w:rsidRDefault="00F23C61" w:rsidP="00F23C61">
      <w:pPr>
        <w:pStyle w:val="Titulli"/>
        <w:rPr>
          <w:b w:val="0"/>
        </w:rPr>
      </w:pPr>
      <w:r w:rsidRPr="00F23C61">
        <w:rPr>
          <w:b w:val="0"/>
        </w:rPr>
        <w:t>NË EMËR TË REPUBLIKËS SË SHQIPËRISË</w:t>
      </w:r>
    </w:p>
    <w:p w:rsidR="00F23C61" w:rsidRPr="00281013" w:rsidRDefault="00F23C61" w:rsidP="00F23C61">
      <w:pPr>
        <w:pStyle w:val="Paragrafi"/>
        <w:rPr>
          <w:lang w:val="it-IT"/>
        </w:rPr>
      </w:pPr>
    </w:p>
    <w:p w:rsidR="00F23C61" w:rsidRPr="00281013" w:rsidRDefault="00F23C61" w:rsidP="00F23C61">
      <w:pPr>
        <w:pStyle w:val="Paragrafi"/>
        <w:rPr>
          <w:lang w:val="it-IT"/>
        </w:rPr>
      </w:pPr>
      <w:r w:rsidRPr="00281013">
        <w:rPr>
          <w:lang w:val="it-IT"/>
        </w:rPr>
        <w:t>Gjykata Kushtetuese e Republikës së Shqipërisë, e përbërë nga:</w:t>
      </w:r>
    </w:p>
    <w:p w:rsidR="00F23C61" w:rsidRPr="00281013" w:rsidRDefault="00F23C61" w:rsidP="00F23C61">
      <w:pPr>
        <w:pStyle w:val="Paragrafi"/>
        <w:rPr>
          <w:lang w:val="it-IT"/>
        </w:rPr>
      </w:pPr>
    </w:p>
    <w:p w:rsidR="00F23C61" w:rsidRPr="00281013" w:rsidRDefault="00F23C61" w:rsidP="00F23C61">
      <w:pPr>
        <w:pStyle w:val="Paragrafi"/>
        <w:rPr>
          <w:lang w:val="it-IT"/>
        </w:rPr>
      </w:pPr>
      <w:r w:rsidRPr="00281013">
        <w:rPr>
          <w:lang w:val="it-IT"/>
        </w:rPr>
        <w:t>Alfred Karamuço</w:t>
      </w:r>
      <w:r w:rsidRPr="00281013">
        <w:rPr>
          <w:lang w:val="it-IT"/>
        </w:rPr>
        <w:tab/>
        <w:t xml:space="preserve">Anëtar    i Gjykatës Kushtetuese    </w:t>
      </w:r>
    </w:p>
    <w:p w:rsidR="00F23C61" w:rsidRPr="00281013" w:rsidRDefault="00F23C61" w:rsidP="00F23C61">
      <w:pPr>
        <w:pStyle w:val="Paragrafi"/>
        <w:rPr>
          <w:lang w:val="it-IT"/>
        </w:rPr>
      </w:pPr>
      <w:r w:rsidRPr="00281013">
        <w:rPr>
          <w:lang w:val="it-IT"/>
        </w:rPr>
        <w:t>Fehmi Abdiu</w:t>
      </w:r>
      <w:r w:rsidRPr="00281013">
        <w:rPr>
          <w:lang w:val="it-IT"/>
        </w:rPr>
        <w:tab/>
      </w:r>
      <w:r w:rsidRPr="00281013">
        <w:rPr>
          <w:lang w:val="it-IT"/>
        </w:rPr>
        <w:tab/>
        <w:t>Anëtar    i</w:t>
      </w:r>
      <w:r w:rsidRPr="00281013">
        <w:rPr>
          <w:lang w:val="it-IT"/>
        </w:rPr>
        <w:tab/>
        <w:t>“</w:t>
      </w:r>
      <w:r w:rsidRPr="00281013">
        <w:rPr>
          <w:lang w:val="it-IT"/>
        </w:rPr>
        <w:tab/>
        <w:t>“</w:t>
      </w:r>
    </w:p>
    <w:p w:rsidR="00F23C61" w:rsidRPr="00281013" w:rsidRDefault="00F23C61" w:rsidP="00F23C61">
      <w:pPr>
        <w:pStyle w:val="Paragrafi"/>
        <w:rPr>
          <w:lang w:val="it-IT"/>
        </w:rPr>
      </w:pPr>
      <w:r w:rsidRPr="00281013">
        <w:rPr>
          <w:lang w:val="it-IT"/>
        </w:rPr>
        <w:t>Kristofor Peçi</w:t>
      </w:r>
      <w:r w:rsidRPr="00281013">
        <w:rPr>
          <w:lang w:val="it-IT"/>
        </w:rPr>
        <w:tab/>
      </w:r>
      <w:r w:rsidRPr="00281013">
        <w:rPr>
          <w:lang w:val="it-IT"/>
        </w:rPr>
        <w:tab/>
        <w:t>Anëtar    i</w:t>
      </w:r>
      <w:r w:rsidRPr="00281013">
        <w:rPr>
          <w:lang w:val="it-IT"/>
        </w:rPr>
        <w:tab/>
        <w:t>“</w:t>
      </w:r>
      <w:r w:rsidRPr="00281013">
        <w:rPr>
          <w:lang w:val="it-IT"/>
        </w:rPr>
        <w:tab/>
        <w:t>“</w:t>
      </w:r>
    </w:p>
    <w:p w:rsidR="00F23C61" w:rsidRPr="00281013" w:rsidRDefault="00F23C61" w:rsidP="00F23C61">
      <w:pPr>
        <w:pStyle w:val="Paragrafi"/>
        <w:rPr>
          <w:lang w:val="it-IT"/>
        </w:rPr>
      </w:pPr>
      <w:r w:rsidRPr="00281013">
        <w:rPr>
          <w:lang w:val="it-IT"/>
        </w:rPr>
        <w:t>Vjollca Meçaj</w:t>
      </w:r>
      <w:r w:rsidRPr="00281013">
        <w:rPr>
          <w:lang w:val="it-IT"/>
        </w:rPr>
        <w:tab/>
      </w:r>
      <w:r w:rsidRPr="00281013">
        <w:rPr>
          <w:lang w:val="it-IT"/>
        </w:rPr>
        <w:tab/>
        <w:t>Anëtare  e</w:t>
      </w:r>
      <w:r w:rsidRPr="00281013">
        <w:rPr>
          <w:lang w:val="it-IT"/>
        </w:rPr>
        <w:tab/>
        <w:t>“</w:t>
      </w:r>
      <w:r w:rsidRPr="00281013">
        <w:rPr>
          <w:lang w:val="it-IT"/>
        </w:rPr>
        <w:tab/>
        <w:t>“</w:t>
      </w:r>
    </w:p>
    <w:p w:rsidR="00F23C61" w:rsidRPr="00EA5C90" w:rsidRDefault="00F23C61" w:rsidP="00F23C61">
      <w:pPr>
        <w:pStyle w:val="Paragrafi"/>
        <w:rPr>
          <w:lang w:val="it-IT"/>
        </w:rPr>
      </w:pPr>
      <w:r w:rsidRPr="00EA5C90">
        <w:rPr>
          <w:lang w:val="it-IT"/>
        </w:rPr>
        <w:t xml:space="preserve">Xhezair Zaganjori     </w:t>
      </w:r>
      <w:r w:rsidRPr="00EA5C90">
        <w:rPr>
          <w:lang w:val="it-IT"/>
        </w:rPr>
        <w:tab/>
        <w:t>Anëtar    i</w:t>
      </w:r>
      <w:r w:rsidRPr="00EA5C90">
        <w:rPr>
          <w:lang w:val="it-IT"/>
        </w:rPr>
        <w:tab/>
        <w:t>“</w:t>
      </w:r>
      <w:r w:rsidRPr="00EA5C90">
        <w:rPr>
          <w:lang w:val="it-IT"/>
        </w:rPr>
        <w:tab/>
        <w:t xml:space="preserve">“  </w:t>
      </w:r>
    </w:p>
    <w:p w:rsidR="00F23C61" w:rsidRPr="00EA5C90" w:rsidRDefault="00F23C61" w:rsidP="00F23C61">
      <w:pPr>
        <w:pStyle w:val="Paragrafi"/>
        <w:rPr>
          <w:lang w:val="it-IT"/>
        </w:rPr>
      </w:pPr>
      <w:r w:rsidRPr="00EA5C90">
        <w:rPr>
          <w:lang w:val="it-IT"/>
        </w:rPr>
        <w:t xml:space="preserve">Sokol Sadushi           </w:t>
      </w:r>
      <w:r w:rsidRPr="00EA5C90">
        <w:rPr>
          <w:lang w:val="it-IT"/>
        </w:rPr>
        <w:tab/>
        <w:t xml:space="preserve">Anëtar    i </w:t>
      </w:r>
      <w:r w:rsidRPr="00EA5C90">
        <w:rPr>
          <w:lang w:val="it-IT"/>
        </w:rPr>
        <w:tab/>
        <w:t>“</w:t>
      </w:r>
      <w:r w:rsidRPr="00EA5C90">
        <w:rPr>
          <w:lang w:val="it-IT"/>
        </w:rPr>
        <w:tab/>
        <w:t xml:space="preserve">“ 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Petrit Plloçi</w:t>
      </w:r>
      <w:r w:rsidRPr="003205EA">
        <w:rPr>
          <w:lang w:val="it-IT"/>
        </w:rPr>
        <w:tab/>
      </w:r>
      <w:r w:rsidRPr="003205EA">
        <w:rPr>
          <w:lang w:val="it-IT"/>
        </w:rPr>
        <w:tab/>
        <w:t>Anëtar    i</w:t>
      </w:r>
      <w:r w:rsidRPr="003205EA">
        <w:rPr>
          <w:lang w:val="it-IT"/>
        </w:rPr>
        <w:tab/>
        <w:t>“</w:t>
      </w:r>
      <w:r w:rsidRPr="003205EA">
        <w:rPr>
          <w:lang w:val="it-IT"/>
        </w:rPr>
        <w:tab/>
        <w:t xml:space="preserve">“  </w:t>
      </w:r>
    </w:p>
    <w:p w:rsidR="00F23C61" w:rsidRPr="003205EA" w:rsidRDefault="00F23C61" w:rsidP="00F23C61">
      <w:pPr>
        <w:pStyle w:val="Paragrafi"/>
        <w:rPr>
          <w:lang w:val="it-IT"/>
        </w:rPr>
      </w:pP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me sekretare Arbenka Lalica, në datën 10.3.2005, mori në shqyrtim në seancë gjyqësore me dyer të hapura çështjen nr.18 Akti që i përket:</w:t>
      </w:r>
    </w:p>
    <w:p w:rsidR="00F23C61" w:rsidRPr="003205EA" w:rsidRDefault="00F23C61" w:rsidP="00F23C61">
      <w:pPr>
        <w:pStyle w:val="Paragrafi"/>
        <w:rPr>
          <w:lang w:val="it-IT"/>
        </w:rPr>
      </w:pP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 xml:space="preserve">KËRKUESI: VLASH MARINI, përfaqësuar nga avokatët Arqile Nini e Lili Robo, me prokurë të posaçme.   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SUBJEKTI I INTERESUAR: MINISTRIA E EKONOMISË, përfaqësuar nga Avokati i Shtetit pranë Avokaturës së Përgjithshme, Shefqet Muçi, me autorizim.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OBJEKTI: Shfuqizimi si antikushtetues i vendimeve nr.2002, datë 8.5.2003 të Gjykatës së Rrethit Gjyqësor Tiranë; nr.1212, datë 20.11.2003 të Gjykatës së Apelit Tiranë dhe nr.1557, datë 20.7.2004 të Kolegjit Civil të Gjykatës së Lartë.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 xml:space="preserve">Pala kërkuese ka parashtruar këto shkaqe për shfuqizimin e vendimeve të sipërme: 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 xml:space="preserve">- Ministria e Ekonomisë nuk legjitimohet në ngritjen e padisë, </w:t>
      </w:r>
      <w:r>
        <w:rPr>
          <w:lang w:val="it-IT"/>
        </w:rPr>
        <w:t>sepse nuk është ortak i S</w:t>
      </w:r>
      <w:r w:rsidRPr="003205EA">
        <w:rPr>
          <w:lang w:val="it-IT"/>
        </w:rPr>
        <w:t>hoqërisë “MARINI – ALBPLASTIK” sh</w:t>
      </w:r>
      <w:r>
        <w:rPr>
          <w:lang w:val="it-IT"/>
        </w:rPr>
        <w:t>.</w:t>
      </w:r>
      <w:r w:rsidRPr="003205EA">
        <w:rPr>
          <w:lang w:val="it-IT"/>
        </w:rPr>
        <w:t>p</w:t>
      </w:r>
      <w:r>
        <w:rPr>
          <w:lang w:val="it-IT"/>
        </w:rPr>
        <w:t>.k.;</w:t>
      </w:r>
      <w:r w:rsidRPr="003205EA">
        <w:rPr>
          <w:lang w:val="it-IT"/>
        </w:rPr>
        <w:t xml:space="preserve"> 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- Nuk është formuar në rregull ndërgjyqësia, sepse në zbatim të nenit 184 të Kodit të Procedurës Civile, gjykata duhet të thërriste si palë edhe ortakun tjetër, Ministrinë e Rregullimit të Terr</w:t>
      </w:r>
      <w:r>
        <w:rPr>
          <w:lang w:val="it-IT"/>
        </w:rPr>
        <w:t>itorit, S</w:t>
      </w:r>
      <w:r w:rsidRPr="003205EA">
        <w:rPr>
          <w:lang w:val="it-IT"/>
        </w:rPr>
        <w:t>hoqërinë “MARINI – ALBPLASTIK” sh</w:t>
      </w:r>
      <w:r>
        <w:rPr>
          <w:lang w:val="it-IT"/>
        </w:rPr>
        <w:t>.</w:t>
      </w:r>
      <w:r w:rsidRPr="003205EA">
        <w:rPr>
          <w:lang w:val="it-IT"/>
        </w:rPr>
        <w:t>p</w:t>
      </w:r>
      <w:r>
        <w:rPr>
          <w:lang w:val="it-IT"/>
        </w:rPr>
        <w:t>.k.,</w:t>
      </w:r>
      <w:r w:rsidRPr="003205EA">
        <w:rPr>
          <w:lang w:val="it-IT"/>
        </w:rPr>
        <w:t xml:space="preserve"> si dhe ortakun Vlash Marini;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- Gjykatat kanë zhvilluar një proces jo të rregullt</w:t>
      </w:r>
      <w:r>
        <w:rPr>
          <w:lang w:val="it-IT"/>
        </w:rPr>
        <w:t>,</w:t>
      </w:r>
      <w:r w:rsidRPr="003205EA">
        <w:rPr>
          <w:lang w:val="it-IT"/>
        </w:rPr>
        <w:t xml:space="preserve"> sepse nuk janë zbatuar vendimet e arbitrazhit dhe vendimet e formës së prerë të gjykatës. Për më tepër, duke prishur shoqërinë, pengohet ekzekutimi i këtyre vendimeve.</w:t>
      </w:r>
    </w:p>
    <w:p w:rsidR="00F23C61" w:rsidRPr="003205EA" w:rsidRDefault="00F23C61" w:rsidP="00F23C61">
      <w:pPr>
        <w:pStyle w:val="Paragrafi"/>
        <w:rPr>
          <w:lang w:val="it-IT"/>
        </w:rPr>
      </w:pPr>
    </w:p>
    <w:p w:rsidR="00F23C61" w:rsidRPr="003205EA" w:rsidRDefault="00F23C61" w:rsidP="00F23C61">
      <w:pPr>
        <w:pStyle w:val="VENDOSI"/>
        <w:rPr>
          <w:lang w:val="it-IT"/>
        </w:rPr>
      </w:pPr>
      <w:r w:rsidRPr="003205EA">
        <w:rPr>
          <w:lang w:val="it-IT"/>
        </w:rPr>
        <w:t xml:space="preserve">GJYKATA KUSHTETUESE, </w:t>
      </w:r>
    </w:p>
    <w:p w:rsidR="00F23C61" w:rsidRPr="003205EA" w:rsidRDefault="00F23C61" w:rsidP="00F23C61">
      <w:pPr>
        <w:pStyle w:val="Paragrafi"/>
        <w:rPr>
          <w:lang w:val="it-IT"/>
        </w:rPr>
      </w:pP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pasi dëgjoi relatorin e çështjes Petrit Plloçi, përfaqësuesit e kërkuesit, të subjektit të interesuar</w:t>
      </w:r>
      <w:r>
        <w:rPr>
          <w:lang w:val="it-IT"/>
        </w:rPr>
        <w:t>,</w:t>
      </w:r>
      <w:r w:rsidRPr="003205EA">
        <w:rPr>
          <w:lang w:val="it-IT"/>
        </w:rPr>
        <w:t xml:space="preserve"> si dhe bisedoi çështjen në tërësi,</w:t>
      </w:r>
    </w:p>
    <w:p w:rsidR="00F23C61" w:rsidRPr="003205EA" w:rsidRDefault="00F23C61" w:rsidP="00F23C61">
      <w:pPr>
        <w:pStyle w:val="Paragrafi"/>
        <w:rPr>
          <w:lang w:val="it-IT"/>
        </w:rPr>
      </w:pPr>
    </w:p>
    <w:p w:rsidR="00F23C61" w:rsidRPr="003205EA" w:rsidRDefault="00F23C61" w:rsidP="00F23C61">
      <w:pPr>
        <w:pStyle w:val="VENDOSI"/>
        <w:rPr>
          <w:lang w:val="it-IT"/>
        </w:rPr>
      </w:pPr>
      <w:r w:rsidRPr="003205EA">
        <w:rPr>
          <w:lang w:val="it-IT"/>
        </w:rPr>
        <w:t>VëREN:</w:t>
      </w:r>
    </w:p>
    <w:p w:rsidR="00F23C61" w:rsidRPr="003205EA" w:rsidRDefault="00F23C61" w:rsidP="00F23C61">
      <w:pPr>
        <w:pStyle w:val="Paragrafi"/>
        <w:rPr>
          <w:lang w:val="it-IT"/>
        </w:rPr>
      </w:pP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 xml:space="preserve"> Në përfundim të diskutimit të çështjes u procedua me votimin ku, si rezultat, nuk u arrit</w:t>
      </w:r>
      <w:r>
        <w:rPr>
          <w:lang w:val="it-IT"/>
        </w:rPr>
        <w:t xml:space="preserve"> shumica e votave të kërkuara e</w:t>
      </w:r>
      <w:r w:rsidRPr="003205EA">
        <w:rPr>
          <w:lang w:val="it-IT"/>
        </w:rPr>
        <w:t xml:space="preserve"> të gjithë anëtarëve të Gjykatës për asnjërin nga përfundimet.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Në këto kushte, në bazë të nenit 74 të ligjit nr.8577, datë 10.2.2000 “Për organizimin dhe funksionimin e Gjykatës Kushtetuese të Republikës së Shqipërisë”, duhet të vendoset refuzimi i kërkesës.</w:t>
      </w: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Ky refuzim nuk përbën pengesë që kërkuesi të riparaqesë kërkesën në rast se krijohen kushte për formimin e shumicës së kërkuar.</w:t>
      </w:r>
    </w:p>
    <w:p w:rsidR="00F23C61" w:rsidRPr="003205EA" w:rsidRDefault="00F23C61" w:rsidP="00F23C61">
      <w:pPr>
        <w:pStyle w:val="Paragrafi"/>
        <w:ind w:firstLine="0"/>
        <w:rPr>
          <w:lang w:val="it-IT"/>
        </w:rPr>
      </w:pPr>
    </w:p>
    <w:p w:rsidR="00F23C61" w:rsidRPr="003205EA" w:rsidRDefault="00F23C61" w:rsidP="00F23C61">
      <w:pPr>
        <w:pStyle w:val="VENDOSI"/>
        <w:rPr>
          <w:lang w:val="it-IT"/>
        </w:rPr>
      </w:pPr>
      <w:r>
        <w:rPr>
          <w:lang w:val="it-IT"/>
        </w:rPr>
        <w:t>PëR KëTO ARSYE,</w:t>
      </w:r>
    </w:p>
    <w:p w:rsidR="00F23C61" w:rsidRPr="003205EA" w:rsidRDefault="00F23C61" w:rsidP="00F23C61">
      <w:pPr>
        <w:pStyle w:val="Paragrafi"/>
        <w:rPr>
          <w:lang w:val="it-IT"/>
        </w:rPr>
      </w:pPr>
    </w:p>
    <w:p w:rsidR="00F23C61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 xml:space="preserve">Gjykata Kushtetuese e Republikës së Shqipërisë, në bazë të neneve 72 e 74 të ligjit nr.8577, datë 10.2.2000 “Për organizimin dhe funksionimin e Gjykatës Kushtetuese të Republikës së Shqipërisë”,  </w:t>
      </w:r>
    </w:p>
    <w:p w:rsidR="00F23C61" w:rsidRPr="003205EA" w:rsidRDefault="00F23C61" w:rsidP="00F23C61">
      <w:pPr>
        <w:pStyle w:val="Paragrafi"/>
        <w:rPr>
          <w:lang w:val="it-IT"/>
        </w:rPr>
      </w:pPr>
    </w:p>
    <w:p w:rsidR="00F23C61" w:rsidRPr="003205EA" w:rsidRDefault="00F23C61" w:rsidP="00F23C61">
      <w:pPr>
        <w:pStyle w:val="VENDOSI"/>
        <w:rPr>
          <w:lang w:val="it-IT"/>
        </w:rPr>
      </w:pPr>
      <w:r>
        <w:rPr>
          <w:lang w:val="it-IT"/>
        </w:rPr>
        <w:t>VENDOS</w:t>
      </w:r>
      <w:r w:rsidRPr="003205EA">
        <w:rPr>
          <w:lang w:val="it-IT"/>
        </w:rPr>
        <w:t>I:</w:t>
      </w:r>
    </w:p>
    <w:p w:rsidR="00F23C61" w:rsidRPr="003205EA" w:rsidRDefault="00F23C61" w:rsidP="00F23C61">
      <w:pPr>
        <w:pStyle w:val="Paragrafi"/>
      </w:pPr>
    </w:p>
    <w:p w:rsidR="00F23C61" w:rsidRPr="003205EA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- Refuzimin e kërkesës së kërkuesit Vlash Marini.</w:t>
      </w:r>
    </w:p>
    <w:p w:rsidR="00F23C61" w:rsidRDefault="00F23C61" w:rsidP="00F23C61">
      <w:pPr>
        <w:pStyle w:val="Paragrafi"/>
        <w:rPr>
          <w:lang w:val="it-IT"/>
        </w:rPr>
      </w:pPr>
      <w:r w:rsidRPr="003205EA">
        <w:rPr>
          <w:lang w:val="it-IT"/>
        </w:rPr>
        <w:t>- Ky vendim hyn në fuqi ditën e botimit në Fletoren Zyrtare.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0628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23C61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F67605-7EB8-4D68-B0FA-81B92075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