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195E" w:rsidRDefault="003A195E" w:rsidP="003A195E">
      <w:pPr>
        <w:pStyle w:val="Akti"/>
        <w:keepNext w:val="0"/>
      </w:pPr>
      <w:bookmarkStart w:id="0" w:name="_GoBack"/>
      <w:bookmarkEnd w:id="0"/>
      <w:r>
        <w:t>VENDI</w:t>
      </w:r>
      <w:r w:rsidRPr="0077006B">
        <w:t>M</w:t>
      </w:r>
    </w:p>
    <w:p w:rsidR="003A195E" w:rsidRDefault="003A195E" w:rsidP="003A195E">
      <w:pPr>
        <w:pStyle w:val="NumriData"/>
      </w:pPr>
      <w:r>
        <w:t>Nr.10, datë 9.</w:t>
      </w:r>
      <w:r w:rsidRPr="0077006B">
        <w:t>5.2005</w:t>
      </w:r>
    </w:p>
    <w:p w:rsidR="003A195E" w:rsidRPr="00EA7F21" w:rsidRDefault="003A195E" w:rsidP="003A195E">
      <w:pPr>
        <w:pStyle w:val="Paragrafi"/>
        <w:rPr>
          <w:lang w:val="en-GB"/>
        </w:rPr>
      </w:pPr>
    </w:p>
    <w:p w:rsidR="003A195E" w:rsidRPr="003A195E" w:rsidRDefault="003A195E" w:rsidP="003A195E">
      <w:pPr>
        <w:pStyle w:val="Titulli"/>
        <w:rPr>
          <w:b w:val="0"/>
        </w:rPr>
      </w:pPr>
      <w:r w:rsidRPr="003A195E">
        <w:rPr>
          <w:b w:val="0"/>
        </w:rPr>
        <w:t>NË EMËR TË REPUBLIKËS SË SHQIPËRISË</w:t>
      </w:r>
    </w:p>
    <w:p w:rsidR="003A195E" w:rsidRPr="0077006B" w:rsidRDefault="003A195E" w:rsidP="003A195E">
      <w:pPr>
        <w:pStyle w:val="Paragrafi"/>
        <w:rPr>
          <w:lang w:val="it-IT"/>
        </w:rPr>
      </w:pPr>
    </w:p>
    <w:p w:rsidR="003A195E" w:rsidRDefault="003A195E" w:rsidP="003A195E">
      <w:pPr>
        <w:pStyle w:val="Paragrafi"/>
        <w:rPr>
          <w:lang w:val="it-IT"/>
        </w:rPr>
      </w:pPr>
      <w:r w:rsidRPr="0077006B">
        <w:rPr>
          <w:lang w:val="it-IT"/>
        </w:rPr>
        <w:t>Gjykata Kushtetuese e Republikës së Shqipërisë, e përbërë nga:</w:t>
      </w:r>
    </w:p>
    <w:p w:rsidR="003A195E" w:rsidRPr="0077006B" w:rsidRDefault="003A195E" w:rsidP="003A195E">
      <w:pPr>
        <w:pStyle w:val="Paragrafi"/>
        <w:rPr>
          <w:lang w:val="it-IT"/>
        </w:rPr>
      </w:pPr>
    </w:p>
    <w:p w:rsidR="003A195E" w:rsidRPr="0077006B" w:rsidRDefault="003A195E" w:rsidP="003A195E">
      <w:pPr>
        <w:pStyle w:val="Paragrafi"/>
        <w:rPr>
          <w:lang w:val="it-IT"/>
        </w:rPr>
      </w:pPr>
      <w:r>
        <w:rPr>
          <w:lang w:val="it-IT"/>
        </w:rPr>
        <w:t>Gjergj Sauli</w:t>
      </w:r>
      <w:r w:rsidRPr="0077006B">
        <w:rPr>
          <w:lang w:val="it-IT"/>
        </w:rPr>
        <w:tab/>
      </w:r>
      <w:r w:rsidRPr="0077006B">
        <w:rPr>
          <w:lang w:val="it-IT"/>
        </w:rPr>
        <w:tab/>
        <w:t xml:space="preserve">Kryetar  i Gjykatës Kushtetuese </w:t>
      </w:r>
    </w:p>
    <w:p w:rsidR="003A195E" w:rsidRPr="0077006B" w:rsidRDefault="003A195E" w:rsidP="003A195E">
      <w:pPr>
        <w:pStyle w:val="Paragrafi"/>
        <w:rPr>
          <w:lang w:val="it-IT"/>
        </w:rPr>
      </w:pPr>
      <w:r>
        <w:rPr>
          <w:lang w:val="it-IT"/>
        </w:rPr>
        <w:t>Alfred Karamuço</w:t>
      </w:r>
      <w:r w:rsidRPr="0077006B">
        <w:rPr>
          <w:lang w:val="it-IT"/>
        </w:rPr>
        <w:tab/>
        <w:t>Anëtar    i</w:t>
      </w:r>
      <w:r w:rsidRPr="0077006B">
        <w:rPr>
          <w:lang w:val="it-IT"/>
        </w:rPr>
        <w:tab/>
        <w:t>“</w:t>
      </w:r>
      <w:r w:rsidRPr="0077006B">
        <w:rPr>
          <w:lang w:val="it-IT"/>
        </w:rPr>
        <w:tab/>
        <w:t xml:space="preserve">“   </w:t>
      </w:r>
    </w:p>
    <w:p w:rsidR="003A195E" w:rsidRPr="0077006B" w:rsidRDefault="003A195E" w:rsidP="003A195E">
      <w:pPr>
        <w:pStyle w:val="Paragrafi"/>
        <w:rPr>
          <w:lang w:val="it-IT"/>
        </w:rPr>
      </w:pPr>
      <w:r>
        <w:rPr>
          <w:lang w:val="it-IT"/>
        </w:rPr>
        <w:t>Kristofor Peçi</w:t>
      </w:r>
      <w:r w:rsidRPr="0077006B">
        <w:rPr>
          <w:lang w:val="it-IT"/>
        </w:rPr>
        <w:tab/>
      </w:r>
      <w:r w:rsidRPr="0077006B">
        <w:rPr>
          <w:lang w:val="it-IT"/>
        </w:rPr>
        <w:tab/>
        <w:t>Anëtar    i</w:t>
      </w:r>
      <w:r w:rsidRPr="0077006B">
        <w:rPr>
          <w:lang w:val="it-IT"/>
        </w:rPr>
        <w:tab/>
        <w:t>“</w:t>
      </w:r>
      <w:r w:rsidRPr="0077006B">
        <w:rPr>
          <w:lang w:val="it-IT"/>
        </w:rPr>
        <w:tab/>
        <w:t>“</w:t>
      </w:r>
    </w:p>
    <w:p w:rsidR="003A195E" w:rsidRPr="0077006B" w:rsidRDefault="003A195E" w:rsidP="003A195E">
      <w:pPr>
        <w:pStyle w:val="Paragrafi"/>
        <w:rPr>
          <w:lang w:val="it-IT"/>
        </w:rPr>
      </w:pPr>
      <w:r>
        <w:rPr>
          <w:lang w:val="it-IT"/>
        </w:rPr>
        <w:t>Kujtim Puto</w:t>
      </w:r>
      <w:r w:rsidRPr="0077006B">
        <w:rPr>
          <w:lang w:val="it-IT"/>
        </w:rPr>
        <w:t xml:space="preserve">               </w:t>
      </w:r>
      <w:r w:rsidRPr="0077006B">
        <w:rPr>
          <w:lang w:val="it-IT"/>
        </w:rPr>
        <w:tab/>
        <w:t xml:space="preserve">Anëtar    i </w:t>
      </w:r>
      <w:r w:rsidRPr="0077006B">
        <w:rPr>
          <w:lang w:val="it-IT"/>
        </w:rPr>
        <w:tab/>
        <w:t>“</w:t>
      </w:r>
      <w:r w:rsidRPr="0077006B">
        <w:rPr>
          <w:lang w:val="it-IT"/>
        </w:rPr>
        <w:tab/>
        <w:t xml:space="preserve">“ </w:t>
      </w:r>
    </w:p>
    <w:p w:rsidR="003A195E" w:rsidRPr="0077006B" w:rsidRDefault="003A195E" w:rsidP="003A195E">
      <w:pPr>
        <w:pStyle w:val="Paragrafi"/>
        <w:rPr>
          <w:lang w:val="it-IT"/>
        </w:rPr>
      </w:pPr>
      <w:r>
        <w:rPr>
          <w:lang w:val="it-IT"/>
        </w:rPr>
        <w:t>Vjollca Meçaj</w:t>
      </w:r>
      <w:r w:rsidRPr="0077006B">
        <w:rPr>
          <w:lang w:val="it-IT"/>
        </w:rPr>
        <w:tab/>
      </w:r>
      <w:r w:rsidRPr="0077006B">
        <w:rPr>
          <w:lang w:val="it-IT"/>
        </w:rPr>
        <w:tab/>
        <w:t>Anëtare  e</w:t>
      </w:r>
      <w:r w:rsidRPr="0077006B">
        <w:rPr>
          <w:lang w:val="it-IT"/>
        </w:rPr>
        <w:tab/>
        <w:t>“</w:t>
      </w:r>
      <w:r w:rsidRPr="0077006B">
        <w:rPr>
          <w:lang w:val="it-IT"/>
        </w:rPr>
        <w:tab/>
        <w:t>“</w:t>
      </w:r>
    </w:p>
    <w:p w:rsidR="003A195E" w:rsidRPr="0077006B" w:rsidRDefault="003A195E" w:rsidP="003A195E">
      <w:pPr>
        <w:pStyle w:val="Paragrafi"/>
        <w:rPr>
          <w:lang w:val="it-IT"/>
        </w:rPr>
      </w:pPr>
      <w:r>
        <w:rPr>
          <w:lang w:val="it-IT"/>
        </w:rPr>
        <w:t>Xhezair Zaganjori</w:t>
      </w:r>
      <w:r w:rsidRPr="0077006B">
        <w:rPr>
          <w:lang w:val="it-IT"/>
        </w:rPr>
        <w:t xml:space="preserve">     </w:t>
      </w:r>
      <w:r w:rsidRPr="0077006B">
        <w:rPr>
          <w:lang w:val="it-IT"/>
        </w:rPr>
        <w:tab/>
        <w:t>Anëtar    i</w:t>
      </w:r>
      <w:r w:rsidRPr="0077006B">
        <w:rPr>
          <w:lang w:val="it-IT"/>
        </w:rPr>
        <w:tab/>
        <w:t>“</w:t>
      </w:r>
      <w:r w:rsidRPr="0077006B">
        <w:rPr>
          <w:lang w:val="it-IT"/>
        </w:rPr>
        <w:tab/>
        <w:t xml:space="preserve">“   </w:t>
      </w:r>
    </w:p>
    <w:p w:rsidR="003A195E" w:rsidRPr="0077006B" w:rsidRDefault="003A195E" w:rsidP="003A195E">
      <w:pPr>
        <w:pStyle w:val="Paragrafi"/>
        <w:rPr>
          <w:lang w:val="it-IT"/>
        </w:rPr>
      </w:pPr>
      <w:r>
        <w:rPr>
          <w:lang w:val="it-IT"/>
        </w:rPr>
        <w:t>Petrit Plloçi</w:t>
      </w:r>
      <w:r w:rsidRPr="0077006B">
        <w:rPr>
          <w:lang w:val="it-IT"/>
        </w:rPr>
        <w:tab/>
      </w:r>
      <w:r w:rsidRPr="0077006B">
        <w:rPr>
          <w:lang w:val="it-IT"/>
        </w:rPr>
        <w:tab/>
        <w:t>Anëtar    i</w:t>
      </w:r>
      <w:r w:rsidRPr="0077006B">
        <w:rPr>
          <w:lang w:val="it-IT"/>
        </w:rPr>
        <w:tab/>
        <w:t>“</w:t>
      </w:r>
      <w:r w:rsidRPr="0077006B">
        <w:rPr>
          <w:lang w:val="it-IT"/>
        </w:rPr>
        <w:tab/>
        <w:t xml:space="preserve">“  </w:t>
      </w:r>
    </w:p>
    <w:p w:rsidR="003A195E" w:rsidRPr="0077006B" w:rsidRDefault="003A195E" w:rsidP="003A195E">
      <w:pPr>
        <w:pStyle w:val="Paragrafi"/>
        <w:rPr>
          <w:lang w:val="it-IT"/>
        </w:rPr>
      </w:pPr>
      <w:r>
        <w:rPr>
          <w:lang w:val="it-IT"/>
        </w:rPr>
        <w:t>Sokol Sadushi</w:t>
      </w:r>
      <w:r w:rsidRPr="0077006B">
        <w:rPr>
          <w:lang w:val="it-IT"/>
        </w:rPr>
        <w:tab/>
      </w:r>
      <w:r>
        <w:rPr>
          <w:lang w:val="it-IT"/>
        </w:rPr>
        <w:tab/>
      </w:r>
      <w:r w:rsidRPr="0077006B">
        <w:rPr>
          <w:lang w:val="it-IT"/>
        </w:rPr>
        <w:t>Anëtar    i</w:t>
      </w:r>
      <w:r w:rsidRPr="0077006B">
        <w:rPr>
          <w:lang w:val="it-IT"/>
        </w:rPr>
        <w:tab/>
        <w:t>“</w:t>
      </w:r>
      <w:r w:rsidRPr="0077006B">
        <w:rPr>
          <w:lang w:val="it-IT"/>
        </w:rPr>
        <w:tab/>
        <w:t>“</w:t>
      </w:r>
    </w:p>
    <w:p w:rsidR="003A195E" w:rsidRDefault="003A195E" w:rsidP="003A195E">
      <w:pPr>
        <w:pStyle w:val="Paragrafi"/>
        <w:rPr>
          <w:lang w:val="it-IT"/>
        </w:rPr>
      </w:pPr>
      <w:r>
        <w:rPr>
          <w:lang w:val="it-IT"/>
        </w:rPr>
        <w:t>Fehmi Abdiu</w:t>
      </w:r>
      <w:r w:rsidRPr="0077006B">
        <w:rPr>
          <w:lang w:val="it-IT"/>
        </w:rPr>
        <w:tab/>
      </w:r>
      <w:r w:rsidRPr="0077006B">
        <w:rPr>
          <w:lang w:val="it-IT"/>
        </w:rPr>
        <w:tab/>
        <w:t>Anëtar    i</w:t>
      </w:r>
      <w:r w:rsidRPr="0077006B">
        <w:rPr>
          <w:lang w:val="it-IT"/>
        </w:rPr>
        <w:tab/>
        <w:t>“</w:t>
      </w:r>
      <w:r w:rsidRPr="0077006B">
        <w:rPr>
          <w:lang w:val="it-IT"/>
        </w:rPr>
        <w:tab/>
        <w:t>“</w:t>
      </w:r>
    </w:p>
    <w:p w:rsidR="003A195E" w:rsidRPr="0077006B" w:rsidRDefault="003A195E" w:rsidP="003A195E">
      <w:pPr>
        <w:pStyle w:val="Paragrafi"/>
        <w:rPr>
          <w:lang w:val="it-IT"/>
        </w:rPr>
      </w:pPr>
    </w:p>
    <w:p w:rsidR="003A195E" w:rsidRDefault="003A195E" w:rsidP="003A195E">
      <w:pPr>
        <w:pStyle w:val="Paragrafi"/>
        <w:rPr>
          <w:lang w:val="it-IT"/>
        </w:rPr>
      </w:pPr>
      <w:r w:rsidRPr="0077006B">
        <w:rPr>
          <w:lang w:val="it-IT"/>
        </w:rPr>
        <w:t>me sekretare Arbenka Lalic</w:t>
      </w:r>
      <w:r>
        <w:rPr>
          <w:lang w:val="it-IT"/>
        </w:rPr>
        <w:t>a, në datën 9.</w:t>
      </w:r>
      <w:r w:rsidRPr="0077006B">
        <w:rPr>
          <w:lang w:val="it-IT"/>
        </w:rPr>
        <w:t>2.2005, mori në shqyrtim në seancë gjyqësore me dyer të hapura çështjen nr.15 Akti që i përket:</w:t>
      </w:r>
    </w:p>
    <w:p w:rsidR="003A195E" w:rsidRPr="0077006B" w:rsidRDefault="003A195E" w:rsidP="003A195E">
      <w:pPr>
        <w:pStyle w:val="Paragrafi"/>
        <w:ind w:firstLine="0"/>
        <w:rPr>
          <w:lang w:val="it-IT"/>
        </w:rPr>
      </w:pPr>
    </w:p>
    <w:p w:rsidR="003A195E" w:rsidRPr="0077006B" w:rsidRDefault="003A195E" w:rsidP="003A195E">
      <w:pPr>
        <w:pStyle w:val="Paragrafi"/>
        <w:rPr>
          <w:lang w:val="it-IT"/>
        </w:rPr>
      </w:pPr>
      <w:r>
        <w:rPr>
          <w:lang w:val="it-IT"/>
        </w:rPr>
        <w:t xml:space="preserve">KËRKUES:  </w:t>
      </w:r>
      <w:r w:rsidRPr="0077006B">
        <w:rPr>
          <w:lang w:val="it-IT"/>
        </w:rPr>
        <w:t xml:space="preserve">ILIR E NAFIJE NOGA, përfaqësuar nga avokat Baftjar Rusi, me prokurë.   </w:t>
      </w:r>
    </w:p>
    <w:p w:rsidR="003A195E" w:rsidRPr="0077006B" w:rsidRDefault="003A195E" w:rsidP="003A195E">
      <w:pPr>
        <w:pStyle w:val="Paragrafi"/>
        <w:rPr>
          <w:lang w:val="it-IT"/>
        </w:rPr>
      </w:pPr>
      <w:r>
        <w:rPr>
          <w:lang w:val="it-IT"/>
        </w:rPr>
        <w:t xml:space="preserve">SUBJEKTI I INTERESUAR: </w:t>
      </w:r>
      <w:r w:rsidRPr="0077006B">
        <w:rPr>
          <w:lang w:val="it-IT"/>
        </w:rPr>
        <w:t>HANE TOLA, përfaqësuar nga avokat Vladimir Gërmenji, me prokurë.</w:t>
      </w:r>
      <w:r w:rsidRPr="0077006B">
        <w:rPr>
          <w:lang w:val="it-IT"/>
        </w:rPr>
        <w:tab/>
      </w:r>
    </w:p>
    <w:p w:rsidR="003A195E" w:rsidRPr="0077006B" w:rsidRDefault="003A195E" w:rsidP="003A195E">
      <w:pPr>
        <w:pStyle w:val="Paragrafi"/>
        <w:rPr>
          <w:lang w:val="it-IT"/>
        </w:rPr>
      </w:pPr>
      <w:r>
        <w:rPr>
          <w:lang w:val="it-IT"/>
        </w:rPr>
        <w:t xml:space="preserve">OBJEKTI: </w:t>
      </w:r>
      <w:r w:rsidRPr="0077006B">
        <w:rPr>
          <w:lang w:val="it-IT"/>
        </w:rPr>
        <w:t>Shfuqizimi si antikushtetues</w:t>
      </w:r>
      <w:r>
        <w:rPr>
          <w:lang w:val="it-IT"/>
        </w:rPr>
        <w:t>e</w:t>
      </w:r>
      <w:r w:rsidRPr="0077006B">
        <w:rPr>
          <w:lang w:val="it-IT"/>
        </w:rPr>
        <w:t xml:space="preserve"> i vendimeve nr.557, datë 22.10.2002 të Gjykatës së Rrethit G</w:t>
      </w:r>
      <w:r>
        <w:rPr>
          <w:lang w:val="it-IT"/>
        </w:rPr>
        <w:t>jyqësor Krujë; nr.556, datë 30.</w:t>
      </w:r>
      <w:r w:rsidRPr="0077006B">
        <w:rPr>
          <w:lang w:val="it-IT"/>
        </w:rPr>
        <w:t>4.2003 të Gjykatës së Ape</w:t>
      </w:r>
      <w:r>
        <w:rPr>
          <w:lang w:val="it-IT"/>
        </w:rPr>
        <w:t>lit Tiranë dhe nr.689, datë 2.</w:t>
      </w:r>
      <w:r w:rsidRPr="0077006B">
        <w:rPr>
          <w:lang w:val="it-IT"/>
        </w:rPr>
        <w:t>4.2004 të Kolegjit Civil të Gjykatës së Lartë.</w:t>
      </w:r>
    </w:p>
    <w:p w:rsidR="003A195E" w:rsidRPr="0077006B" w:rsidRDefault="003A195E" w:rsidP="003A195E">
      <w:pPr>
        <w:pStyle w:val="Paragrafi"/>
        <w:rPr>
          <w:lang w:val="it-IT"/>
        </w:rPr>
      </w:pPr>
      <w:r w:rsidRPr="0077006B">
        <w:rPr>
          <w:lang w:val="it-IT"/>
        </w:rPr>
        <w:t xml:space="preserve">Kërkuesit kanë pretenduar se vendimet e lartpërmendura janë rezultat i zhvillimit të një procesi të parregullt ligjor, që konsiston në këto drejtime: </w:t>
      </w:r>
    </w:p>
    <w:p w:rsidR="003A195E" w:rsidRPr="0077006B" w:rsidRDefault="003A195E" w:rsidP="003A195E">
      <w:pPr>
        <w:pStyle w:val="Paragrafi"/>
        <w:rPr>
          <w:lang w:val="it-IT"/>
        </w:rPr>
      </w:pPr>
      <w:r w:rsidRPr="0077006B">
        <w:rPr>
          <w:lang w:val="it-IT"/>
        </w:rPr>
        <w:t>- Procesi gjyqësor nuk është zhvilluar nga një gjykatë kompetente me trup gjykues, por nga një gjyqtar i vetëm. Në këtë mënyrë janë shkelur paragrafi i parë i nenit 42 të Kushtetutës së Republikës së Shqi</w:t>
      </w:r>
      <w:r>
        <w:rPr>
          <w:lang w:val="it-IT"/>
        </w:rPr>
        <w:t>përisë dhe neni 6 i Konventës Eu</w:t>
      </w:r>
      <w:r w:rsidRPr="0077006B">
        <w:rPr>
          <w:lang w:val="it-IT"/>
        </w:rPr>
        <w:t xml:space="preserve">ropiane të të </w:t>
      </w:r>
      <w:r>
        <w:rPr>
          <w:lang w:val="it-IT"/>
        </w:rPr>
        <w:t>Drejtave të Njeriut.</w:t>
      </w:r>
    </w:p>
    <w:p w:rsidR="003A195E" w:rsidRPr="0077006B" w:rsidRDefault="003A195E" w:rsidP="003A195E">
      <w:pPr>
        <w:pStyle w:val="Paragrafi"/>
        <w:rPr>
          <w:lang w:val="it-IT"/>
        </w:rPr>
      </w:pPr>
      <w:r w:rsidRPr="0077006B">
        <w:rPr>
          <w:lang w:val="it-IT"/>
        </w:rPr>
        <w:t>- Gjykata e rrethit ka vepruar në kundërshtim me nenin 35 shkronja “a” të Kodit të Procedurës Civile sepse nuk ka bërë vlerësimin e padisë. Nëse do të kishte përcaktuar atë sipas përmbajtjes së ligjit, çështja duhej gjykuar nga një gjykat</w:t>
      </w:r>
      <w:r>
        <w:rPr>
          <w:lang w:val="it-IT"/>
        </w:rPr>
        <w:t>ë e përbërë me një trup gjykues.</w:t>
      </w:r>
    </w:p>
    <w:p w:rsidR="003A195E" w:rsidRPr="0077006B" w:rsidRDefault="003A195E" w:rsidP="003A195E">
      <w:pPr>
        <w:pStyle w:val="Paragrafi"/>
        <w:rPr>
          <w:lang w:val="it-IT"/>
        </w:rPr>
      </w:pPr>
      <w:r w:rsidRPr="0077006B">
        <w:rPr>
          <w:lang w:val="it-IT"/>
        </w:rPr>
        <w:t>- Gjykata nuk ka përcaktuar drejt ndërgjyqësinë duke mos thirrur në gjykim të gjithë personat madhorë, pasi kemi të bëjmë me një pasuri të fituar nga ligji nr.7501, datë 1</w:t>
      </w:r>
      <w:r>
        <w:rPr>
          <w:lang w:val="it-IT"/>
        </w:rPr>
        <w:t>9.7.1991 “Për tokën bujqësore”.</w:t>
      </w:r>
    </w:p>
    <w:p w:rsidR="003A195E" w:rsidRPr="0077006B" w:rsidRDefault="003A195E" w:rsidP="003A195E">
      <w:pPr>
        <w:pStyle w:val="Paragrafi"/>
        <w:rPr>
          <w:lang w:val="it-IT"/>
        </w:rPr>
      </w:pPr>
      <w:r w:rsidRPr="0077006B">
        <w:rPr>
          <w:lang w:val="it-IT"/>
        </w:rPr>
        <w:t>- Gjykata e apelit, që ka riçelur shqyrtimin gjyqësor me kërkesë të paditësit, nuk ka krijuar mundësinë për të kun</w:t>
      </w:r>
      <w:r>
        <w:rPr>
          <w:lang w:val="it-IT"/>
        </w:rPr>
        <w:t>dërshtuar provat që paraqiti ai.</w:t>
      </w:r>
    </w:p>
    <w:p w:rsidR="003A195E" w:rsidRDefault="003A195E" w:rsidP="003A195E">
      <w:pPr>
        <w:pStyle w:val="Paragrafi"/>
        <w:rPr>
          <w:lang w:val="it-IT"/>
        </w:rPr>
      </w:pPr>
      <w:r w:rsidRPr="0077006B">
        <w:rPr>
          <w:lang w:val="it-IT"/>
        </w:rPr>
        <w:t>- Gjykata e Lartë duhej ta kalonte çështjen për gjykim</w:t>
      </w:r>
      <w:r>
        <w:rPr>
          <w:lang w:val="it-IT"/>
        </w:rPr>
        <w:t>,</w:t>
      </w:r>
      <w:r w:rsidRPr="0077006B">
        <w:rPr>
          <w:lang w:val="it-IT"/>
        </w:rPr>
        <w:t xml:space="preserve"> pasi i kemi parashtruar disa probleme ligjore.</w:t>
      </w:r>
    </w:p>
    <w:p w:rsidR="003A195E" w:rsidRPr="0077006B" w:rsidRDefault="003A195E" w:rsidP="003A195E">
      <w:pPr>
        <w:pStyle w:val="Paragrafi"/>
        <w:rPr>
          <w:lang w:val="it-IT"/>
        </w:rPr>
      </w:pPr>
    </w:p>
    <w:p w:rsidR="003A195E" w:rsidRDefault="003A195E" w:rsidP="003A195E">
      <w:pPr>
        <w:pStyle w:val="Institucioni"/>
      </w:pPr>
      <w:r w:rsidRPr="0077006B">
        <w:t>GJYKATA KUSHTETUESE,</w:t>
      </w:r>
    </w:p>
    <w:p w:rsidR="003A195E" w:rsidRPr="0077006B" w:rsidRDefault="003A195E" w:rsidP="003A195E">
      <w:pPr>
        <w:pStyle w:val="Paragrafi"/>
        <w:rPr>
          <w:lang w:val="it-IT"/>
        </w:rPr>
      </w:pPr>
      <w:r w:rsidRPr="0077006B">
        <w:rPr>
          <w:lang w:val="it-IT"/>
        </w:rPr>
        <w:t xml:space="preserve"> </w:t>
      </w:r>
    </w:p>
    <w:p w:rsidR="003A195E" w:rsidRPr="0077006B" w:rsidRDefault="003A195E" w:rsidP="003A195E">
      <w:pPr>
        <w:pStyle w:val="Paragrafi"/>
        <w:rPr>
          <w:lang w:val="it-IT"/>
        </w:rPr>
      </w:pPr>
      <w:r w:rsidRPr="0077006B">
        <w:rPr>
          <w:lang w:val="it-IT"/>
        </w:rPr>
        <w:t>pasi dëgjoi relatorin e çështjes Fehmi Abdiu, përfaqësuesin e kërkuesve që kërkoi pranimin e kërkesës, përfaqësuesin e subjektit të interesuar që kërkoi rrëzimin e saj, si dhe bisedoi çështjen në tërësi,</w:t>
      </w:r>
    </w:p>
    <w:p w:rsidR="003A195E" w:rsidRPr="0077006B" w:rsidRDefault="003A195E" w:rsidP="003A195E">
      <w:pPr>
        <w:pStyle w:val="Paragrafi"/>
        <w:rPr>
          <w:lang w:val="it-IT"/>
        </w:rPr>
      </w:pPr>
    </w:p>
    <w:p w:rsidR="003A195E" w:rsidRDefault="003A195E" w:rsidP="003A195E">
      <w:pPr>
        <w:pStyle w:val="VENDOSI"/>
      </w:pPr>
      <w:r>
        <w:t>VËRE</w:t>
      </w:r>
      <w:r w:rsidRPr="0077006B">
        <w:t>N:</w:t>
      </w:r>
    </w:p>
    <w:p w:rsidR="003A195E" w:rsidRPr="0077006B" w:rsidRDefault="003A195E" w:rsidP="003A195E">
      <w:pPr>
        <w:pStyle w:val="Paragrafi"/>
        <w:rPr>
          <w:lang w:val="it-IT"/>
        </w:rPr>
      </w:pPr>
    </w:p>
    <w:p w:rsidR="003A195E" w:rsidRPr="0077006B" w:rsidRDefault="003A195E" w:rsidP="003A195E">
      <w:pPr>
        <w:pStyle w:val="Paragrafi"/>
        <w:rPr>
          <w:lang w:val="it-IT"/>
        </w:rPr>
      </w:pPr>
      <w:r w:rsidRPr="0077006B">
        <w:rPr>
          <w:lang w:val="it-IT"/>
        </w:rPr>
        <w:t xml:space="preserve"> Gjykata e Rrethit Gjyqësor Krujë</w:t>
      </w:r>
      <w:r>
        <w:rPr>
          <w:lang w:val="it-IT"/>
        </w:rPr>
        <w:t>,</w:t>
      </w:r>
      <w:r w:rsidRPr="0077006B">
        <w:rPr>
          <w:lang w:val="it-IT"/>
        </w:rPr>
        <w:t xml:space="preserve"> me vendimin nr.557, datë 22.10.2002, ka rrëzuar kërkesën e paditëses Hane Tola</w:t>
      </w:r>
      <w:r>
        <w:rPr>
          <w:lang w:val="it-IT"/>
        </w:rPr>
        <w:t>, me objekt</w:t>
      </w:r>
      <w:r w:rsidRPr="0077006B">
        <w:rPr>
          <w:lang w:val="it-IT"/>
        </w:rPr>
        <w:t xml:space="preserve"> pjes</w:t>
      </w:r>
      <w:r>
        <w:rPr>
          <w:lang w:val="it-IT"/>
        </w:rPr>
        <w:t>ë</w:t>
      </w:r>
      <w:r w:rsidRPr="0077006B">
        <w:rPr>
          <w:lang w:val="it-IT"/>
        </w:rPr>
        <w:t>tim të pasurisë trashëgimore.</w:t>
      </w:r>
    </w:p>
    <w:p w:rsidR="003A195E" w:rsidRPr="0077006B" w:rsidRDefault="003A195E" w:rsidP="003A195E">
      <w:pPr>
        <w:pStyle w:val="Paragrafi"/>
        <w:rPr>
          <w:lang w:val="it-IT"/>
        </w:rPr>
      </w:pPr>
      <w:r w:rsidRPr="0077006B">
        <w:rPr>
          <w:lang w:val="it-IT"/>
        </w:rPr>
        <w:t>Mbi ankimin e saj, Gjykata e Apelit Tiran</w:t>
      </w:r>
      <w:r>
        <w:rPr>
          <w:lang w:val="it-IT"/>
        </w:rPr>
        <w:t>ë, me vendimin nr.556, datë 30.</w:t>
      </w:r>
      <w:r w:rsidRPr="0077006B">
        <w:rPr>
          <w:lang w:val="it-IT"/>
        </w:rPr>
        <w:t>4.2003, duke vendosur ndryshimin e vendimit të gjykatës së rrethit, ka pranuar padinë dhe ka lejuar pjes</w:t>
      </w:r>
      <w:r>
        <w:rPr>
          <w:lang w:val="it-IT"/>
        </w:rPr>
        <w:t>ë</w:t>
      </w:r>
      <w:r w:rsidRPr="0077006B">
        <w:rPr>
          <w:lang w:val="it-IT"/>
        </w:rPr>
        <w:t>timin e sipërfaqes së tokës prej 13.644 m</w:t>
      </w:r>
      <w:r w:rsidRPr="009B19FE">
        <w:rPr>
          <w:vertAlign w:val="superscript"/>
          <w:lang w:val="it-IT"/>
        </w:rPr>
        <w:t>2</w:t>
      </w:r>
      <w:r w:rsidRPr="0077006B">
        <w:rPr>
          <w:lang w:val="it-IT"/>
        </w:rPr>
        <w:t xml:space="preserve"> </w:t>
      </w:r>
      <w:r>
        <w:rPr>
          <w:lang w:val="it-IT"/>
        </w:rPr>
        <w:t xml:space="preserve">ndërmjet </w:t>
      </w:r>
      <w:r w:rsidRPr="0077006B">
        <w:rPr>
          <w:lang w:val="it-IT"/>
        </w:rPr>
        <w:t xml:space="preserve">paditëses Hane Tola dhe të paditurve Nafije e Ilir Noga, </w:t>
      </w:r>
      <w:r w:rsidRPr="0077006B">
        <w:rPr>
          <w:lang w:val="it-IT"/>
        </w:rPr>
        <w:lastRenderedPageBreak/>
        <w:t>duke marrë e para ½ pjesë dhe të paditurit nga ¼ pjesë.</w:t>
      </w:r>
    </w:p>
    <w:p w:rsidR="003A195E" w:rsidRPr="0077006B" w:rsidRDefault="003A195E" w:rsidP="003A195E">
      <w:pPr>
        <w:pStyle w:val="Paragrafi"/>
        <w:rPr>
          <w:lang w:val="it-IT"/>
        </w:rPr>
      </w:pPr>
      <w:r w:rsidRPr="0077006B">
        <w:rPr>
          <w:lang w:val="it-IT"/>
        </w:rPr>
        <w:t>Mbi rekursin e bërë nga të paditurit, Kolegji Civil i Gjykatës së Lartë (dhoma e këshilli</w:t>
      </w:r>
      <w:r>
        <w:rPr>
          <w:lang w:val="it-IT"/>
        </w:rPr>
        <w:t>mit), me vendimin nr.689, datë 2.</w:t>
      </w:r>
      <w:r w:rsidRPr="0077006B">
        <w:rPr>
          <w:lang w:val="it-IT"/>
        </w:rPr>
        <w:t>4.2004, ka vendosur mospranimin e tij.</w:t>
      </w:r>
    </w:p>
    <w:p w:rsidR="003A195E" w:rsidRPr="0077006B" w:rsidRDefault="003A195E" w:rsidP="003A195E">
      <w:pPr>
        <w:pStyle w:val="Paragrafi"/>
        <w:rPr>
          <w:lang w:val="it-IT"/>
        </w:rPr>
      </w:pPr>
      <w:r w:rsidRPr="0077006B">
        <w:rPr>
          <w:lang w:val="it-IT"/>
        </w:rPr>
        <w:t>Në kundërshtim me sa kanë pretenduar kërkuesit gjatë shqyrtimit të çështjes në Gjykatën Kushtetuese, është konstatuar se ata nuk i kanë shterur, sipas ligjit, të gjitha mjetet ligjore në interes të tyre. Nga materialet e ndodhura në dosjen gjyqësore, gjatë shqyrtimit të kërkesës, ka rezultuar se kërkuesit, megjithëse kanë ushtruar rekurs përpara Kolegjit Civil të Gjykatës së Lartë, në të vërtetë, në të nuk kanë parashtruar asnjërin nga pretendimet e paraqitura në ankimin kushtetues drejtuar Gjykatës Kushtetuese. Ndryshe nga sa kanë parashtruar para kësaj Gjykate, në rekursin drejtuar Gjykatës së Lartë, kërkuesit kanë pretenduar se gjykata e apelit ka keqinterpretuar aktet ligjore dhe nënligjore lidhur me tokën bujqësore e se ka zbatuar në mënyrë të gabuar vendimin nr.452, datë 17.10.1992 t</w:t>
      </w:r>
      <w:r>
        <w:rPr>
          <w:lang w:val="it-IT"/>
        </w:rPr>
        <w:t>ë Këshillit të Ministrave “Për ristrukturimin e ndërmarrjeve b</w:t>
      </w:r>
      <w:r w:rsidRPr="0077006B">
        <w:rPr>
          <w:lang w:val="it-IT"/>
        </w:rPr>
        <w:t xml:space="preserve">ujqësore”. </w:t>
      </w:r>
    </w:p>
    <w:p w:rsidR="003A195E" w:rsidRPr="0077006B" w:rsidRDefault="003A195E" w:rsidP="003A195E">
      <w:pPr>
        <w:pStyle w:val="Paragrafi"/>
        <w:rPr>
          <w:lang w:val="it-IT"/>
        </w:rPr>
      </w:pPr>
      <w:r w:rsidRPr="0077006B">
        <w:rPr>
          <w:lang w:val="it-IT"/>
        </w:rPr>
        <w:t>Nga përmbajtja e akteve të gjykimit në gjykatën e rrethit, të apelit dhe në rekursin e paraqitur përpara Gjykatës së Lartë, është konstatuar se kërkuesit, pretendimet për përcaktimin e drejtë të vlerës së objekteve të padisë, për gjykatën kompetente dhe për formimin e ndërgjyqësisë, nuk i kanë ngritur para gjykatës së apelit dhe as para Kolegjit Civil të Gjykatës së Lartë, e për rrjedhojë, asnjëra prej tyre nuk është shprehur për këto pretendime.</w:t>
      </w:r>
    </w:p>
    <w:p w:rsidR="003A195E" w:rsidRPr="0077006B" w:rsidRDefault="003A195E" w:rsidP="003A195E">
      <w:pPr>
        <w:pStyle w:val="Paragrafi"/>
        <w:rPr>
          <w:lang w:val="it-IT"/>
        </w:rPr>
      </w:pPr>
      <w:r w:rsidRPr="0077006B">
        <w:rPr>
          <w:lang w:val="it-IT"/>
        </w:rPr>
        <w:t xml:space="preserve">Sipas nenit 131/f të Kushtetutës, individi mund të paraqesë ankim para Gjykatës Kushtetuese për shkeljen e të drejtave kushtetuese për një proces të rregullt ligjor, pasi të jenë shterur të gjitha mjetet juridike për mbrojtjen e tyre. </w:t>
      </w:r>
    </w:p>
    <w:p w:rsidR="003A195E" w:rsidRPr="0077006B" w:rsidRDefault="003A195E" w:rsidP="003A195E">
      <w:pPr>
        <w:pStyle w:val="Paragrafi"/>
        <w:rPr>
          <w:lang w:val="it-IT"/>
        </w:rPr>
      </w:pPr>
      <w:r w:rsidRPr="0077006B">
        <w:rPr>
          <w:lang w:val="it-IT"/>
        </w:rPr>
        <w:t>Lidhur me këtë, Gjykata Kushtetuese</w:t>
      </w:r>
      <w:r>
        <w:rPr>
          <w:lang w:val="it-IT"/>
        </w:rPr>
        <w:t>, në vendimin e saj nr.10, datë 2.</w:t>
      </w:r>
      <w:r w:rsidRPr="0077006B">
        <w:rPr>
          <w:lang w:val="it-IT"/>
        </w:rPr>
        <w:t>4.2003, ka pranuar se “Sipas kuptimit të nenit 131/f të Kushtetutës, mbrojtja kushtetuese ka një funksion përfundimtar që do të thotë se mund të aplokohet vetë në lidhje me vendime për të cilat kanë marrë fund procedurat gjyqësore. Prandaj, shkelja e të drejtave kushtetuese për një proces të rregullt ligjor mund të pretendohet në këtë Gjykatë vetëm pas ezaurimit të të gjitha mundësive që ofron sistemi i padive dhe i aplikimeve”.</w:t>
      </w:r>
      <w:r w:rsidRPr="009B19FE">
        <w:rPr>
          <w:vertAlign w:val="superscript"/>
        </w:rPr>
        <w:footnoteReference w:id="1"/>
      </w:r>
    </w:p>
    <w:p w:rsidR="003A195E" w:rsidRPr="0077006B" w:rsidRDefault="003A195E" w:rsidP="003A195E">
      <w:pPr>
        <w:pStyle w:val="Paragrafi"/>
        <w:rPr>
          <w:lang w:val="it-IT"/>
        </w:rPr>
      </w:pPr>
      <w:r w:rsidRPr="0077006B">
        <w:rPr>
          <w:lang w:val="it-IT"/>
        </w:rPr>
        <w:t>Veç kësaj, në kuptim të nenit 131/f të Kushtetutës, mbrojtja kushtetuese për një proces të rregullt ligjor, nënkupton jo vetëm ezaurimin e të gjitha mundësive që ofron sistemi i padive dhe i aplikimeve, por edhe konsumimin si rregull para gjykatave të sistemit gjyqësor të çdo pretendimi ligjor që parashtrohet si shkak shfuqizimi në kërkesën drejtuar Gjykatës Kushtetuese. Përjashtimi nga ky rregull mund të bëhet në ato raste kur Gjykata Kushtetuese, gjatë shqyrtimit të çështjes, gjen shkaqe të arsyeshme në përputhje</w:t>
      </w:r>
      <w:r>
        <w:rPr>
          <w:lang w:val="it-IT"/>
        </w:rPr>
        <w:t xml:space="preserve"> me Kushtetutën dhe Konventën Eu</w:t>
      </w:r>
      <w:r w:rsidRPr="0077006B">
        <w:rPr>
          <w:lang w:val="it-IT"/>
        </w:rPr>
        <w:t>ropiane për të Drejtat e Njeriut.</w:t>
      </w:r>
    </w:p>
    <w:p w:rsidR="003A195E" w:rsidRPr="0077006B" w:rsidRDefault="003A195E" w:rsidP="003A195E">
      <w:pPr>
        <w:pStyle w:val="Paragrafi"/>
        <w:rPr>
          <w:lang w:val="it-IT"/>
        </w:rPr>
      </w:pPr>
      <w:r w:rsidRPr="0077006B">
        <w:rPr>
          <w:lang w:val="it-IT"/>
        </w:rPr>
        <w:t>Nisur nga ky kuptim</w:t>
      </w:r>
      <w:r>
        <w:rPr>
          <w:lang w:val="it-IT"/>
        </w:rPr>
        <w:t>,</w:t>
      </w:r>
      <w:r w:rsidRPr="0077006B">
        <w:rPr>
          <w:lang w:val="it-IT"/>
        </w:rPr>
        <w:t xml:space="preserve"> si dhe nga rrethanat e rastit konkret që k</w:t>
      </w:r>
      <w:r>
        <w:rPr>
          <w:lang w:val="it-IT"/>
        </w:rPr>
        <w:t>ërkuesit nuk kanë pas</w:t>
      </w:r>
      <w:r w:rsidRPr="0077006B">
        <w:rPr>
          <w:lang w:val="it-IT"/>
        </w:rPr>
        <w:t>ur asnjë pengesë për të parashtruar pretendimet e lartpërmendura në gjykatat e sistemit gjyqësor, Gjykata Kushtetuese arrin në përfundimin se ky pretendim, i ngritur vetëm para kësaj gjykate, nuk mund të shërbejë si shkak për shfuqizimin e vendimeve të atakuara në kërkesë.</w:t>
      </w:r>
    </w:p>
    <w:p w:rsidR="003A195E" w:rsidRPr="0077006B" w:rsidRDefault="003A195E" w:rsidP="003A195E">
      <w:pPr>
        <w:pStyle w:val="Paragrafi"/>
        <w:rPr>
          <w:lang w:val="it-IT"/>
        </w:rPr>
      </w:pPr>
      <w:r w:rsidRPr="0077006B">
        <w:rPr>
          <w:lang w:val="it-IT"/>
        </w:rPr>
        <w:t>Përsa sipër, kërkesa e kërkuesve duhet të rrëzohet si e pabazuar.</w:t>
      </w:r>
    </w:p>
    <w:p w:rsidR="003A195E" w:rsidRPr="0077006B" w:rsidRDefault="003A195E" w:rsidP="003A195E">
      <w:pPr>
        <w:pStyle w:val="Paragrafi"/>
        <w:rPr>
          <w:lang w:val="it-IT"/>
        </w:rPr>
      </w:pPr>
    </w:p>
    <w:p w:rsidR="003A195E" w:rsidRDefault="003A195E" w:rsidP="003A195E">
      <w:pPr>
        <w:pStyle w:val="VENDOSI"/>
      </w:pPr>
      <w:r>
        <w:t>PËR KË</w:t>
      </w:r>
      <w:r w:rsidRPr="00B019D9">
        <w:t>TO ARSY</w:t>
      </w:r>
      <w:r>
        <w:t>E,</w:t>
      </w:r>
    </w:p>
    <w:p w:rsidR="003A195E" w:rsidRPr="00B019D9" w:rsidRDefault="003A195E" w:rsidP="003A195E">
      <w:pPr>
        <w:pStyle w:val="Paragrafi"/>
      </w:pPr>
    </w:p>
    <w:p w:rsidR="003A195E" w:rsidRPr="00B019D9" w:rsidRDefault="003A195E" w:rsidP="003A195E">
      <w:pPr>
        <w:pStyle w:val="Paragrafi"/>
      </w:pPr>
      <w:r w:rsidRPr="00B019D9">
        <w:t>Gjykata Kushtetuese e Republikës së Shqipërisë, në bazë të nenit 131/f të Kushtetutës</w:t>
      </w:r>
      <w:r>
        <w:t>,</w:t>
      </w:r>
      <w:r w:rsidRPr="00B019D9">
        <w:t xml:space="preserve"> si dhe neneve 72 e vij</w:t>
      </w:r>
      <w:r>
        <w:t>ues të ligjit nr.8577, datë 10.</w:t>
      </w:r>
      <w:r w:rsidRPr="00B019D9">
        <w:t xml:space="preserve">2.2000 “Për organizimin dhe funksionimin e Gjykatës Kushtetuese të Republikës së Shqipërisë”, njëzëri, </w:t>
      </w:r>
    </w:p>
    <w:p w:rsidR="003A195E" w:rsidRPr="00B019D9" w:rsidRDefault="003A195E" w:rsidP="003A195E">
      <w:pPr>
        <w:pStyle w:val="Paragrafi"/>
      </w:pPr>
    </w:p>
    <w:p w:rsidR="003A195E" w:rsidRDefault="003A195E" w:rsidP="003A195E">
      <w:pPr>
        <w:pStyle w:val="VENDOSI"/>
      </w:pPr>
      <w:r>
        <w:t>VENDOS</w:t>
      </w:r>
      <w:r w:rsidRPr="0077006B">
        <w:t>I:</w:t>
      </w:r>
    </w:p>
    <w:p w:rsidR="003A195E" w:rsidRPr="0077006B" w:rsidRDefault="003A195E" w:rsidP="003A195E">
      <w:pPr>
        <w:pStyle w:val="Paragrafi"/>
        <w:rPr>
          <w:lang w:val="it-IT"/>
        </w:rPr>
      </w:pPr>
    </w:p>
    <w:p w:rsidR="003A195E" w:rsidRPr="0077006B" w:rsidRDefault="003A195E" w:rsidP="003A195E">
      <w:pPr>
        <w:pStyle w:val="Paragrafi"/>
        <w:rPr>
          <w:lang w:val="it-IT"/>
        </w:rPr>
      </w:pPr>
      <w:r w:rsidRPr="0077006B">
        <w:rPr>
          <w:lang w:val="it-IT"/>
        </w:rPr>
        <w:t>- Rrëzimin e kërkesës.</w:t>
      </w:r>
    </w:p>
    <w:p w:rsidR="003A195E" w:rsidRDefault="003A195E" w:rsidP="003A195E">
      <w:pPr>
        <w:pStyle w:val="Paragrafi"/>
        <w:rPr>
          <w:lang w:val="it-IT"/>
        </w:rPr>
      </w:pPr>
      <w:r w:rsidRPr="0077006B">
        <w:rPr>
          <w:lang w:val="it-IT"/>
        </w:rPr>
        <w:t>- Ky vendim është përfundimtar, i formës së prerë dhe hyn në fuqi ditën e botimit në Fletoren Zyrtare.</w:t>
      </w:r>
    </w:p>
    <w:sectPr w:rsidR="003A195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87432">
      <w:r>
        <w:separator/>
      </w:r>
    </w:p>
  </w:endnote>
  <w:endnote w:type="continuationSeparator" w:id="0">
    <w:p w:rsidR="00000000" w:rsidRDefault="0008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87432">
      <w:r>
        <w:separator/>
      </w:r>
    </w:p>
  </w:footnote>
  <w:footnote w:type="continuationSeparator" w:id="0">
    <w:p w:rsidR="00000000" w:rsidRDefault="00087432">
      <w:r>
        <w:continuationSeparator/>
      </w:r>
    </w:p>
  </w:footnote>
  <w:footnote w:id="1">
    <w:p w:rsidR="003A195E" w:rsidRDefault="003A195E" w:rsidP="003A195E">
      <w:pPr>
        <w:pStyle w:val="FootnoteText"/>
        <w:rPr>
          <w:lang w:val="sq-AL"/>
        </w:rPr>
      </w:pPr>
      <w:r>
        <w:rPr>
          <w:rStyle w:val="FootnoteReference"/>
        </w:rPr>
        <w:footnoteRef/>
      </w:r>
      <w:r w:rsidRPr="0077006B">
        <w:rPr>
          <w:lang w:val="it-IT"/>
        </w:rPr>
        <w:t xml:space="preserve"> </w:t>
      </w:r>
      <w:r>
        <w:rPr>
          <w:lang w:val="sq-AL"/>
        </w:rPr>
        <w:t>Vendimi i</w:t>
      </w:r>
      <w:r w:rsidRPr="0077006B">
        <w:rPr>
          <w:lang w:val="it-IT"/>
        </w:rPr>
        <w:t xml:space="preserve"> </w:t>
      </w:r>
      <w:r>
        <w:rPr>
          <w:lang w:val="sq-AL"/>
        </w:rPr>
        <w:t>Gjykatës Kushtetuese nr.10, datë 2.4.2003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87432"/>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A195E"/>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E0B9B0C-44C3-432C-ABF1-C1BE1A138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semiHidden/>
    <w:rsid w:val="003A195E"/>
    <w:pPr>
      <w:widowControl/>
    </w:pPr>
    <w:rPr>
      <w:rFonts w:ascii="Times New Roman" w:hAnsi="Times New Roman"/>
      <w:noProof w:val="0"/>
      <w:sz w:val="20"/>
      <w:szCs w:val="20"/>
      <w:lang w:val="en-US"/>
    </w:rPr>
  </w:style>
  <w:style w:type="character" w:styleId="FootnoteReference">
    <w:name w:val="footnote reference"/>
    <w:basedOn w:val="DefaultParagraphFont"/>
    <w:semiHidden/>
    <w:rsid w:val="003A19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972</Words>
  <Characters>5542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2019-03-16T14:18:00Z</dcterms:created>
  <dcterms:modified xsi:type="dcterms:W3CDTF">2019-03-16T14:18:00Z</dcterms:modified>
</cp:coreProperties>
</file>