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68" w:rsidRDefault="00265A68" w:rsidP="00265A68">
      <w:pPr>
        <w:pStyle w:val="Akti"/>
      </w:pPr>
      <w:bookmarkStart w:id="0" w:name="_GoBack"/>
      <w:bookmarkEnd w:id="0"/>
      <w:r>
        <w:t>VENDI</w:t>
      </w:r>
      <w:r w:rsidRPr="002D10F3">
        <w:t>M</w:t>
      </w:r>
    </w:p>
    <w:p w:rsidR="00265A68" w:rsidRPr="001A0629" w:rsidRDefault="00265A68" w:rsidP="00265A68">
      <w:pPr>
        <w:pStyle w:val="NumriData"/>
      </w:pPr>
      <w:r>
        <w:t>Nr.11, datë 18.</w:t>
      </w:r>
      <w:r w:rsidRPr="002D10F3">
        <w:t>5.2005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Pr="00656173" w:rsidRDefault="00265A68" w:rsidP="00656173">
      <w:pPr>
        <w:pStyle w:val="Titulli"/>
        <w:rPr>
          <w:b w:val="0"/>
        </w:rPr>
      </w:pPr>
      <w:r w:rsidRPr="00656173">
        <w:rPr>
          <w:b w:val="0"/>
        </w:rPr>
        <w:t>NË EMËR TË REPUBLIKËS SË SHQIPËRISË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Gjykata Kushtetuese e Republikës së Shqipërisë, e përbërë nga: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Gjergj Sauli</w:t>
      </w:r>
      <w:r w:rsidRPr="002D10F3">
        <w:rPr>
          <w:lang w:val="it-IT"/>
        </w:rPr>
        <w:tab/>
      </w:r>
      <w:r w:rsidRPr="002D10F3">
        <w:rPr>
          <w:lang w:val="it-IT"/>
        </w:rPr>
        <w:tab/>
        <w:t xml:space="preserve">Kryetar  i Gjykatës Kushtetuese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Alfred Karamuço</w:t>
      </w:r>
      <w:r w:rsidRPr="002D10F3">
        <w:rPr>
          <w:lang w:val="it-IT"/>
        </w:rPr>
        <w:tab/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 xml:space="preserve">“  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Fehmi Abdiu</w:t>
      </w:r>
      <w:r w:rsidRPr="002D10F3">
        <w:rPr>
          <w:lang w:val="it-IT"/>
        </w:rPr>
        <w:tab/>
      </w:r>
      <w:r w:rsidRPr="002D10F3">
        <w:rPr>
          <w:lang w:val="it-IT"/>
        </w:rPr>
        <w:tab/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>“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Kristofor Peçi</w:t>
      </w:r>
      <w:r w:rsidRPr="002D10F3">
        <w:rPr>
          <w:lang w:val="it-IT"/>
        </w:rPr>
        <w:tab/>
      </w:r>
      <w:r w:rsidRPr="002D10F3">
        <w:rPr>
          <w:lang w:val="it-IT"/>
        </w:rPr>
        <w:tab/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 xml:space="preserve">“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Vjollca Meçaj</w:t>
      </w:r>
      <w:r w:rsidRPr="002D10F3">
        <w:rPr>
          <w:lang w:val="it-IT"/>
        </w:rPr>
        <w:tab/>
      </w:r>
      <w:r w:rsidRPr="002D10F3">
        <w:rPr>
          <w:lang w:val="it-IT"/>
        </w:rPr>
        <w:tab/>
        <w:t>Anëtare e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>“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Xhezair Zaganjori</w:t>
      </w:r>
      <w:r w:rsidRPr="002D10F3">
        <w:rPr>
          <w:lang w:val="it-IT"/>
        </w:rPr>
        <w:tab/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 xml:space="preserve">“  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2D10F3">
        <w:rPr>
          <w:lang w:val="it-IT"/>
        </w:rPr>
        <w:tab/>
      </w:r>
      <w:r w:rsidRPr="002D10F3">
        <w:rPr>
          <w:lang w:val="it-IT"/>
        </w:rPr>
        <w:tab/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 xml:space="preserve">“  </w:t>
      </w:r>
    </w:p>
    <w:p w:rsidR="00265A68" w:rsidRDefault="00265A68" w:rsidP="00265A68">
      <w:pPr>
        <w:pStyle w:val="Paragrafi"/>
        <w:rPr>
          <w:lang w:val="it-IT"/>
        </w:rPr>
      </w:pPr>
      <w:r>
        <w:rPr>
          <w:lang w:val="it-IT"/>
        </w:rPr>
        <w:t>Sokol Sadushi</w:t>
      </w:r>
      <w:r w:rsidRPr="002D10F3">
        <w:rPr>
          <w:lang w:val="it-IT"/>
        </w:rPr>
        <w:tab/>
      </w:r>
      <w:r>
        <w:rPr>
          <w:lang w:val="it-IT"/>
        </w:rPr>
        <w:tab/>
      </w:r>
      <w:r w:rsidRPr="002D10F3">
        <w:rPr>
          <w:lang w:val="it-IT"/>
        </w:rPr>
        <w:t>Anëtar   i</w:t>
      </w:r>
      <w:r w:rsidRPr="002D10F3">
        <w:rPr>
          <w:lang w:val="it-IT"/>
        </w:rPr>
        <w:tab/>
        <w:t>“</w:t>
      </w:r>
      <w:r w:rsidRPr="002D10F3">
        <w:rPr>
          <w:lang w:val="it-IT"/>
        </w:rPr>
        <w:tab/>
        <w:t>“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me sekretare Arbenka Lalica, në datat 8.</w:t>
      </w:r>
      <w:r>
        <w:rPr>
          <w:lang w:val="it-IT"/>
        </w:rPr>
        <w:t>2.2005, 1.</w:t>
      </w:r>
      <w:r w:rsidRPr="002D10F3">
        <w:rPr>
          <w:lang w:val="it-IT"/>
        </w:rPr>
        <w:t>8.2005, mori në shqyrtim në seancë gjyqësore me dyer të hapura çështjen nr.19 Akti që i përket:</w:t>
      </w:r>
    </w:p>
    <w:p w:rsidR="00265A68" w:rsidRDefault="00265A68" w:rsidP="00265A68">
      <w:pPr>
        <w:pStyle w:val="Paragrafi"/>
        <w:ind w:firstLine="0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KËRKUES: 1. RAM META, PETRIT KUKA</w:t>
      </w:r>
      <w:r w:rsidRPr="002D10F3">
        <w:rPr>
          <w:lang w:val="it-IT"/>
        </w:rPr>
        <w:t xml:space="preserve"> etj., përfaqësuar nga avokat Abaz Brati me prokurë.  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2</w:t>
      </w:r>
      <w:r>
        <w:rPr>
          <w:lang w:val="it-IT"/>
        </w:rPr>
        <w:t>. KOMUNA DAJT, përfaqësuar nga k</w:t>
      </w:r>
      <w:r w:rsidRPr="002D10F3">
        <w:rPr>
          <w:lang w:val="it-IT"/>
        </w:rPr>
        <w:t>ryetari i saj, Besim Kuka.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SUBJEKTE TË INTERESUARA: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1. FARUK BOROVA</w:t>
      </w:r>
      <w:r w:rsidRPr="002D10F3">
        <w:rPr>
          <w:lang w:val="it-IT"/>
        </w:rPr>
        <w:t xml:space="preserve"> etj., përfaqësuar nga avokat Viktor Konomi, me prokurë.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2. KOMISIONI I KTHIMIT DHE KOMPENSIMIT TË PRONAVE PRANË KËSHILLIT TË QARKUT TIRANË, përfaqësuar nga Isuf Demirxhiu e Fardinand Mino, me autorizim.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3. KËSHILLI I QARKUT TIRANË, përfaqësuar nga Isuf Demirxhiu e Fardinand Mino, me autorizim.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4. KËSHILLI I RREGULLIMIT TË TERRITORIT TIRANË </w:t>
      </w:r>
    </w:p>
    <w:p w:rsidR="00265A68" w:rsidRPr="002D10F3" w:rsidRDefault="00265A68" w:rsidP="00265A68">
      <w:pPr>
        <w:pStyle w:val="Paragrafi"/>
        <w:rPr>
          <w:lang w:val="it-IT"/>
        </w:rPr>
      </w:pPr>
      <w:r>
        <w:rPr>
          <w:lang w:val="it-IT"/>
        </w:rPr>
        <w:t>OBJEKTI: Shfuqizimi</w:t>
      </w:r>
      <w:r w:rsidRPr="002D10F3">
        <w:rPr>
          <w:lang w:val="it-IT"/>
        </w:rPr>
        <w:t xml:space="preserve"> si antikushtet</w:t>
      </w:r>
      <w:r>
        <w:rPr>
          <w:lang w:val="it-IT"/>
        </w:rPr>
        <w:t>ues i vendimit nr.454, datë 27.</w:t>
      </w:r>
      <w:r w:rsidRPr="002D10F3">
        <w:rPr>
          <w:lang w:val="it-IT"/>
        </w:rPr>
        <w:t>2.2003 të Kolegjit Civil të Gjykatës së Lartë.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Kërkuesit kanë pretenduar përpara Gjykatës Kushtetuese se vendimi i Kolegjit Civil të Gjykatës së Lartë është rrjedhojë e zhvillimit të një procesi të parregullt ligjor. Ata kanë parashtruar këto shkaqe për shfuqizimin e këtij vendimi si antikushtetues: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- Në Gjykatën e Lartë gjykimi i çështjes është zhvilluar pa dijeninë e kërkuesve, si dhe në mungesë të avokatit të tyre. Rekursi i paraqitur ndaj vendimit të Gjykatës së Apelit Tiranë nuk u ësht</w:t>
      </w:r>
      <w:r>
        <w:rPr>
          <w:lang w:val="it-IT"/>
        </w:rPr>
        <w:t>ë komunikuar të paditurve-kundërpaditës.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- Vendimi i Gjykatës së Apelit Tiran</w:t>
      </w:r>
      <w:r>
        <w:rPr>
          <w:lang w:val="it-IT"/>
        </w:rPr>
        <w:t>ë është shpallur në mungesë të k</w:t>
      </w:r>
      <w:r w:rsidRPr="002D10F3">
        <w:rPr>
          <w:lang w:val="it-IT"/>
        </w:rPr>
        <w:t xml:space="preserve">omunës Dajt. Vendimi i Gjykatës së Apelit Tiranë, si dhe </w:t>
      </w:r>
      <w:r>
        <w:rPr>
          <w:lang w:val="it-IT"/>
        </w:rPr>
        <w:t>rekursi nuk i është komunikuar komunës Dajt.</w:t>
      </w:r>
      <w:r w:rsidRPr="002D10F3">
        <w:rPr>
          <w:lang w:val="it-IT"/>
        </w:rPr>
        <w:t xml:space="preserve"> </w:t>
      </w: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- Mungesa e komunikimit të rekursit u ka hequr mundësin</w:t>
      </w:r>
      <w:r>
        <w:rPr>
          <w:lang w:val="it-IT"/>
        </w:rPr>
        <w:t>ë kërkuesve të ushtrojnë kundër</w:t>
      </w:r>
      <w:r w:rsidRPr="002D10F3">
        <w:rPr>
          <w:lang w:val="it-IT"/>
        </w:rPr>
        <w:t>ekurs dhe të real</w:t>
      </w:r>
      <w:r>
        <w:rPr>
          <w:lang w:val="it-IT"/>
        </w:rPr>
        <w:t>izojnë parimin e s</w:t>
      </w:r>
      <w:r w:rsidRPr="002D10F3">
        <w:rPr>
          <w:lang w:val="it-IT"/>
        </w:rPr>
        <w:t>ë drejtës së mbrojtjes e të kontradiktoritetit në gjykim.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 </w:t>
      </w:r>
    </w:p>
    <w:p w:rsidR="00265A68" w:rsidRDefault="00265A68" w:rsidP="00265A68">
      <w:pPr>
        <w:pStyle w:val="Institucioni"/>
      </w:pPr>
      <w:r w:rsidRPr="002D10F3">
        <w:t>GJYKATA KUSHTETUESE,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pasi dëgjoi relatorin e çështjes Sokol Sadushi, përfaqësuesit e kërkuesve, të subjekteve të interesuara dhe shqyrtoi çështjen në tërësi,</w:t>
      </w:r>
    </w:p>
    <w:p w:rsidR="00265A68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VENDOSI"/>
      </w:pPr>
      <w:r>
        <w:t>VËRE</w:t>
      </w:r>
      <w:r w:rsidRPr="002D10F3">
        <w:t>N: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Gjykata e Rrethit Gjyqësor Tiran</w:t>
      </w:r>
      <w:r>
        <w:rPr>
          <w:lang w:val="it-IT"/>
        </w:rPr>
        <w:t>ë me vendimin nr.1559, datë 18.</w:t>
      </w:r>
      <w:r w:rsidRPr="002D10F3">
        <w:rPr>
          <w:lang w:val="it-IT"/>
        </w:rPr>
        <w:t xml:space="preserve">5.1999 ka pranuar padinë </w:t>
      </w:r>
      <w:r w:rsidRPr="002D10F3">
        <w:rPr>
          <w:lang w:val="it-IT"/>
        </w:rPr>
        <w:lastRenderedPageBreak/>
        <w:t>duke njohur si pronarë të një trualli trashëgimtarët e Ymer e Adem Borovës, detyrimin e anës së paditur të lirojë truallin</w:t>
      </w:r>
      <w:r>
        <w:rPr>
          <w:lang w:val="it-IT"/>
        </w:rPr>
        <w:t>,</w:t>
      </w:r>
      <w:r w:rsidRPr="002D10F3">
        <w:rPr>
          <w:lang w:val="it-IT"/>
        </w:rPr>
        <w:t xml:space="preserve"> si dhe rrëzimin e kundërpadisë.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Gjykata e Apelit Tir</w:t>
      </w:r>
      <w:r>
        <w:rPr>
          <w:lang w:val="it-IT"/>
        </w:rPr>
        <w:t>anë, me vendimin nr.11, datë 20.</w:t>
      </w:r>
      <w:r w:rsidRPr="002D10F3">
        <w:rPr>
          <w:lang w:val="it-IT"/>
        </w:rPr>
        <w:t>3.2001</w:t>
      </w:r>
      <w:r>
        <w:rPr>
          <w:lang w:val="it-IT"/>
        </w:rPr>
        <w:t>,</w:t>
      </w:r>
      <w:r w:rsidRPr="002D10F3">
        <w:rPr>
          <w:lang w:val="it-IT"/>
        </w:rPr>
        <w:t xml:space="preserve"> ka vendosur rrëzimin e padisë dhe pranimin e kundërpadisë. Mbi bazën e rekursit të paraqitur nga paditësit, Kolegji Civil i Gjykatës së Lar</w:t>
      </w:r>
      <w:r>
        <w:rPr>
          <w:lang w:val="it-IT"/>
        </w:rPr>
        <w:t>të, me vendimin nr.454, datë 27.</w:t>
      </w:r>
      <w:r w:rsidRPr="002D10F3">
        <w:rPr>
          <w:lang w:val="it-IT"/>
        </w:rPr>
        <w:t>2.2003</w:t>
      </w:r>
      <w:r>
        <w:rPr>
          <w:lang w:val="it-IT"/>
        </w:rPr>
        <w:t>,</w:t>
      </w:r>
      <w:r w:rsidRPr="002D10F3">
        <w:rPr>
          <w:lang w:val="it-IT"/>
        </w:rPr>
        <w:t xml:space="preserve"> ka ndryshuar vendimin e Gjykatës së Apelit Tiranë duke pranuar padinë dhe rrëzuar kundërpadinë.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Kërkuesit, të cilët kanë qenë në pozitën procedurale të të paditurit-kundërpaditës në këtë proces, pretendojnë se gjykimi i zhvi</w:t>
      </w:r>
      <w:r>
        <w:rPr>
          <w:lang w:val="it-IT"/>
        </w:rPr>
        <w:t>lluar në Gjykatën e Lartë pa pas</w:t>
      </w:r>
      <w:r w:rsidRPr="002D10F3">
        <w:rPr>
          <w:lang w:val="it-IT"/>
        </w:rPr>
        <w:t xml:space="preserve">ur dijeni, si dhe në mungesë të avokatit të </w:t>
      </w:r>
      <w:r>
        <w:rPr>
          <w:lang w:val="it-IT"/>
        </w:rPr>
        <w:t>caktuar prej tyre, ka ce</w:t>
      </w:r>
      <w:r w:rsidRPr="002D10F3">
        <w:rPr>
          <w:lang w:val="it-IT"/>
        </w:rPr>
        <w:t>nuar të drejtën për një proces të rregullt ligjor.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Pretendimi kryesor i kërkuesve që lidhet me padijeninë e palëve për zhvillimin e një procesi gjyqësor, për arsye të moskomunikimit të rekursit, është trajtuar gjerësisht nga Gjykata Kushtetuese si një </w:t>
      </w:r>
      <w:r>
        <w:rPr>
          <w:lang w:val="it-IT"/>
        </w:rPr>
        <w:t>ndër aspektet e rëndësishme të s</w:t>
      </w:r>
      <w:r w:rsidRPr="002D10F3">
        <w:rPr>
          <w:lang w:val="it-IT"/>
        </w:rPr>
        <w:t>ë drejtës për një proces të rregullt ligjor. Zhvillimi i procesit gjyqësor në mungesë të palës ndërgjyqëse ë</w:t>
      </w:r>
      <w:r>
        <w:rPr>
          <w:lang w:val="it-IT"/>
        </w:rPr>
        <w:t>shtë e lidhur ngushtësisht me ce</w:t>
      </w:r>
      <w:r w:rsidRPr="002D10F3">
        <w:rPr>
          <w:lang w:val="it-IT"/>
        </w:rPr>
        <w:t>nimin e disa të drejtave të tjera kushtetuese</w:t>
      </w:r>
      <w:r>
        <w:rPr>
          <w:lang w:val="it-IT"/>
        </w:rPr>
        <w:t>,</w:t>
      </w:r>
      <w:r w:rsidRPr="002D10F3">
        <w:rPr>
          <w:lang w:val="it-IT"/>
        </w:rPr>
        <w:t xml:space="preserve"> si dhe me vetë drejtësinë e procesit.        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E drejta e shtetasve për t’u mbrojtur është një ndër këto të drejta, e përbën thelbin e konceptit që jurisprudenca kushtetuese ka krijuar për procesin e rregullt ligjor. E drejta për të qenë i pranishëm në gjykim është një pjes</w:t>
      </w:r>
      <w:r>
        <w:rPr>
          <w:lang w:val="it-IT"/>
        </w:rPr>
        <w:t>ë përbërëse e s</w:t>
      </w:r>
      <w:r w:rsidRPr="002D10F3">
        <w:rPr>
          <w:lang w:val="it-IT"/>
        </w:rPr>
        <w:t>ë drejtës për t’u mbrojtur. Kjo e drejtë i ngarkon autoritetet me detyrat që të njoftojnë palët dhe mbrojtësit e tyre, në kohë të mjaftueshme, për datën dhe vendin e mbajtjes së procedurave gjyqësore, për të kërkuar praninë e tyre dhe për të mos i përjashtuar padrejtësisht nga gjykimi. “Kjo është një praktikë tashmë e njohur dhe e konsoliduar e Gjykat</w:t>
      </w:r>
      <w:r>
        <w:rPr>
          <w:lang w:val="it-IT"/>
        </w:rPr>
        <w:t>ës Kushtetuese dhe e Gjykatës Eu</w:t>
      </w:r>
      <w:r w:rsidRPr="002D10F3">
        <w:rPr>
          <w:lang w:val="it-IT"/>
        </w:rPr>
        <w:t>ropiane p</w:t>
      </w:r>
      <w:r>
        <w:rPr>
          <w:lang w:val="it-IT"/>
        </w:rPr>
        <w:t>ër të Drejtat e Njeriut, sipas s</w:t>
      </w:r>
      <w:r w:rsidRPr="002D10F3">
        <w:rPr>
          <w:lang w:val="it-IT"/>
        </w:rPr>
        <w:t>ë cilës do të ishte pa vlerë përshkrimi në detaje i garancive procedurale të palëve në proces, në rast se atyre nuk do t’u sigurohej ajo që në fakt bën të mundur respektimin e këtyre të drejtave dhe që është pjesëmarrja në gjykim.”</w:t>
      </w:r>
      <w:r w:rsidRPr="007B4E39">
        <w:rPr>
          <w:vertAlign w:val="superscript"/>
        </w:rPr>
        <w:footnoteReference w:id="1"/>
      </w:r>
      <w:r w:rsidRPr="007B4E39">
        <w:rPr>
          <w:vertAlign w:val="superscript"/>
          <w:lang w:val="it-IT"/>
        </w:rPr>
        <w:t xml:space="preserve">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Garancitë që ofron Kushtetuta e Republikës së Shqipërisë, në analizë dhe të nenit 6 të Konven</w:t>
      </w:r>
      <w:r>
        <w:rPr>
          <w:lang w:val="it-IT"/>
        </w:rPr>
        <w:t>tës Eu</w:t>
      </w:r>
      <w:r w:rsidRPr="002D10F3">
        <w:rPr>
          <w:lang w:val="it-IT"/>
        </w:rPr>
        <w:t>ropiane për të Drejtat e Njeriut, të cilat lidhen me njoftimin e rek</w:t>
      </w:r>
      <w:r>
        <w:rPr>
          <w:lang w:val="it-IT"/>
        </w:rPr>
        <w:t>ursit palëve, me respektimin e s</w:t>
      </w:r>
      <w:r w:rsidRPr="002D10F3">
        <w:rPr>
          <w:lang w:val="it-IT"/>
        </w:rPr>
        <w:t>ë drejtës për t’u dëgjuar në një proces kontradiktoriteti, kur janë vërejtur nga Gjykata Kushtetuese</w:t>
      </w:r>
      <w:r>
        <w:rPr>
          <w:lang w:val="it-IT"/>
        </w:rPr>
        <w:t xml:space="preserve"> se janë shkelur, kanë sjellë ce</w:t>
      </w:r>
      <w:r w:rsidRPr="002D10F3">
        <w:rPr>
          <w:lang w:val="it-IT"/>
        </w:rPr>
        <w:t xml:space="preserve">nimin e të gjithë procesit dhe shfuqizimin e vendimeve gjyqësore si antikushtetuese.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Nga shqyrtimi në procesin kushtetues i çështjes konkrete rezulton se gjykimi në Gjykatën e Lartë është zhvilluar në mungesë të kërkuesve. Çështja në Gjykatën e Apelit Tiranë është zgjidhur në favor të tyre dhe mbi këtë bazë rekursi i paraqitur nga pala kundërshtare duhej t’u komunikohej, me qëllim realizimin e të drejtave të tyre kushtetuese. Nga dosja gjyqësore nuk rezulton që kërkuesit dhe avokatët e tyre të jenë vënë në dijeni për rekursin e paraqitur nga subjektet e interesuara në Gjykatën e Lartë. Në këto kushte vërtetohet se procesi gjyqësor në Gjykatë</w:t>
      </w:r>
      <w:r>
        <w:rPr>
          <w:lang w:val="it-IT"/>
        </w:rPr>
        <w:t>n e Lartë është zhvilluar pa pas</w:t>
      </w:r>
      <w:r w:rsidRPr="002D10F3">
        <w:rPr>
          <w:lang w:val="it-IT"/>
        </w:rPr>
        <w:t xml:space="preserve">ur dijeni kërkuesit si dhe avokatët e tyre.    </w:t>
      </w: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Përfundimisht, Gjykata Kushtetuese çmon se kërkesa e paraqitur nga kërkuesit ës</w:t>
      </w:r>
      <w:r>
        <w:rPr>
          <w:lang w:val="it-IT"/>
        </w:rPr>
        <w:t>htë e drejtë, për arsye se ka ce</w:t>
      </w:r>
      <w:r w:rsidRPr="002D10F3">
        <w:rPr>
          <w:lang w:val="it-IT"/>
        </w:rPr>
        <w:t xml:space="preserve">nuar të drejtën për një proces të rregullt ligjor, parashikuar nga neni </w:t>
      </w:r>
      <w:r>
        <w:rPr>
          <w:lang w:val="it-IT"/>
        </w:rPr>
        <w:t>42 i Kushtetutës së Republikës t</w:t>
      </w:r>
      <w:r w:rsidRPr="002D10F3">
        <w:rPr>
          <w:lang w:val="it-IT"/>
        </w:rPr>
        <w:t>ë Shqi</w:t>
      </w:r>
      <w:r>
        <w:rPr>
          <w:lang w:val="it-IT"/>
        </w:rPr>
        <w:t>përisë dhe neni 6 i Konventës Eu</w:t>
      </w:r>
      <w:r w:rsidRPr="002D10F3">
        <w:rPr>
          <w:lang w:val="it-IT"/>
        </w:rPr>
        <w:t>ropiane për të Drejtat e Njeriut.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VENDOSI"/>
      </w:pPr>
      <w:r>
        <w:t>PËR KË</w:t>
      </w:r>
      <w:r w:rsidRPr="002D10F3">
        <w:t>TO ARSYE,</w:t>
      </w: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Gjykata Kushtetuese e Republikës së Shqipërisë</w:t>
      </w:r>
      <w:r>
        <w:rPr>
          <w:lang w:val="it-IT"/>
        </w:rPr>
        <w:t>,</w:t>
      </w:r>
      <w:r w:rsidRPr="002D10F3">
        <w:rPr>
          <w:lang w:val="it-IT"/>
        </w:rPr>
        <w:t xml:space="preserve"> duke u bazuar në nenet </w:t>
      </w:r>
      <w:r>
        <w:rPr>
          <w:lang w:val="it-IT"/>
        </w:rPr>
        <w:t>131 shkronja “f” dhe 134 pika 1</w:t>
      </w:r>
      <w:r w:rsidRPr="002D10F3">
        <w:rPr>
          <w:lang w:val="it-IT"/>
        </w:rPr>
        <w:t xml:space="preserve"> shkronja “g” të Kushtetutës, si dhe në nenet 72 e 77 të ligjit nr.8577,</w:t>
      </w:r>
      <w:r>
        <w:rPr>
          <w:lang w:val="it-IT"/>
        </w:rPr>
        <w:t xml:space="preserve"> datë 10.</w:t>
      </w:r>
      <w:r w:rsidRPr="002D10F3">
        <w:rPr>
          <w:lang w:val="it-IT"/>
        </w:rPr>
        <w:t xml:space="preserve">2.2000 “Për organizimin dhe funksionimin e Gjykatës Kushtetuese të Republikës së Shqipërisë”, njëzëri, </w:t>
      </w:r>
    </w:p>
    <w:p w:rsidR="00265A68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Paragrafi"/>
        <w:rPr>
          <w:lang w:val="it-IT"/>
        </w:rPr>
      </w:pPr>
    </w:p>
    <w:p w:rsidR="00265A68" w:rsidRPr="002D10F3" w:rsidRDefault="00265A68" w:rsidP="00265A68">
      <w:pPr>
        <w:pStyle w:val="Paragrafi"/>
        <w:rPr>
          <w:lang w:val="it-IT"/>
        </w:rPr>
      </w:pPr>
    </w:p>
    <w:p w:rsidR="00265A68" w:rsidRDefault="00265A68" w:rsidP="00265A68">
      <w:pPr>
        <w:pStyle w:val="VENDOSI"/>
      </w:pPr>
      <w:r>
        <w:t>VENDOS</w:t>
      </w:r>
      <w:r w:rsidRPr="002D10F3">
        <w:t xml:space="preserve">I: 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  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>- Shfuqizimin si antikushtet</w:t>
      </w:r>
      <w:r>
        <w:rPr>
          <w:lang w:val="it-IT"/>
        </w:rPr>
        <w:t>ues të vendimit nr.454, datë 27.</w:t>
      </w:r>
      <w:r w:rsidRPr="002D10F3">
        <w:rPr>
          <w:lang w:val="it-IT"/>
        </w:rPr>
        <w:t>2.2003 të Kole</w:t>
      </w:r>
      <w:r>
        <w:rPr>
          <w:lang w:val="it-IT"/>
        </w:rPr>
        <w:t>gjit Civil të Gjykatës së Lartë.</w:t>
      </w:r>
    </w:p>
    <w:p w:rsidR="00265A68" w:rsidRPr="002D10F3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- Dërgimin e çështjes për shqyrtim Kolegjit Civil të Gjykatës së Lartë. </w:t>
      </w:r>
    </w:p>
    <w:p w:rsidR="00265A68" w:rsidRDefault="00265A68" w:rsidP="00265A68">
      <w:pPr>
        <w:pStyle w:val="Paragrafi"/>
        <w:rPr>
          <w:lang w:val="it-IT"/>
        </w:rPr>
      </w:pPr>
      <w:r w:rsidRPr="002D10F3">
        <w:rPr>
          <w:lang w:val="it-IT"/>
        </w:rPr>
        <w:t xml:space="preserve">- Ky vendim është përfundimtar, i formës së prerë dhe hyn në fuqi ditën e botimit në Fletoren </w:t>
      </w:r>
      <w:r w:rsidRPr="002D10F3">
        <w:rPr>
          <w:lang w:val="it-IT"/>
        </w:rPr>
        <w:lastRenderedPageBreak/>
        <w:t xml:space="preserve">Zyrtare. </w:t>
      </w:r>
    </w:p>
    <w:p w:rsidR="00265A68" w:rsidRDefault="00265A68" w:rsidP="00265A68">
      <w:pPr>
        <w:pStyle w:val="Paragrafi"/>
        <w:rPr>
          <w:lang w:val="it-IT"/>
        </w:rPr>
      </w:pPr>
    </w:p>
    <w:p w:rsidR="00265A68" w:rsidRPr="002B7972" w:rsidRDefault="00265A68" w:rsidP="00265A68">
      <w:pPr>
        <w:pStyle w:val="Akti"/>
        <w:rPr>
          <w:sz w:val="1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6260">
      <w:r>
        <w:separator/>
      </w:r>
    </w:p>
  </w:endnote>
  <w:endnote w:type="continuationSeparator" w:id="0">
    <w:p w:rsidR="00000000" w:rsidRDefault="00516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6260">
      <w:r>
        <w:separator/>
      </w:r>
    </w:p>
  </w:footnote>
  <w:footnote w:type="continuationSeparator" w:id="0">
    <w:p w:rsidR="00000000" w:rsidRDefault="00516260">
      <w:r>
        <w:continuationSeparator/>
      </w:r>
    </w:p>
  </w:footnote>
  <w:footnote w:id="1">
    <w:p w:rsidR="00265A68" w:rsidRPr="002D10F3" w:rsidRDefault="00265A68" w:rsidP="00265A68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2D10F3">
        <w:rPr>
          <w:lang w:val="it-IT"/>
        </w:rPr>
        <w:t xml:space="preserve"> Vendimi nr</w:t>
      </w:r>
      <w:r>
        <w:rPr>
          <w:szCs w:val="24"/>
          <w:lang w:val="it-IT"/>
        </w:rPr>
        <w:t>.</w:t>
      </w:r>
      <w:r w:rsidRPr="002D10F3">
        <w:rPr>
          <w:szCs w:val="24"/>
          <w:lang w:val="it-IT"/>
        </w:rPr>
        <w:t xml:space="preserve">109, datë 28.5.2002 i Gjykatës Kushtetuese; Përmbledhje e vendimeve, viti 2002, faqe 137.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5A6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6260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617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39A1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99DB1B-157C-441B-AC41-2BC04650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semiHidden/>
    <w:rsid w:val="00265A68"/>
    <w:pPr>
      <w:widowControl/>
    </w:pPr>
    <w:rPr>
      <w:rFonts w:ascii="Times New Roman" w:eastAsia="MS Mincho" w:hAnsi="Times New Roman"/>
      <w:noProof w:val="0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265A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