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64E" w:rsidRDefault="00EE564E" w:rsidP="00EE564E">
      <w:pPr>
        <w:pStyle w:val="Akti"/>
        <w:keepNext w:val="0"/>
      </w:pPr>
      <w:bookmarkStart w:id="0" w:name="_GoBack"/>
      <w:bookmarkEnd w:id="0"/>
      <w:r>
        <w:t>Vendim</w:t>
      </w:r>
    </w:p>
    <w:p w:rsidR="00EE564E" w:rsidRDefault="00EE564E" w:rsidP="00EE564E">
      <w:pPr>
        <w:pStyle w:val="NumriData"/>
        <w:keepNext w:val="0"/>
      </w:pPr>
      <w:r>
        <w:t>Nr.15, datë 13.7.2005</w:t>
      </w:r>
    </w:p>
    <w:p w:rsidR="00EE564E" w:rsidRDefault="00EE564E" w:rsidP="00EE564E">
      <w:pPr>
        <w:pStyle w:val="Paragrafi"/>
      </w:pPr>
    </w:p>
    <w:p w:rsidR="00EE564E" w:rsidRDefault="00EE564E" w:rsidP="00EE564E">
      <w:pPr>
        <w:pStyle w:val="TitulliTitull"/>
        <w:keepNext w:val="0"/>
      </w:pPr>
      <w:r>
        <w:t>Në emër të Republikës së Shqipërisë</w:t>
      </w:r>
    </w:p>
    <w:p w:rsidR="00EE564E" w:rsidRPr="0015256C" w:rsidRDefault="00EE564E" w:rsidP="00EE564E">
      <w:pPr>
        <w:pStyle w:val="Paragrafi"/>
      </w:pPr>
    </w:p>
    <w:p w:rsidR="00EE564E" w:rsidRDefault="00EE564E" w:rsidP="00EE564E">
      <w:pPr>
        <w:pStyle w:val="Paragrafi"/>
      </w:pPr>
      <w:r w:rsidRPr="0015256C">
        <w:t xml:space="preserve">Gjykata Kushtetuese e Republikës së Shqipërisë, e përbërë nga: </w:t>
      </w:r>
    </w:p>
    <w:p w:rsidR="00EE564E" w:rsidRDefault="00EE564E" w:rsidP="00EE564E">
      <w:pPr>
        <w:pStyle w:val="Paragrafi"/>
      </w:pPr>
    </w:p>
    <w:p w:rsidR="00EE564E" w:rsidRPr="0015256C" w:rsidRDefault="00EE564E" w:rsidP="00EE564E">
      <w:pPr>
        <w:pStyle w:val="Paragrafi"/>
      </w:pPr>
      <w:r>
        <w:t>Gjergj Sauli</w:t>
      </w:r>
      <w:r w:rsidRPr="0015256C">
        <w:tab/>
      </w:r>
      <w:r>
        <w:tab/>
      </w:r>
      <w:r w:rsidRPr="0015256C">
        <w:t>Kryetar i Gjykatës Kushtetuese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Alfred Karamuço</w:t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Fehmi Abdiu</w:t>
      </w:r>
      <w:r w:rsidRPr="00255666">
        <w:rPr>
          <w:lang w:val="it-IT"/>
        </w:rPr>
        <w:tab/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Kujtim Puto</w:t>
      </w:r>
      <w:r w:rsidRPr="00255666">
        <w:rPr>
          <w:lang w:val="it-IT"/>
        </w:rPr>
        <w:tab/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Xhezair Zaganjori</w:t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255666">
        <w:rPr>
          <w:lang w:val="it-IT"/>
        </w:rPr>
        <w:tab/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  <w:r>
        <w:rPr>
          <w:lang w:val="it-IT"/>
        </w:rPr>
        <w:t>Sokol Sadushi</w:t>
      </w:r>
      <w:r w:rsidRPr="00255666">
        <w:rPr>
          <w:lang w:val="it-IT"/>
        </w:rPr>
        <w:tab/>
      </w:r>
      <w:r w:rsidRPr="00255666">
        <w:rPr>
          <w:lang w:val="it-IT"/>
        </w:rPr>
        <w:tab/>
      </w:r>
      <w:r>
        <w:rPr>
          <w:lang w:val="it-IT"/>
        </w:rPr>
        <w:t>Anëtar 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EE564E" w:rsidRDefault="00EE564E" w:rsidP="00EE564E">
      <w:pPr>
        <w:pStyle w:val="Paragrafi"/>
        <w:rPr>
          <w:lang w:val="it-IT"/>
        </w:rPr>
      </w:pPr>
      <w:r>
        <w:rPr>
          <w:lang w:val="it-IT"/>
        </w:rPr>
        <w:t>Kristofor Peçi</w:t>
      </w:r>
      <w:r w:rsidRPr="00255666">
        <w:rPr>
          <w:lang w:val="it-IT"/>
        </w:rPr>
        <w:tab/>
      </w:r>
      <w:r>
        <w:rPr>
          <w:lang w:val="it-IT"/>
        </w:rPr>
        <w:tab/>
        <w:t>Anëtar i</w:t>
      </w:r>
      <w:r>
        <w:rPr>
          <w:lang w:val="it-IT"/>
        </w:rPr>
        <w:tab/>
        <w:t>”</w:t>
      </w:r>
      <w:r>
        <w:rPr>
          <w:lang w:val="it-IT"/>
        </w:rPr>
        <w:tab/>
        <w:t>“</w:t>
      </w:r>
    </w:p>
    <w:p w:rsidR="00EE564E" w:rsidRPr="00255666" w:rsidRDefault="00EE564E" w:rsidP="00EE564E">
      <w:pPr>
        <w:pStyle w:val="Paragrafi"/>
        <w:rPr>
          <w:lang w:val="it-IT"/>
        </w:rPr>
      </w:pPr>
    </w:p>
    <w:p w:rsidR="00EE564E" w:rsidRPr="00255666" w:rsidRDefault="00EE564E" w:rsidP="00EE564E">
      <w:pPr>
        <w:pStyle w:val="Paragrafi"/>
        <w:rPr>
          <w:lang w:val="it-IT"/>
        </w:rPr>
      </w:pPr>
      <w:r w:rsidRPr="00255666">
        <w:rPr>
          <w:lang w:val="it-IT"/>
        </w:rPr>
        <w:t>me sekret</w:t>
      </w:r>
      <w:r>
        <w:rPr>
          <w:lang w:val="it-IT"/>
        </w:rPr>
        <w:t>are Arbenka Lalica, në datë 27.</w:t>
      </w:r>
      <w:r w:rsidRPr="00255666">
        <w:rPr>
          <w:lang w:val="it-IT"/>
        </w:rPr>
        <w:t>5.2005, mori në shqyrtim në seancë gjyqësore</w:t>
      </w:r>
    </w:p>
    <w:p w:rsidR="00EE564E" w:rsidRPr="0015256C" w:rsidRDefault="00EE564E" w:rsidP="00EE564E">
      <w:pPr>
        <w:pStyle w:val="Paragrafi"/>
      </w:pPr>
      <w:r w:rsidRPr="00EE564E">
        <w:t xml:space="preserve">me dyer të hapura çështjen me nr.28 Akti </w:t>
      </w:r>
      <w:r w:rsidRPr="0015256C">
        <w:t>që i përket:</w:t>
      </w:r>
    </w:p>
    <w:p w:rsidR="00EE564E" w:rsidRDefault="00EE564E" w:rsidP="00EE564E">
      <w:pPr>
        <w:pStyle w:val="Paragrafi"/>
      </w:pPr>
    </w:p>
    <w:p w:rsidR="00EE564E" w:rsidRPr="0015256C" w:rsidRDefault="00EE564E" w:rsidP="00EE564E">
      <w:pPr>
        <w:pStyle w:val="Paragrafi"/>
      </w:pPr>
      <w:r>
        <w:t>KËRKUES:</w:t>
      </w:r>
      <w:r w:rsidRPr="0015256C">
        <w:t>FATMIR TUSHA, përfaqësuar nga avokatët Agim Hoxha e</w:t>
      </w:r>
      <w:r>
        <w:t xml:space="preserve"> </w:t>
      </w:r>
      <w:r w:rsidRPr="0015256C">
        <w:t>Fatmir Gjika, me prokurë.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SUBJEKTI I INTERESUAR:PROKURORIA E PËRGJITHSHME, në mungesë.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OBJEKTI: Shfuqizimi si antikushtetues i vendimit nr.344, datë 9.6.2004 të Kolegjit Penal të Gjykatës së Lartë.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BAZA LIGJORE: Nenet 42/1, 131/f e 134/g të Kushtetutës.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i/>
          <w:lang w:val="it-IT"/>
        </w:rPr>
        <w:t>Kërkuesi</w:t>
      </w:r>
      <w:r w:rsidRPr="00EE564E">
        <w:rPr>
          <w:lang w:val="it-IT"/>
        </w:rPr>
        <w:t xml:space="preserve"> pretendon se Kolegji Penal i Gjykatës së Lartë ka zhvilluar proces të parregullt për këto shkaqe: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1. Nuk është vënë në dijeni, sipas ligjit, për rekursin e prokurorit ndaj vendimit të gjykatës së apelit që e pushoi çështjen në ngarkim të tij;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2. Nuk ka pasur dijeni për gjykimin e zhvilluar në Gjykatën e Lartë dhe për rrjedhojë nuk është mbrojtur me avokat;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3. Shkelja e këtyre të drejtave ka cenuar parimin e kontradiktoritetit në gjykim, gjë që e bën procesin të parregullt.</w:t>
      </w:r>
    </w:p>
    <w:p w:rsidR="00EE564E" w:rsidRPr="00EE564E" w:rsidRDefault="00EE564E" w:rsidP="00EE564E">
      <w:pPr>
        <w:pStyle w:val="Paragrafi"/>
        <w:rPr>
          <w:lang w:val="it-IT"/>
        </w:rPr>
      </w:pPr>
    </w:p>
    <w:p w:rsidR="00EE564E" w:rsidRPr="00EE564E" w:rsidRDefault="00EE564E" w:rsidP="00EE564E">
      <w:pPr>
        <w:pStyle w:val="Institucioni"/>
        <w:keepNext w:val="0"/>
        <w:rPr>
          <w:lang w:val="it-IT"/>
        </w:rPr>
      </w:pPr>
      <w:r w:rsidRPr="00EE564E">
        <w:rPr>
          <w:lang w:val="it-IT"/>
        </w:rPr>
        <w:t>GJYKATA KUSHTETUESE,</w:t>
      </w:r>
    </w:p>
    <w:p w:rsidR="00EE564E" w:rsidRPr="00EE564E" w:rsidRDefault="00EE564E" w:rsidP="00EE564E">
      <w:pPr>
        <w:pStyle w:val="Paragrafi"/>
        <w:rPr>
          <w:lang w:val="it-IT"/>
        </w:rPr>
      </w:pP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pasi dëgjoi relatorin Kristofor Peçi, përfaqësuesit e kërkuesit dhe bisedoi çështjen në tërësi,</w:t>
      </w:r>
    </w:p>
    <w:p w:rsidR="00EE564E" w:rsidRPr="00EE564E" w:rsidRDefault="00EE564E" w:rsidP="00EE564E">
      <w:pPr>
        <w:pStyle w:val="Paragrafi"/>
        <w:rPr>
          <w:lang w:val="it-IT"/>
        </w:rPr>
      </w:pPr>
    </w:p>
    <w:p w:rsidR="00EE564E" w:rsidRPr="00EE564E" w:rsidRDefault="00EE564E" w:rsidP="00EE564E">
      <w:pPr>
        <w:pStyle w:val="VENDOSIChar"/>
        <w:keepNext w:val="0"/>
        <w:rPr>
          <w:lang w:val="it-IT"/>
        </w:rPr>
      </w:pPr>
      <w:r w:rsidRPr="00EE564E">
        <w:rPr>
          <w:lang w:val="it-IT"/>
        </w:rPr>
        <w:t>VËREN:</w:t>
      </w:r>
    </w:p>
    <w:p w:rsidR="00EE564E" w:rsidRPr="00EE564E" w:rsidRDefault="00EE564E" w:rsidP="00EE564E">
      <w:pPr>
        <w:pStyle w:val="Paragrafi"/>
        <w:rPr>
          <w:lang w:val="it-IT"/>
        </w:rPr>
      </w:pP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Me vendimin nr.55, datë 25.6.2002, Gjykata e Rrethit Gjyqësor Kavajë ka deklaruar fajtor kërkuesin Fatmir Tusha për krimin e vrasjes me dashje në rrethana cilësonjëse, mbetur në tentativë dhe në bazë të nenit 79/dh të Kodit Penal e dënon me 20 vjet burgim; deklarimin fajtor të tij për kundërvajtje penale të mbajtjes pa leje të armës së gjuetisë dhe në bazë të nenit 280 të Kodit Penal e ka dënuar me 3 muaj burgim. Në bashkim të dënimeve, kërkuesi është dënuar me 20 vjet burgim.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Gjykata e Apelit Durrës, me vendimin nr.314, datë 6.11.2003, ka ndryshuar vendimin e gjykatës së rrethit në dy herë kanosje, sipas nenit 84 të Kodit Penal dhe e pushoi çështjen për shkak se procedimi nuk mund të vazhdojë. Në zbatim të ligjit "Për amnistinë", kjo gjykatë prishi vendimin dhe pushoi çështjen për armëmbajtje pa leje.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Kolegji Penal i Gjykatës së Lartë, që shqyrtoi çështjen mbi rekursin e prokurorit, me vendimin objekt kërkese, vendosi ndryshimin e vendimit të gjykatës së apelit përsa i përket cilësimit ligjor të veprës, si vrasje me dashje mbetur në tentativë dhe në bazë të nenit 79/dh të Kodit Penal e dënon kërkuesin me 10 vjet burgim.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 xml:space="preserve">Gjykata Kushtetuese, duke marrë parasysh rrethanat e çështjes, vlerëson se pretendimet e kërkuesit për shkelje të së drejtës për një proces të rregullt ligjor sipas kritereve të nenit 42 të </w:t>
      </w:r>
      <w:r w:rsidRPr="00EE564E">
        <w:rPr>
          <w:lang w:val="it-IT"/>
        </w:rPr>
        <w:lastRenderedPageBreak/>
        <w:t>Kushtetutës dhe nenit 6 të Konventës Europiane për të Drejtat e Njeriut, janë të bazuara dhe për rrjedhojë kërkesa e tij duhet të pranohet.</w:t>
      </w:r>
    </w:p>
    <w:p w:rsidR="00EE564E" w:rsidRPr="00EE564E" w:rsidRDefault="00EE564E" w:rsidP="00EE564E">
      <w:pPr>
        <w:pStyle w:val="Paragrafi"/>
        <w:rPr>
          <w:lang w:val="it-IT"/>
        </w:rPr>
      </w:pPr>
      <w:r w:rsidRPr="00EE564E">
        <w:rPr>
          <w:lang w:val="it-IT"/>
        </w:rPr>
        <w:t>Nga materialet e dosjes, të administruara në gjykim, nuk rezulton të ketë ndonjë dokument apo veprim që të vërtetojë se të gjykuarit apo mbrojtësit e tij t'i jetë njoftuar rekursi i prokurorit. Një qëndrim i tillë bie në kundërshtim me kërkesat e nenit 414 të Kodit të Procedurës Penale, që detyron gjykatën që ka dhënë vendimin t'i komunikojë aktin e ankimit palës tjetër. Shkelja e këtij detyrimi ligjor e ka privuar kërkuesin edhe nga realizimi i së drejtës së mbrojtjes në Gjykatën e Lartë, sepse ai nuk është vënë në dijeni se çështja e tij do të shqyrtohej nga kjo gjykatë. Këto shkelje të vazhdueshme të normave kushtetuese e ligjore kanë cenuar të drejtën për t'u dëgjuar e për t'u mbrojtur, çka e bën procesin të parregullt në kuptimin kushtetues.</w:t>
      </w:r>
    </w:p>
    <w:p w:rsidR="00EE564E" w:rsidRPr="0015256C" w:rsidRDefault="00EE564E" w:rsidP="00EE564E">
      <w:pPr>
        <w:pStyle w:val="Paragrafi"/>
      </w:pPr>
      <w:r w:rsidRPr="0015256C">
        <w:t>Gjykata Kushtetuese duke iu referuar edhe praktikës së saj të mëparshme disa vjeçare ku është mbajtur i njëjti qëndrim për shkelje të kësaj natyre dhe duke e konfirmuar at</w:t>
      </w:r>
      <w:r>
        <w:t>ë, thekson se zbatimi i standard</w:t>
      </w:r>
      <w:r w:rsidRPr="0015256C">
        <w:t>eve të përcaktuara nga Kushtetuta dhe</w:t>
      </w:r>
      <w:r>
        <w:t xml:space="preserve"> Konventa Eu</w:t>
      </w:r>
      <w:r w:rsidRPr="0015256C">
        <w:t>ropiane për të Drejtat e Njeriut, në procesin penal, është një domosdoshmëri dhe kërkesë për të afirmuar shtetin ligjor</w:t>
      </w:r>
      <w:r>
        <w:t>. Sipas praktikës së Gjykatës Eu</w:t>
      </w:r>
      <w:r w:rsidRPr="0015256C">
        <w:t>ropiane për të Drejtat</w:t>
      </w:r>
      <w:r>
        <w:t xml:space="preserve"> e Njeriut, çdo ce</w:t>
      </w:r>
      <w:r w:rsidRPr="0015256C">
        <w:t>nim i të drejtave të individit, duhet të jetë objekt</w:t>
      </w:r>
      <w:r>
        <w:t>i</w:t>
      </w:r>
      <w:r w:rsidRPr="0015256C">
        <w:t xml:space="preserve"> i një kontrolli efektiv i kryer nga gjyqësori duke ofruar garancinë më të mirë për pavarësi, </w:t>
      </w:r>
      <w:r>
        <w:t>paanësi dhe procedurë korrekte.</w:t>
      </w:r>
      <w:r>
        <w:rPr>
          <w:rStyle w:val="FootnoteReference"/>
        </w:rPr>
        <w:footnoteReference w:id="1"/>
      </w:r>
    </w:p>
    <w:p w:rsidR="00EE564E" w:rsidRPr="00E5653A" w:rsidRDefault="00EE564E" w:rsidP="00EE564E">
      <w:pPr>
        <w:pStyle w:val="Paragrafi"/>
        <w:rPr>
          <w:sz w:val="18"/>
        </w:rPr>
      </w:pPr>
    </w:p>
    <w:p w:rsidR="00EE564E" w:rsidRDefault="00EE564E" w:rsidP="00EE564E">
      <w:pPr>
        <w:pStyle w:val="VENDOSIChar"/>
      </w:pPr>
      <w:r>
        <w:t>PËR KËTO ARSYE,</w:t>
      </w:r>
    </w:p>
    <w:p w:rsidR="00EE564E" w:rsidRPr="00E5653A" w:rsidRDefault="00EE564E" w:rsidP="00EE564E">
      <w:pPr>
        <w:pStyle w:val="Paragrafi"/>
        <w:rPr>
          <w:sz w:val="18"/>
        </w:rPr>
      </w:pPr>
    </w:p>
    <w:p w:rsidR="00EE564E" w:rsidRPr="0015256C" w:rsidRDefault="00EE564E" w:rsidP="00EE564E">
      <w:pPr>
        <w:pStyle w:val="Paragrafi"/>
      </w:pPr>
      <w:r w:rsidRPr="0015256C">
        <w:t xml:space="preserve">Gjykata Kushtetuese </w:t>
      </w:r>
      <w:r>
        <w:t>e Republikës së Shq</w:t>
      </w:r>
      <w:r w:rsidRPr="0015256C">
        <w:t>ipërisë, në bazë të neneve 131/f e 134/g të Kushtetutë</w:t>
      </w:r>
      <w:r>
        <w:t>s, si dhe të neneve 72 e 77 të ligj</w:t>
      </w:r>
      <w:r w:rsidRPr="0015256C">
        <w:t xml:space="preserve">it "Për organizimin dhe funksionimin e Gjykatës </w:t>
      </w:r>
      <w:r>
        <w:t>Kushtetuese të Republikës së Shq</w:t>
      </w:r>
      <w:r w:rsidRPr="0015256C">
        <w:t>ipërisë", njëzëri,</w:t>
      </w:r>
    </w:p>
    <w:p w:rsidR="00EE564E" w:rsidRPr="00E5653A" w:rsidRDefault="00EE564E" w:rsidP="00EE564E">
      <w:pPr>
        <w:pStyle w:val="Paragrafi"/>
        <w:rPr>
          <w:sz w:val="18"/>
        </w:rPr>
      </w:pPr>
    </w:p>
    <w:p w:rsidR="00EE564E" w:rsidRDefault="00EE564E" w:rsidP="00EE564E">
      <w:pPr>
        <w:pStyle w:val="VENDOSIChar"/>
      </w:pPr>
      <w:r w:rsidRPr="0015256C">
        <w:t>VENDOSI:</w:t>
      </w:r>
    </w:p>
    <w:p w:rsidR="00EE564E" w:rsidRPr="00E5653A" w:rsidRDefault="00EE564E" w:rsidP="00EE564E">
      <w:pPr>
        <w:pStyle w:val="Paragrafi"/>
        <w:rPr>
          <w:sz w:val="16"/>
        </w:rPr>
      </w:pPr>
    </w:p>
    <w:p w:rsidR="00EE564E" w:rsidRPr="0015256C" w:rsidRDefault="00EE564E" w:rsidP="00EE564E">
      <w:pPr>
        <w:pStyle w:val="Paragrafi"/>
      </w:pPr>
      <w:r>
        <w:t>- Shfuqiz</w:t>
      </w:r>
      <w:r w:rsidRPr="0015256C">
        <w:t>imin si antikushtetues të vendimi</w:t>
      </w:r>
      <w:r>
        <w:t>t nr.344, datë 9.6.2004 të K</w:t>
      </w:r>
      <w:r w:rsidRPr="0015256C">
        <w:t>ole</w:t>
      </w:r>
      <w:r>
        <w:t>gjit Penal të Gjykatës së Lartë.</w:t>
      </w:r>
    </w:p>
    <w:p w:rsidR="00EE564E" w:rsidRPr="0015256C" w:rsidRDefault="00EE564E" w:rsidP="00EE564E">
      <w:pPr>
        <w:pStyle w:val="Paragrafi"/>
      </w:pPr>
      <w:r w:rsidRPr="0015256C">
        <w:t>- Dërgimin e çështjes për shqyrtim në Kolegjin Penal të Gjykatës së Lartë.</w:t>
      </w:r>
    </w:p>
    <w:p w:rsidR="00EE564E" w:rsidRPr="0015256C" w:rsidRDefault="00EE564E" w:rsidP="00EE564E">
      <w:pPr>
        <w:pStyle w:val="Paragrafi"/>
      </w:pPr>
      <w:r w:rsidRPr="0015256C">
        <w:t>- Ky vendim është përfundimtar, i formës së prerë dhe hyn në fuqi ditën e botimit në Fletoren Zyrtare.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22551">
      <w:r>
        <w:separator/>
      </w:r>
    </w:p>
  </w:endnote>
  <w:endnote w:type="continuationSeparator" w:id="0">
    <w:p w:rsidR="00000000" w:rsidRDefault="00722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22551">
      <w:r>
        <w:separator/>
      </w:r>
    </w:p>
  </w:footnote>
  <w:footnote w:type="continuationSeparator" w:id="0">
    <w:p w:rsidR="00000000" w:rsidRDefault="00722551">
      <w:r>
        <w:continuationSeparator/>
      </w:r>
    </w:p>
  </w:footnote>
  <w:footnote w:id="1">
    <w:p w:rsidR="00EE564E" w:rsidRDefault="00EE564E" w:rsidP="00EE564E">
      <w:pPr>
        <w:pStyle w:val="FootnoteText"/>
      </w:pPr>
      <w:r>
        <w:rPr>
          <w:rStyle w:val="FootnoteReference"/>
        </w:rPr>
        <w:footnoteRef/>
      </w:r>
      <w:r>
        <w:t xml:space="preserve"> . Shih çështjen Klass dhe të tjerë kundër Gjermanisë, v.6.9.78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22551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564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666246-2A55-49C3-8264-3269BBF0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VENDOSIChar">
    <w:name w:val="VENDOSI Char"/>
    <w:next w:val="Normal"/>
    <w:link w:val="VENDOSICharChar"/>
    <w:rsid w:val="00EE564E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EE564E"/>
    <w:rPr>
      <w:rFonts w:ascii="CG Times" w:hAnsi="CG Times"/>
      <w:caps/>
      <w:noProof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EE564E"/>
    <w:pPr>
      <w:widowControl/>
    </w:pPr>
    <w:rPr>
      <w:rFonts w:ascii="Times New Roman" w:hAnsi="Times New Roman"/>
      <w:noProof w:val="0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EE56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