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1F9" w:rsidRDefault="007F31F9" w:rsidP="007F31F9">
      <w:pPr>
        <w:pStyle w:val="Akti"/>
      </w:pPr>
      <w:bookmarkStart w:id="0" w:name="_GoBack"/>
      <w:bookmarkEnd w:id="0"/>
      <w:r>
        <w:t>Vendim</w:t>
      </w:r>
    </w:p>
    <w:p w:rsidR="007F31F9" w:rsidRDefault="007F31F9" w:rsidP="007F31F9">
      <w:pPr>
        <w:pStyle w:val="NumriData"/>
      </w:pPr>
      <w:r>
        <w:t>Nr.16, datë 13.7.2005</w:t>
      </w:r>
    </w:p>
    <w:p w:rsidR="007F31F9" w:rsidRPr="00E5653A" w:rsidRDefault="007F31F9" w:rsidP="007F31F9">
      <w:pPr>
        <w:pStyle w:val="Paragrafi"/>
        <w:rPr>
          <w:sz w:val="18"/>
        </w:rPr>
      </w:pPr>
    </w:p>
    <w:p w:rsidR="007F31F9" w:rsidRPr="0015256C" w:rsidRDefault="007F31F9" w:rsidP="007F31F9">
      <w:pPr>
        <w:pStyle w:val="TitulliTitull"/>
      </w:pPr>
      <w:r>
        <w:t>Në emër të Republikës së Shqipërisë</w:t>
      </w:r>
    </w:p>
    <w:p w:rsidR="007F31F9" w:rsidRPr="00E5653A" w:rsidRDefault="007F31F9" w:rsidP="007F31F9">
      <w:pPr>
        <w:pStyle w:val="Paragrafi"/>
        <w:rPr>
          <w:sz w:val="16"/>
        </w:rPr>
      </w:pPr>
    </w:p>
    <w:p w:rsidR="007F31F9" w:rsidRDefault="007F31F9" w:rsidP="007F31F9">
      <w:pPr>
        <w:pStyle w:val="Paragrafi"/>
      </w:pPr>
      <w:r w:rsidRPr="0015256C">
        <w:t xml:space="preserve">Gjykata Kushtetuese e Republikës së Shqipërisë, e përbërë nga: </w:t>
      </w:r>
    </w:p>
    <w:p w:rsidR="007F31F9" w:rsidRDefault="007F31F9" w:rsidP="007F31F9">
      <w:pPr>
        <w:pStyle w:val="Paragrafi"/>
        <w:ind w:firstLine="0"/>
      </w:pPr>
    </w:p>
    <w:p w:rsidR="007F31F9" w:rsidRPr="0015256C" w:rsidRDefault="007F31F9" w:rsidP="007F31F9">
      <w:pPr>
        <w:pStyle w:val="Paragrafi"/>
      </w:pPr>
      <w:r>
        <w:t>Gjergj Sauli</w:t>
      </w:r>
      <w:r w:rsidRPr="0015256C">
        <w:tab/>
      </w:r>
      <w:r>
        <w:tab/>
      </w:r>
      <w:r w:rsidRPr="0015256C">
        <w:t>Kryetar i Gjykatës Kushtetuese</w:t>
      </w:r>
    </w:p>
    <w:p w:rsidR="007F31F9" w:rsidRPr="007F31F9" w:rsidRDefault="007F31F9" w:rsidP="007F31F9">
      <w:pPr>
        <w:pStyle w:val="Paragrafi"/>
      </w:pPr>
      <w:r w:rsidRPr="007F31F9">
        <w:t>Alfred Karamuço</w:t>
      </w:r>
      <w:r w:rsidRPr="007F31F9">
        <w:tab/>
        <w:t>Anëtar i</w:t>
      </w:r>
      <w:r w:rsidRPr="007F31F9">
        <w:tab/>
        <w:t>“</w:t>
      </w:r>
      <w:r w:rsidRPr="007F31F9">
        <w:tab/>
        <w:t>“</w:t>
      </w:r>
    </w:p>
    <w:p w:rsidR="007F31F9" w:rsidRPr="007F31F9" w:rsidRDefault="007F31F9" w:rsidP="007F31F9">
      <w:pPr>
        <w:pStyle w:val="Paragrafi"/>
      </w:pPr>
      <w:r w:rsidRPr="007F31F9">
        <w:t xml:space="preserve">Kristofor Peçi </w:t>
      </w:r>
      <w:r w:rsidRPr="007F31F9">
        <w:tab/>
      </w:r>
      <w:r w:rsidRPr="007F31F9">
        <w:tab/>
        <w:t>Anëtar i</w:t>
      </w:r>
      <w:r w:rsidRPr="007F31F9">
        <w:tab/>
        <w:t>“</w:t>
      </w:r>
      <w:r w:rsidRPr="007F31F9">
        <w:tab/>
        <w:t>“</w:t>
      </w:r>
    </w:p>
    <w:p w:rsidR="007F31F9" w:rsidRPr="007F31F9" w:rsidRDefault="007F31F9" w:rsidP="007F31F9">
      <w:pPr>
        <w:pStyle w:val="Paragrafi"/>
      </w:pPr>
      <w:r w:rsidRPr="007F31F9">
        <w:t>Kujtim Puto</w:t>
      </w:r>
      <w:r w:rsidRPr="007F31F9">
        <w:tab/>
      </w:r>
      <w:r w:rsidRPr="007F31F9">
        <w:tab/>
        <w:t>Anëtar i</w:t>
      </w:r>
      <w:r w:rsidRPr="007F31F9">
        <w:tab/>
        <w:t>“</w:t>
      </w:r>
      <w:r w:rsidRPr="007F31F9">
        <w:tab/>
        <w:t>“</w:t>
      </w:r>
    </w:p>
    <w:p w:rsidR="007F31F9" w:rsidRPr="00255666" w:rsidRDefault="007F31F9" w:rsidP="007F31F9">
      <w:pPr>
        <w:pStyle w:val="Paragrafi"/>
        <w:rPr>
          <w:lang w:val="it-IT"/>
        </w:rPr>
      </w:pPr>
      <w:r>
        <w:rPr>
          <w:lang w:val="it-IT"/>
        </w:rPr>
        <w:t>Vjollca Meçaj</w:t>
      </w:r>
      <w:r>
        <w:rPr>
          <w:lang w:val="it-IT"/>
        </w:rPr>
        <w:tab/>
      </w:r>
      <w:r>
        <w:rPr>
          <w:lang w:val="it-IT"/>
        </w:rPr>
        <w:tab/>
      </w:r>
      <w:r w:rsidRPr="00255666">
        <w:rPr>
          <w:lang w:val="it-IT"/>
        </w:rPr>
        <w:t>Anëtar</w:t>
      </w:r>
      <w:r>
        <w:rPr>
          <w:lang w:val="it-IT"/>
        </w:rPr>
        <w:t>e e</w:t>
      </w:r>
      <w:r w:rsidRPr="00255666">
        <w:rPr>
          <w:lang w:val="it-IT"/>
        </w:rPr>
        <w:tab/>
        <w:t>“</w:t>
      </w:r>
      <w:r w:rsidRPr="00255666">
        <w:rPr>
          <w:lang w:val="it-IT"/>
        </w:rPr>
        <w:tab/>
        <w:t>“</w:t>
      </w:r>
    </w:p>
    <w:p w:rsidR="007F31F9" w:rsidRPr="00255666" w:rsidRDefault="007F31F9" w:rsidP="007F31F9">
      <w:pPr>
        <w:pStyle w:val="Paragrafi"/>
        <w:rPr>
          <w:lang w:val="it-IT"/>
        </w:rPr>
      </w:pPr>
      <w:r>
        <w:rPr>
          <w:lang w:val="it-IT"/>
        </w:rPr>
        <w:t>Xhezair Zaganjori</w:t>
      </w:r>
      <w:r w:rsidRPr="00255666">
        <w:rPr>
          <w:lang w:val="it-IT"/>
        </w:rPr>
        <w:tab/>
        <w:t>Anëtar i</w:t>
      </w:r>
      <w:r w:rsidRPr="00255666">
        <w:rPr>
          <w:lang w:val="it-IT"/>
        </w:rPr>
        <w:tab/>
        <w:t>“</w:t>
      </w:r>
      <w:r w:rsidRPr="00255666">
        <w:rPr>
          <w:lang w:val="it-IT"/>
        </w:rPr>
        <w:tab/>
        <w:t>“</w:t>
      </w:r>
    </w:p>
    <w:p w:rsidR="007F31F9" w:rsidRPr="00255666" w:rsidRDefault="007F31F9" w:rsidP="007F31F9">
      <w:pPr>
        <w:pStyle w:val="Paragrafi"/>
        <w:rPr>
          <w:lang w:val="it-IT"/>
        </w:rPr>
      </w:pPr>
      <w:r>
        <w:rPr>
          <w:lang w:val="it-IT"/>
        </w:rPr>
        <w:t>Petrit Plloçi</w:t>
      </w:r>
      <w:r w:rsidRPr="00255666">
        <w:rPr>
          <w:lang w:val="it-IT"/>
        </w:rPr>
        <w:tab/>
      </w:r>
      <w:r w:rsidRPr="00255666">
        <w:rPr>
          <w:lang w:val="it-IT"/>
        </w:rPr>
        <w:tab/>
        <w:t>Anëtar i</w:t>
      </w:r>
      <w:r w:rsidRPr="00255666">
        <w:rPr>
          <w:lang w:val="it-IT"/>
        </w:rPr>
        <w:tab/>
        <w:t>“</w:t>
      </w:r>
      <w:r w:rsidRPr="00255666">
        <w:rPr>
          <w:lang w:val="it-IT"/>
        </w:rPr>
        <w:tab/>
        <w:t>“</w:t>
      </w:r>
    </w:p>
    <w:p w:rsidR="007F31F9" w:rsidRDefault="007F31F9" w:rsidP="007F31F9">
      <w:pPr>
        <w:pStyle w:val="Paragrafi"/>
        <w:rPr>
          <w:lang w:val="it-IT"/>
        </w:rPr>
      </w:pPr>
      <w:r>
        <w:rPr>
          <w:lang w:val="it-IT"/>
        </w:rPr>
        <w:t>Sokol Sadushi</w:t>
      </w:r>
      <w:r w:rsidRPr="00255666">
        <w:rPr>
          <w:lang w:val="it-IT"/>
        </w:rPr>
        <w:tab/>
      </w:r>
      <w:r w:rsidRPr="00255666">
        <w:rPr>
          <w:lang w:val="it-IT"/>
        </w:rPr>
        <w:tab/>
      </w:r>
      <w:r>
        <w:rPr>
          <w:lang w:val="it-IT"/>
        </w:rPr>
        <w:t>Anëtar i</w:t>
      </w:r>
      <w:r>
        <w:rPr>
          <w:lang w:val="it-IT"/>
        </w:rPr>
        <w:tab/>
        <w:t>“</w:t>
      </w:r>
      <w:r>
        <w:rPr>
          <w:lang w:val="it-IT"/>
        </w:rPr>
        <w:tab/>
        <w:t>“</w:t>
      </w:r>
    </w:p>
    <w:p w:rsidR="007F31F9" w:rsidRPr="00255666" w:rsidRDefault="007F31F9" w:rsidP="007F31F9">
      <w:pPr>
        <w:pStyle w:val="Paragrafi"/>
        <w:rPr>
          <w:lang w:val="it-IT"/>
        </w:rPr>
      </w:pPr>
    </w:p>
    <w:p w:rsidR="007F31F9" w:rsidRPr="00BC1B41" w:rsidRDefault="007F31F9" w:rsidP="007F31F9">
      <w:pPr>
        <w:pStyle w:val="Paragrafi"/>
        <w:rPr>
          <w:lang w:val="it-IT"/>
        </w:rPr>
      </w:pPr>
      <w:r w:rsidRPr="00255425">
        <w:rPr>
          <w:lang w:val="it-IT"/>
        </w:rPr>
        <w:t>me sekreta</w:t>
      </w:r>
      <w:r>
        <w:rPr>
          <w:lang w:val="it-IT"/>
        </w:rPr>
        <w:t>re Arbenka Lalica, në datat 28.2.2005 dhe 15.</w:t>
      </w:r>
      <w:r w:rsidRPr="00255425">
        <w:rPr>
          <w:lang w:val="it-IT"/>
        </w:rPr>
        <w:t>4.2005, mori në shqyrtim në</w:t>
      </w:r>
      <w:r>
        <w:rPr>
          <w:lang w:val="it-IT"/>
        </w:rPr>
        <w:t xml:space="preserve"> </w:t>
      </w:r>
      <w:r w:rsidRPr="007F31F9">
        <w:rPr>
          <w:lang w:val="it-IT"/>
        </w:rPr>
        <w:t>seancë gjyqësore me dyer të hapura çështjen me nr.21 Akti, që i përket:</w:t>
      </w:r>
    </w:p>
    <w:p w:rsidR="007F31F9" w:rsidRPr="007F31F9" w:rsidRDefault="007F31F9" w:rsidP="007F31F9">
      <w:pPr>
        <w:pStyle w:val="Paragrafi"/>
        <w:rPr>
          <w:lang w:val="it-IT"/>
        </w:rPr>
      </w:pP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KERKUES:FATBARDHA ALIZOTI, përfaqësuar nga avokat Viktor Konomi, me prokurë.</w:t>
      </w: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SUBJEKTE TË INTERESUARA: 1. BARDHYL METULI, në mungesë.</w:t>
      </w:r>
    </w:p>
    <w:p w:rsidR="007F31F9" w:rsidRPr="008F22E4" w:rsidRDefault="007F31F9" w:rsidP="007F31F9">
      <w:pPr>
        <w:pStyle w:val="Paragrafi"/>
        <w:rPr>
          <w:lang w:val="it-IT"/>
        </w:rPr>
      </w:pPr>
      <w:r w:rsidRPr="008F22E4">
        <w:rPr>
          <w:lang w:val="it-IT"/>
        </w:rPr>
        <w:t>2. SABAUDIN, ARJANA E ALI METULI, përfaqësuar nga avokat Arqile Nini, me prokurë.</w:t>
      </w:r>
    </w:p>
    <w:p w:rsidR="007F31F9" w:rsidRPr="008F22E4" w:rsidRDefault="007F31F9" w:rsidP="007F31F9">
      <w:pPr>
        <w:pStyle w:val="Paragrafi"/>
        <w:rPr>
          <w:lang w:val="it-IT"/>
        </w:rPr>
      </w:pPr>
      <w:r w:rsidRPr="008F22E4">
        <w:rPr>
          <w:lang w:val="it-IT"/>
        </w:rPr>
        <w:t>O</w:t>
      </w:r>
      <w:r>
        <w:rPr>
          <w:lang w:val="it-IT"/>
        </w:rPr>
        <w:t>BJEKT</w:t>
      </w:r>
      <w:r w:rsidRPr="008F22E4">
        <w:rPr>
          <w:lang w:val="it-IT"/>
        </w:rPr>
        <w:t>I: Shfuqizimi si antikushtetues</w:t>
      </w:r>
      <w:r>
        <w:rPr>
          <w:lang w:val="it-IT"/>
        </w:rPr>
        <w:t>e të vendimeve nr.400, datë 20.</w:t>
      </w:r>
      <w:r w:rsidRPr="008F22E4">
        <w:rPr>
          <w:lang w:val="it-IT"/>
        </w:rPr>
        <w:t>3.2003 të Gjykatës së Apel</w:t>
      </w:r>
      <w:r>
        <w:rPr>
          <w:lang w:val="it-IT"/>
        </w:rPr>
        <w:t>it Tiranë dhe nr.1129, datë 27.</w:t>
      </w:r>
      <w:r w:rsidRPr="008F22E4">
        <w:rPr>
          <w:lang w:val="it-IT"/>
        </w:rPr>
        <w:t>5.2004 të Kolegjit Civil të Gjykatës së Lartë</w:t>
      </w:r>
      <w:r>
        <w:rPr>
          <w:lang w:val="it-IT"/>
        </w:rPr>
        <w:t>.</w:t>
      </w:r>
    </w:p>
    <w:p w:rsidR="007F31F9" w:rsidRPr="008F22E4" w:rsidRDefault="007F31F9" w:rsidP="007F31F9">
      <w:pPr>
        <w:pStyle w:val="Paragrafi"/>
        <w:rPr>
          <w:lang w:val="it-IT"/>
        </w:rPr>
      </w:pPr>
      <w:r w:rsidRPr="008F22E4">
        <w:rPr>
          <w:lang w:val="it-IT"/>
        </w:rPr>
        <w:t>Për shfuqizimin si antikushtetues</w:t>
      </w:r>
      <w:r>
        <w:rPr>
          <w:lang w:val="it-IT"/>
        </w:rPr>
        <w:t>e</w:t>
      </w:r>
      <w:r w:rsidRPr="008F22E4">
        <w:rPr>
          <w:lang w:val="it-IT"/>
        </w:rPr>
        <w:t xml:space="preserve"> të vendimeve të mësipërme, kërkuesja ka parashtruar këto shkaqe:</w:t>
      </w: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- Në shqyrtimin e kërkesës ankimore, paraqitur nga pala e paditur, nuk është vënë në dijeni nga Gjykata e Apelit Tiranë për datën e për pasojë nuk ka marrë pjesë në shqyrtimin gjyqësor;</w:t>
      </w: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- Gjykata e apelit kishte shkaqe që të shtynte shqyrtimin e çështjes, gjë që nuk e ka kryer;</w:t>
      </w: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- Në gjykimin e rekursit në Gjykatën e Lartë, ka marrë pjesë një gjyqtare, e cila kishte marrë pjesë në gjykimin e çështjes në gjykatën e apelit.</w:t>
      </w:r>
    </w:p>
    <w:p w:rsidR="007F31F9" w:rsidRPr="007F31F9" w:rsidRDefault="007F31F9" w:rsidP="007F31F9">
      <w:pPr>
        <w:pStyle w:val="Paragrafi"/>
        <w:rPr>
          <w:lang w:val="it-IT"/>
        </w:rPr>
      </w:pPr>
    </w:p>
    <w:p w:rsidR="007F31F9" w:rsidRPr="007F31F9" w:rsidRDefault="007F31F9" w:rsidP="007F31F9">
      <w:pPr>
        <w:pStyle w:val="Institucioni"/>
        <w:rPr>
          <w:lang w:val="it-IT"/>
        </w:rPr>
      </w:pPr>
      <w:r w:rsidRPr="007F31F9">
        <w:rPr>
          <w:lang w:val="it-IT"/>
        </w:rPr>
        <w:t>GJYKATA KUSHTETUESE,</w:t>
      </w:r>
    </w:p>
    <w:p w:rsidR="007F31F9" w:rsidRPr="007F31F9" w:rsidRDefault="007F31F9" w:rsidP="007F31F9">
      <w:pPr>
        <w:pStyle w:val="Paragrafi"/>
        <w:rPr>
          <w:lang w:val="it-IT"/>
        </w:rPr>
      </w:pP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pasi dëgjoi relatorin e çështjes, Alfred Karamuço, përfaqësuesit e palëve, si dhe shqyrtoi çështjen në tërësi,</w:t>
      </w:r>
    </w:p>
    <w:p w:rsidR="007F31F9" w:rsidRPr="007F31F9" w:rsidRDefault="007F31F9" w:rsidP="007F31F9">
      <w:pPr>
        <w:pStyle w:val="Paragrafi"/>
        <w:rPr>
          <w:lang w:val="it-IT"/>
        </w:rPr>
      </w:pPr>
    </w:p>
    <w:p w:rsidR="007F31F9" w:rsidRPr="007F31F9" w:rsidRDefault="007F31F9" w:rsidP="007F31F9">
      <w:pPr>
        <w:pStyle w:val="VENDOSIChar"/>
        <w:rPr>
          <w:lang w:val="it-IT"/>
        </w:rPr>
      </w:pPr>
      <w:r w:rsidRPr="007F31F9">
        <w:rPr>
          <w:lang w:val="it-IT"/>
        </w:rPr>
        <w:t>VËREN:</w:t>
      </w:r>
    </w:p>
    <w:p w:rsidR="007F31F9" w:rsidRPr="007F31F9" w:rsidRDefault="007F31F9" w:rsidP="007F31F9">
      <w:pPr>
        <w:pStyle w:val="Paragrafi"/>
        <w:rPr>
          <w:lang w:val="it-IT"/>
        </w:rPr>
      </w:pP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Kërkuesja Fatbardha Alizoti, mbi bazën e testamentit të lënë nga nëna, ka regjistruar si pronë të saj një banesë dhe një kopësht. Ajo ka ngritur padi kundër Bardhyl, Sabaudin, Merxhivan, Arjan e Ali Metuli, duke kërkuar pushimin e cenimit të pronësisë, si dhe lirimin e sipërfaqeve të zëna. Ndërkohë të paditurit, kanë ngritur kundërpadi, ku kanë kërkuar të njihen pronarë për sipërfaqe të caktuara toke.</w:t>
      </w: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Gjykata e Rrethit Gjyqësor Tiranë, me vendimin nr.3519, datë 18.9.2002, ka pranuar pjesërisht padinë, si dhe ka rrëzuar kundërpadinë. Kundër këtij vendimi kanë bërë ankim të paditurit dhe Gjykata e Apelit Tiranë, me vendimin nr.400, datë 20.3.2003, ka ndryshuar vendimin e gjykatës së rrethit duke rrëzuar padinë e Fatbardha Alizotit dhe pranuar kundërpadinë.</w:t>
      </w: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Kolegji Civil i Gjykatës së Lartë, me vendimin nr.1129, datë 27.5.2004, ka lënë në fuqi vendimin e gjykatës së apelit.</w:t>
      </w: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Në tërësinë e këtyre proceseve e vendimeve gjyqësore konkrete, Gjykata Kushtetuese nuk gjen elemente të procesit të parregullt ligjor, ashtu siç pretendohet nga kërkuesja.</w:t>
      </w: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 xml:space="preserve">Vërtetohet se në vendimin e gjykatës së rrethit ka pasur një gabim material lidhur me vendndodhjen e disa shtesave ndërtimi pa leje, të cilat duheshin prishur. Pa përfunduar këto procedura të korrigjimeve materiale, gjykata e apelit ka shpallur ditën dhe orën e gjykimit të kërkesës ankimore </w:t>
      </w:r>
      <w:r w:rsidRPr="007F31F9">
        <w:rPr>
          <w:lang w:val="it-IT"/>
        </w:rPr>
        <w:lastRenderedPageBreak/>
        <w:t>të të paditurve Bardhyl Metuli etj., (kopje e së cilës i është dorëzuar paditëses) duke kryer normalisht detyrimet që rrjedhin nga neni 460 i Kodit të Procedurës Civile.</w:t>
      </w: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Është fakt, që në shqyrtimin e ankimit në gjykatën e apelit nuk ka marrë pjesë si paditësja ashtu dhe përfaqësuesi i saj. Kërkuesja këtë mungesë e argumenton me faktin se shqyrtimi i çështjes në shkallën e dytë nuk mund të bëhej pa u korrigjuar gabimet materiale të vendimit gjyqësor, konform nenit 312 të Kodit të Procedurës Civile. Gjykata Kushtetuese konstaton se në këtë dispozitë, si dhe në tërësi në Kodin e Procedurës Civile, nuk ka ndonjë rregull të vendosur sipas të cilit, korrigjimi i gabimeve me karakter teknik të përbëjë shkak për shtyrjen apo pezullimin e gjykimit të ankimeve ndaj këtij vendimi. Për më tepër, neni 312 i Kodit të Procedurës Civile nuk vendos afat për korrigjimet e as ndonjë kusht pezullues, përkundrazi, nga vetë përmbajtja e dispozitës del e qartë se korrigjimi nuk  ka afat dhe nuk lidhet me fatin e çështjes.</w:t>
      </w:r>
    </w:p>
    <w:p w:rsidR="007F31F9" w:rsidRPr="007F31F9" w:rsidRDefault="007F31F9" w:rsidP="007F31F9">
      <w:pPr>
        <w:pStyle w:val="Paragrafi"/>
        <w:rPr>
          <w:lang w:val="it-IT"/>
        </w:rPr>
      </w:pPr>
    </w:p>
    <w:p w:rsidR="007F31F9" w:rsidRPr="007F31F9" w:rsidRDefault="007F31F9" w:rsidP="007F31F9">
      <w:pPr>
        <w:pStyle w:val="Paragrafi"/>
        <w:rPr>
          <w:lang w:val="it-IT"/>
        </w:rPr>
      </w:pPr>
      <w:r w:rsidRPr="007F31F9">
        <w:rPr>
          <w:lang w:val="it-IT"/>
        </w:rPr>
        <w:t>Në këto kushte, mospjesëmarrja e kërkueses dhe e përfaqësuesit të saj në Gjykatën e Apelit Tiranë, nuk vjen për shkaqe që varen nga gjykata e për rrjedhojë kjo e fundit nuk ka zhvilluar një proces të parregullt ligjor. Gjykata Kushtetuese ka tashmë jurisprudencë të konsoliduar sipas së cilës, procesi i parregullt gjyqësor duhet kërkuar para së gjithash në veprimet e gjykatave, në faktin se sa dhe si ato kanë respektuar detyrimet kushtetuese dhe ligjore për të garantuar të drejtat e qytetarëve në një proces gjyqësor.</w:t>
      </w:r>
    </w:p>
    <w:p w:rsidR="007F31F9" w:rsidRPr="0015256C" w:rsidRDefault="007F31F9" w:rsidP="007F31F9">
      <w:pPr>
        <w:pStyle w:val="Paragrafi"/>
      </w:pPr>
      <w:r w:rsidRPr="0015256C">
        <w:t>Kërkuesja ka parashtruar si shkelje të parimit të procesit të rregullt ligjor edhe pjesëmarrjen e një gjyqtareje në Gjykatën e Lartë në shqyrtimin e rek</w:t>
      </w:r>
      <w:r>
        <w:t>ursit, në një kohë kur po kjo gjyqtare ka qenë pjesëmarrëse, e për më tepër relatore n</w:t>
      </w:r>
      <w:r w:rsidRPr="0015256C">
        <w:t>ë Gjykatën e Apelit Tiranë, në shqyrtimin e çështjes</w:t>
      </w:r>
      <w:r>
        <w:t>. Gjykata Kushtetuese konstaton</w:t>
      </w:r>
      <w:r w:rsidRPr="0015256C">
        <w:t xml:space="preserve"> se në gjykatën e apelit, gjyqtarja nuk ka marrë pjesë në shqyrtimin e themelit të çështjes, por për kërkesën për ndreqjen e gabimit material. Në këto ku</w:t>
      </w:r>
      <w:r>
        <w:t>shte, nuk vërtetohen rastet e ce</w:t>
      </w:r>
      <w:r w:rsidRPr="0015256C">
        <w:t>nimit të paanësisë së gjyqtarit e për pasojë, shkaku për përjashtimin e tij sipas neneve 72-74 të Kodit të Procedurës Civile.</w:t>
      </w:r>
    </w:p>
    <w:p w:rsidR="007F31F9" w:rsidRDefault="007F31F9" w:rsidP="007F31F9">
      <w:pPr>
        <w:pStyle w:val="Paragrafi"/>
      </w:pPr>
    </w:p>
    <w:p w:rsidR="007F31F9" w:rsidRDefault="007F31F9" w:rsidP="007F31F9">
      <w:pPr>
        <w:pStyle w:val="VENDOSIChar"/>
      </w:pPr>
      <w:r>
        <w:t>PËR KËTO ARSYE,</w:t>
      </w:r>
    </w:p>
    <w:p w:rsidR="007F31F9" w:rsidRPr="0015256C" w:rsidRDefault="007F31F9" w:rsidP="007F31F9">
      <w:pPr>
        <w:pStyle w:val="Paragrafi"/>
      </w:pPr>
    </w:p>
    <w:p w:rsidR="007F31F9" w:rsidRPr="0015256C" w:rsidRDefault="007F31F9" w:rsidP="007F31F9">
      <w:pPr>
        <w:pStyle w:val="Paragrafi"/>
      </w:pPr>
      <w:r w:rsidRPr="0015256C">
        <w:t>Gjykata</w:t>
      </w:r>
      <w:r>
        <w:t xml:space="preserve"> Kushtetuese e Republikës së Shq</w:t>
      </w:r>
      <w:r w:rsidRPr="0015256C">
        <w:t>ipërisë, duke u bazuar në nenet 131/f dhe 134/</w:t>
      </w:r>
      <w:r>
        <w:t>g të Kushtetutës së Republikës të Shqipërisë, si dhe n</w:t>
      </w:r>
      <w:r w:rsidRPr="0015256C">
        <w:t>ë n</w:t>
      </w:r>
      <w:r>
        <w:t>enin 72 të ligjit nr.8577, datë 10.</w:t>
      </w:r>
      <w:r w:rsidRPr="0015256C">
        <w:t xml:space="preserve">2.2000 "Për organizimin dhe funksionimin e Gjykatës </w:t>
      </w:r>
      <w:r>
        <w:t>Kushtetuese të Republikës së Shqipërisë", nj</w:t>
      </w:r>
      <w:r w:rsidRPr="0015256C">
        <w:t>ëzëri,</w:t>
      </w:r>
    </w:p>
    <w:p w:rsidR="007F31F9" w:rsidRDefault="007F31F9" w:rsidP="007F31F9">
      <w:pPr>
        <w:pStyle w:val="Paragrafi"/>
      </w:pPr>
    </w:p>
    <w:p w:rsidR="007F31F9" w:rsidRDefault="007F31F9" w:rsidP="007F31F9">
      <w:pPr>
        <w:pStyle w:val="VENDOSIChar"/>
      </w:pPr>
      <w:r w:rsidRPr="0015256C">
        <w:t>VENDOSI:</w:t>
      </w:r>
    </w:p>
    <w:p w:rsidR="007F31F9" w:rsidRPr="0015256C" w:rsidRDefault="007F31F9" w:rsidP="007F31F9">
      <w:pPr>
        <w:pStyle w:val="Paragrafi"/>
      </w:pPr>
    </w:p>
    <w:p w:rsidR="007F31F9" w:rsidRPr="0015256C" w:rsidRDefault="007F31F9" w:rsidP="007F31F9">
      <w:pPr>
        <w:pStyle w:val="Paragrafi"/>
      </w:pPr>
      <w:r w:rsidRPr="0015256C">
        <w:t>- Rrëzimin e kërkesës.</w:t>
      </w:r>
    </w:p>
    <w:p w:rsidR="007F31F9" w:rsidRPr="0015256C" w:rsidRDefault="007F31F9" w:rsidP="007F31F9">
      <w:pPr>
        <w:pStyle w:val="Paragrafi"/>
      </w:pPr>
      <w:r w:rsidRPr="0015256C">
        <w:t>- Ky vendim është përfundimtar, i formës së prerë dhe hyn në fuqi ditën e botimit në Fletoren Zyrtare.</w:t>
      </w:r>
    </w:p>
    <w:p w:rsidR="007F31F9" w:rsidRPr="0015256C" w:rsidRDefault="007F31F9" w:rsidP="007F31F9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0080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F31F9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04EB6D-6D54-4F46-888F-9D7E853AC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VENDOSIChar">
    <w:name w:val="VENDOSI Char"/>
    <w:next w:val="Normal"/>
    <w:link w:val="VENDOSICharChar"/>
    <w:rsid w:val="007F31F9"/>
    <w:pPr>
      <w:keepNext/>
      <w:widowControl w:val="0"/>
      <w:jc w:val="center"/>
    </w:pPr>
    <w:rPr>
      <w:rFonts w:ascii="CG Times" w:hAnsi="CG Times"/>
      <w:caps/>
      <w:noProof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7F31F9"/>
    <w:rPr>
      <w:rFonts w:ascii="CG Times" w:hAnsi="CG Times"/>
      <w:caps/>
      <w:noProof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