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37B" w:rsidRDefault="005A537B" w:rsidP="005A537B">
      <w:pPr>
        <w:pStyle w:val="Akti"/>
      </w:pPr>
      <w:bookmarkStart w:id="0" w:name="_GoBack"/>
      <w:bookmarkEnd w:id="0"/>
      <w:r>
        <w:t>VENDI</w:t>
      </w:r>
      <w:r w:rsidRPr="003D507F">
        <w:t>M</w:t>
      </w:r>
    </w:p>
    <w:p w:rsidR="005A537B" w:rsidRPr="009D7579" w:rsidRDefault="005A537B" w:rsidP="005A537B">
      <w:pPr>
        <w:pStyle w:val="NumriData"/>
      </w:pPr>
      <w:r>
        <w:t>Nr.17, datë 18.</w:t>
      </w:r>
      <w:r w:rsidRPr="009D7579">
        <w:t>7.2005</w:t>
      </w:r>
    </w:p>
    <w:p w:rsidR="005A537B" w:rsidRPr="003D507F" w:rsidRDefault="005A537B" w:rsidP="005A537B">
      <w:pPr>
        <w:pStyle w:val="Paragrafi"/>
      </w:pPr>
    </w:p>
    <w:p w:rsidR="005A537B" w:rsidRPr="003D507F" w:rsidRDefault="005A537B" w:rsidP="005A537B">
      <w:pPr>
        <w:pStyle w:val="TitulliTitull"/>
      </w:pPr>
      <w:r w:rsidRPr="003D507F">
        <w:t>NË EMËR TË R</w:t>
      </w:r>
      <w:r>
        <w:t>EPUBLIKËS SË SHQIPËRISË</w:t>
      </w:r>
    </w:p>
    <w:p w:rsidR="005A537B" w:rsidRPr="003D507F" w:rsidRDefault="005A537B" w:rsidP="005A537B">
      <w:pPr>
        <w:pStyle w:val="Paragrafi"/>
      </w:pPr>
    </w:p>
    <w:p w:rsidR="005A537B" w:rsidRDefault="005A537B" w:rsidP="005A537B">
      <w:pPr>
        <w:pStyle w:val="Paragrafi"/>
      </w:pPr>
      <w:r w:rsidRPr="003D507F">
        <w:t>Gjykata Kushtetuese e Republikës së Shqipërisë, e përbërë nga:</w:t>
      </w:r>
    </w:p>
    <w:p w:rsidR="005A537B" w:rsidRPr="003D507F" w:rsidRDefault="005A537B" w:rsidP="005A537B">
      <w:pPr>
        <w:pStyle w:val="Paragrafi"/>
      </w:pPr>
    </w:p>
    <w:p w:rsidR="005A537B" w:rsidRPr="003D507F" w:rsidRDefault="005A537B" w:rsidP="005A537B">
      <w:pPr>
        <w:pStyle w:val="Paragrafi"/>
      </w:pPr>
      <w:r>
        <w:t>Gjergj Sauli</w:t>
      </w:r>
      <w:r w:rsidRPr="003D507F">
        <w:tab/>
      </w:r>
      <w:r w:rsidRPr="003D507F">
        <w:tab/>
        <w:t xml:space="preserve">Kryetar  i Gjykatës Kushtetuese </w:t>
      </w:r>
    </w:p>
    <w:p w:rsidR="005A537B" w:rsidRPr="009D7579" w:rsidRDefault="005A537B" w:rsidP="005A537B">
      <w:pPr>
        <w:pStyle w:val="Paragrafi"/>
        <w:rPr>
          <w:lang w:val="it-IT"/>
        </w:rPr>
      </w:pPr>
      <w:r>
        <w:rPr>
          <w:lang w:val="it-IT"/>
        </w:rPr>
        <w:t>Alfred Karamuço</w:t>
      </w:r>
      <w:r w:rsidRPr="009D7579">
        <w:rPr>
          <w:lang w:val="it-IT"/>
        </w:rPr>
        <w:tab/>
        <w:t>Anëtar   i</w:t>
      </w:r>
      <w:r w:rsidRPr="009D7579">
        <w:rPr>
          <w:lang w:val="it-IT"/>
        </w:rPr>
        <w:tab/>
        <w:t>“</w:t>
      </w:r>
      <w:r w:rsidRPr="009D7579">
        <w:rPr>
          <w:lang w:val="it-IT"/>
        </w:rPr>
        <w:tab/>
        <w:t>“</w:t>
      </w:r>
    </w:p>
    <w:p w:rsidR="005A537B" w:rsidRPr="009D7579" w:rsidRDefault="005A537B" w:rsidP="005A537B">
      <w:pPr>
        <w:pStyle w:val="Paragrafi"/>
        <w:rPr>
          <w:lang w:val="it-IT"/>
        </w:rPr>
      </w:pPr>
      <w:r>
        <w:rPr>
          <w:lang w:val="it-IT"/>
        </w:rPr>
        <w:t>Fehmi Abdiu</w:t>
      </w:r>
      <w:r w:rsidRPr="009D7579">
        <w:rPr>
          <w:lang w:val="it-IT"/>
        </w:rPr>
        <w:tab/>
      </w:r>
      <w:r w:rsidRPr="009D7579">
        <w:rPr>
          <w:lang w:val="it-IT"/>
        </w:rPr>
        <w:tab/>
        <w:t>Anëtar   i</w:t>
      </w:r>
      <w:r w:rsidRPr="009D7579">
        <w:rPr>
          <w:lang w:val="it-IT"/>
        </w:rPr>
        <w:tab/>
        <w:t>“</w:t>
      </w:r>
      <w:r w:rsidRPr="009D7579">
        <w:rPr>
          <w:lang w:val="it-IT"/>
        </w:rPr>
        <w:tab/>
        <w:t xml:space="preserve">“ </w:t>
      </w:r>
      <w:r w:rsidRPr="009D7579">
        <w:rPr>
          <w:lang w:val="it-IT"/>
        </w:rPr>
        <w:tab/>
        <w:t xml:space="preserve">   </w:t>
      </w:r>
    </w:p>
    <w:p w:rsidR="005A537B" w:rsidRPr="009D7579" w:rsidRDefault="005A537B" w:rsidP="005A537B">
      <w:pPr>
        <w:pStyle w:val="Paragrafi"/>
        <w:rPr>
          <w:lang w:val="it-IT"/>
        </w:rPr>
      </w:pPr>
      <w:r>
        <w:rPr>
          <w:lang w:val="it-IT"/>
        </w:rPr>
        <w:t>Kujtim Puto</w:t>
      </w:r>
      <w:r w:rsidRPr="009D7579">
        <w:rPr>
          <w:lang w:val="it-IT"/>
        </w:rPr>
        <w:tab/>
      </w:r>
      <w:r w:rsidRPr="009D7579">
        <w:rPr>
          <w:lang w:val="it-IT"/>
        </w:rPr>
        <w:tab/>
        <w:t xml:space="preserve">Anëtar   i </w:t>
      </w:r>
      <w:r w:rsidRPr="009D7579">
        <w:rPr>
          <w:lang w:val="it-IT"/>
        </w:rPr>
        <w:tab/>
        <w:t>“</w:t>
      </w:r>
      <w:r w:rsidRPr="009D7579">
        <w:rPr>
          <w:lang w:val="it-IT"/>
        </w:rPr>
        <w:tab/>
        <w:t>“</w:t>
      </w:r>
      <w:r w:rsidRPr="009D7579">
        <w:rPr>
          <w:lang w:val="it-IT"/>
        </w:rPr>
        <w:tab/>
        <w:t xml:space="preserve">   </w:t>
      </w:r>
    </w:p>
    <w:p w:rsidR="005A537B" w:rsidRPr="009D7579" w:rsidRDefault="005A537B" w:rsidP="005A537B">
      <w:pPr>
        <w:pStyle w:val="Paragrafi"/>
        <w:rPr>
          <w:lang w:val="it-IT"/>
        </w:rPr>
      </w:pPr>
      <w:r w:rsidRPr="009D7579">
        <w:rPr>
          <w:lang w:val="it-IT"/>
        </w:rPr>
        <w:t>Vjollca Meçaj</w:t>
      </w:r>
      <w:r w:rsidRPr="009D7579">
        <w:rPr>
          <w:lang w:val="it-IT"/>
        </w:rPr>
        <w:tab/>
      </w:r>
      <w:r w:rsidRPr="009D7579">
        <w:rPr>
          <w:lang w:val="it-IT"/>
        </w:rPr>
        <w:tab/>
        <w:t>Anëtare e</w:t>
      </w:r>
      <w:r w:rsidRPr="009D7579">
        <w:rPr>
          <w:lang w:val="it-IT"/>
        </w:rPr>
        <w:tab/>
        <w:t>“</w:t>
      </w:r>
      <w:r w:rsidRPr="009D7579">
        <w:rPr>
          <w:lang w:val="it-IT"/>
        </w:rPr>
        <w:tab/>
        <w:t>“</w:t>
      </w:r>
    </w:p>
    <w:p w:rsidR="005A537B" w:rsidRPr="009D7579" w:rsidRDefault="005A537B" w:rsidP="005A537B">
      <w:pPr>
        <w:pStyle w:val="Paragrafi"/>
        <w:rPr>
          <w:lang w:val="it-IT"/>
        </w:rPr>
      </w:pPr>
      <w:r>
        <w:rPr>
          <w:lang w:val="it-IT"/>
        </w:rPr>
        <w:t>Xhezair Zaganjori</w:t>
      </w:r>
      <w:r w:rsidRPr="009D7579">
        <w:rPr>
          <w:lang w:val="it-IT"/>
        </w:rPr>
        <w:t xml:space="preserve">   </w:t>
      </w:r>
      <w:r w:rsidRPr="009D7579">
        <w:rPr>
          <w:lang w:val="it-IT"/>
        </w:rPr>
        <w:tab/>
        <w:t xml:space="preserve">Anëtar   i </w:t>
      </w:r>
      <w:r w:rsidRPr="009D7579">
        <w:rPr>
          <w:lang w:val="it-IT"/>
        </w:rPr>
        <w:tab/>
        <w:t>“</w:t>
      </w:r>
      <w:r w:rsidRPr="009D7579">
        <w:rPr>
          <w:lang w:val="it-IT"/>
        </w:rPr>
        <w:tab/>
        <w:t>“</w:t>
      </w:r>
    </w:p>
    <w:p w:rsidR="005A537B" w:rsidRPr="009D7579" w:rsidRDefault="005A537B" w:rsidP="005A537B">
      <w:pPr>
        <w:pStyle w:val="Paragrafi"/>
        <w:rPr>
          <w:lang w:val="it-IT"/>
        </w:rPr>
      </w:pPr>
      <w:r>
        <w:rPr>
          <w:lang w:val="it-IT"/>
        </w:rPr>
        <w:t>Petrit Plloçi</w:t>
      </w:r>
      <w:r w:rsidRPr="009D7579">
        <w:rPr>
          <w:lang w:val="it-IT"/>
        </w:rPr>
        <w:tab/>
      </w:r>
      <w:r w:rsidRPr="009D7579">
        <w:rPr>
          <w:lang w:val="it-IT"/>
        </w:rPr>
        <w:tab/>
        <w:t>Anëtar   i</w:t>
      </w:r>
      <w:r w:rsidRPr="009D7579">
        <w:rPr>
          <w:lang w:val="it-IT"/>
        </w:rPr>
        <w:tab/>
        <w:t>“</w:t>
      </w:r>
      <w:r w:rsidRPr="009D7579">
        <w:rPr>
          <w:lang w:val="it-IT"/>
        </w:rPr>
        <w:tab/>
        <w:t xml:space="preserve">“            </w:t>
      </w:r>
    </w:p>
    <w:p w:rsidR="005A537B" w:rsidRPr="009D7579" w:rsidRDefault="005A537B" w:rsidP="005A537B">
      <w:pPr>
        <w:pStyle w:val="Paragrafi"/>
        <w:rPr>
          <w:lang w:val="it-IT"/>
        </w:rPr>
      </w:pPr>
      <w:r>
        <w:rPr>
          <w:lang w:val="it-IT"/>
        </w:rPr>
        <w:t>Sokol Sadushi</w:t>
      </w:r>
      <w:r w:rsidRPr="009D7579">
        <w:rPr>
          <w:lang w:val="it-IT"/>
        </w:rPr>
        <w:tab/>
      </w:r>
      <w:r>
        <w:rPr>
          <w:lang w:val="it-IT"/>
        </w:rPr>
        <w:tab/>
      </w:r>
      <w:r w:rsidRPr="009D7579">
        <w:rPr>
          <w:lang w:val="it-IT"/>
        </w:rPr>
        <w:t>Anëtar   i</w:t>
      </w:r>
      <w:r w:rsidRPr="009D7579">
        <w:rPr>
          <w:lang w:val="it-IT"/>
        </w:rPr>
        <w:tab/>
        <w:t>“</w:t>
      </w:r>
      <w:r w:rsidRPr="009D7579">
        <w:rPr>
          <w:lang w:val="it-IT"/>
        </w:rPr>
        <w:tab/>
        <w:t>“</w:t>
      </w:r>
    </w:p>
    <w:p w:rsidR="005A537B" w:rsidRDefault="005A537B" w:rsidP="005A537B">
      <w:pPr>
        <w:pStyle w:val="Paragrafi"/>
        <w:rPr>
          <w:lang w:val="it-IT"/>
        </w:rPr>
      </w:pPr>
      <w:r>
        <w:rPr>
          <w:lang w:val="it-IT"/>
        </w:rPr>
        <w:t>Kristofor Peçi</w:t>
      </w:r>
      <w:r w:rsidRPr="009D7579">
        <w:rPr>
          <w:lang w:val="it-IT"/>
        </w:rPr>
        <w:tab/>
      </w:r>
      <w:r w:rsidRPr="009D7579">
        <w:rPr>
          <w:lang w:val="it-IT"/>
        </w:rPr>
        <w:tab/>
        <w:t>Anëtar   i</w:t>
      </w:r>
      <w:r w:rsidRPr="009D7579">
        <w:rPr>
          <w:lang w:val="it-IT"/>
        </w:rPr>
        <w:tab/>
        <w:t>“</w:t>
      </w:r>
      <w:r w:rsidRPr="009D7579">
        <w:rPr>
          <w:lang w:val="it-IT"/>
        </w:rPr>
        <w:tab/>
        <w:t>“</w:t>
      </w:r>
    </w:p>
    <w:p w:rsidR="005A537B" w:rsidRPr="009D7579" w:rsidRDefault="005A537B" w:rsidP="005A537B">
      <w:pPr>
        <w:pStyle w:val="Paragrafi"/>
        <w:rPr>
          <w:lang w:val="it-IT"/>
        </w:rPr>
      </w:pPr>
      <w:r w:rsidRPr="009D7579">
        <w:rPr>
          <w:lang w:val="it-IT"/>
        </w:rPr>
        <w:tab/>
        <w:t xml:space="preserve"> </w:t>
      </w:r>
    </w:p>
    <w:p w:rsidR="005A537B" w:rsidRDefault="005A537B" w:rsidP="005A537B">
      <w:pPr>
        <w:pStyle w:val="Paragrafi"/>
        <w:rPr>
          <w:lang w:val="it-IT"/>
        </w:rPr>
      </w:pPr>
      <w:r w:rsidRPr="009D7579">
        <w:rPr>
          <w:lang w:val="it-IT"/>
        </w:rPr>
        <w:t xml:space="preserve">me sekretare Arbenka Lalica, në datë 12.11.2004, mori në shqyrtim në seancë gjyqësore me dyer të hapura çështjen me nr.25 Akti që i përket: </w:t>
      </w:r>
    </w:p>
    <w:p w:rsidR="005A537B" w:rsidRPr="009D7579" w:rsidRDefault="005A537B" w:rsidP="005A537B">
      <w:pPr>
        <w:pStyle w:val="Paragrafi"/>
        <w:rPr>
          <w:lang w:val="it-IT"/>
        </w:rPr>
      </w:pPr>
    </w:p>
    <w:p w:rsidR="005A537B" w:rsidRPr="009D7579" w:rsidRDefault="005A537B" w:rsidP="005A537B">
      <w:pPr>
        <w:pStyle w:val="Paragrafi"/>
        <w:rPr>
          <w:lang w:val="it-IT"/>
        </w:rPr>
      </w:pPr>
      <w:r>
        <w:rPr>
          <w:lang w:val="it-IT"/>
        </w:rPr>
        <w:t xml:space="preserve">KËRKUES: </w:t>
      </w:r>
      <w:r w:rsidRPr="009D7579">
        <w:rPr>
          <w:lang w:val="it-IT"/>
        </w:rPr>
        <w:t>HEK</w:t>
      </w:r>
      <w:r>
        <w:rPr>
          <w:lang w:val="it-IT"/>
        </w:rPr>
        <w:t>TOR QIRJAQI, MUHAMET HATIA, SHKË</w:t>
      </w:r>
      <w:r w:rsidRPr="009D7579">
        <w:rPr>
          <w:lang w:val="it-IT"/>
        </w:rPr>
        <w:t xml:space="preserve">LQIM AKULLI E ADEM DRACI, përfaqësuar nga avokat Arqile Nini, me prokurë. </w:t>
      </w:r>
    </w:p>
    <w:p w:rsidR="005A537B" w:rsidRPr="009D7579" w:rsidRDefault="005A537B" w:rsidP="005A537B">
      <w:pPr>
        <w:pStyle w:val="Paragrafi"/>
        <w:rPr>
          <w:lang w:val="it-IT"/>
        </w:rPr>
      </w:pPr>
      <w:r>
        <w:rPr>
          <w:lang w:val="it-IT"/>
        </w:rPr>
        <w:t>SUBJEKTE TË</w:t>
      </w:r>
      <w:r w:rsidRPr="009D7579">
        <w:rPr>
          <w:lang w:val="it-IT"/>
        </w:rPr>
        <w:t xml:space="preserve"> INTERESUARA:</w:t>
      </w:r>
      <w:r>
        <w:rPr>
          <w:lang w:val="it-IT"/>
        </w:rPr>
        <w:t xml:space="preserve"> 1. SPIRO ZË</w:t>
      </w:r>
      <w:r w:rsidRPr="009D7579">
        <w:rPr>
          <w:lang w:val="it-IT"/>
        </w:rPr>
        <w:t>RI,  përfaqësuar  nga  avokatët Maksim Haxhia e Amalia Zëri, me</w:t>
      </w:r>
      <w:r>
        <w:rPr>
          <w:lang w:val="it-IT"/>
        </w:rPr>
        <w:t xml:space="preserve"> </w:t>
      </w:r>
      <w:r w:rsidRPr="009D7579">
        <w:rPr>
          <w:lang w:val="it-IT"/>
        </w:rPr>
        <w:t>prokurë.</w:t>
      </w:r>
    </w:p>
    <w:p w:rsidR="005A537B" w:rsidRPr="009D7579" w:rsidRDefault="005A537B" w:rsidP="005A537B">
      <w:pPr>
        <w:pStyle w:val="Paragrafi"/>
        <w:rPr>
          <w:lang w:val="it-IT"/>
        </w:rPr>
      </w:pPr>
      <w:r>
        <w:rPr>
          <w:lang w:val="it-IT"/>
        </w:rPr>
        <w:t>2. SHOQË</w:t>
      </w:r>
      <w:r w:rsidRPr="009D7579">
        <w:rPr>
          <w:lang w:val="it-IT"/>
        </w:rPr>
        <w:t>RIA “SERVCOM” SHA, FIER, përfaqësuar nga juristi Andius Olldashi, me autorizim.</w:t>
      </w:r>
    </w:p>
    <w:p w:rsidR="005A537B" w:rsidRPr="009D7579" w:rsidRDefault="005A537B" w:rsidP="005A537B">
      <w:pPr>
        <w:pStyle w:val="Paragrafi"/>
        <w:rPr>
          <w:lang w:val="it-IT"/>
        </w:rPr>
      </w:pPr>
      <w:r w:rsidRPr="009D7579">
        <w:rPr>
          <w:lang w:val="it-IT"/>
        </w:rPr>
        <w:t xml:space="preserve">3. KOMISIONI I KTHIMIT DHE </w:t>
      </w:r>
      <w:r>
        <w:rPr>
          <w:lang w:val="it-IT"/>
        </w:rPr>
        <w:t>I KOMPENSIMIT TË PRONAVE, pranë q</w:t>
      </w:r>
      <w:r w:rsidRPr="009D7579">
        <w:rPr>
          <w:lang w:val="it-IT"/>
        </w:rPr>
        <w:t>arku</w:t>
      </w:r>
      <w:r>
        <w:rPr>
          <w:lang w:val="it-IT"/>
        </w:rPr>
        <w:t>t</w:t>
      </w:r>
      <w:r w:rsidRPr="009D7579">
        <w:rPr>
          <w:lang w:val="it-IT"/>
        </w:rPr>
        <w:t xml:space="preserve"> Tiranë, në mungesë.</w:t>
      </w:r>
    </w:p>
    <w:p w:rsidR="005A537B" w:rsidRPr="009D7579" w:rsidRDefault="005A537B" w:rsidP="005A537B">
      <w:pPr>
        <w:pStyle w:val="Paragrafi"/>
        <w:rPr>
          <w:lang w:val="it-IT"/>
        </w:rPr>
      </w:pPr>
      <w:r>
        <w:rPr>
          <w:lang w:val="it-IT"/>
        </w:rPr>
        <w:t xml:space="preserve">OBJEKTI: </w:t>
      </w:r>
      <w:r w:rsidRPr="009D7579">
        <w:rPr>
          <w:lang w:val="it-IT"/>
        </w:rPr>
        <w:t>Shfuqizimi si antikushtetues i vendimit nr.17, da</w:t>
      </w:r>
      <w:r>
        <w:rPr>
          <w:lang w:val="it-IT"/>
        </w:rPr>
        <w:t>të 10.</w:t>
      </w:r>
      <w:r w:rsidRPr="009D7579">
        <w:rPr>
          <w:lang w:val="it-IT"/>
        </w:rPr>
        <w:t>3.2004 të Kolegjit Civil të Gjykatës së Lartë.</w:t>
      </w:r>
    </w:p>
    <w:p w:rsidR="005A537B" w:rsidRPr="009D7579" w:rsidRDefault="005A537B" w:rsidP="005A537B">
      <w:pPr>
        <w:pStyle w:val="Paragrafi"/>
        <w:rPr>
          <w:lang w:val="it-IT"/>
        </w:rPr>
      </w:pPr>
      <w:r>
        <w:rPr>
          <w:lang w:val="it-IT"/>
        </w:rPr>
        <w:t xml:space="preserve">BAZA LIGJORE: </w:t>
      </w:r>
      <w:r w:rsidRPr="009D7579">
        <w:rPr>
          <w:lang w:val="it-IT"/>
        </w:rPr>
        <w:t>Nenet 33/1, 42/1, 131/f e 134/g të Kushtetutës</w:t>
      </w:r>
      <w:r>
        <w:rPr>
          <w:lang w:val="it-IT"/>
        </w:rPr>
        <w:t>,</w:t>
      </w:r>
      <w:r w:rsidRPr="009D7579">
        <w:rPr>
          <w:lang w:val="it-IT"/>
        </w:rPr>
        <w:t xml:space="preserve"> si dhe nenet 27</w:t>
      </w:r>
      <w:r>
        <w:rPr>
          <w:lang w:val="it-IT"/>
        </w:rPr>
        <w:t>-30 të ligjit nr.8577, datë 10.</w:t>
      </w:r>
      <w:r w:rsidRPr="009D7579">
        <w:rPr>
          <w:lang w:val="it-IT"/>
        </w:rPr>
        <w:t>2.2000 “Për organizimin dhe funksionimin e Gjykatës Kushtetuese të Republikës së Shqipërisë”.</w:t>
      </w:r>
    </w:p>
    <w:p w:rsidR="005A537B" w:rsidRPr="009D7579" w:rsidRDefault="005A537B" w:rsidP="005A537B">
      <w:pPr>
        <w:pStyle w:val="Paragrafi"/>
        <w:rPr>
          <w:lang w:val="it-IT"/>
        </w:rPr>
      </w:pPr>
    </w:p>
    <w:p w:rsidR="005A537B" w:rsidRPr="009D7579" w:rsidRDefault="005A537B" w:rsidP="005A537B">
      <w:pPr>
        <w:pStyle w:val="Paragrafi"/>
        <w:rPr>
          <w:lang w:val="it-IT"/>
        </w:rPr>
      </w:pPr>
      <w:r w:rsidRPr="009D7579">
        <w:rPr>
          <w:lang w:val="it-IT"/>
        </w:rPr>
        <w:t>Kërkuesit kanë parashtruar këto shkaqe për shfuqizimin si antikushtetues të vendimit të mësipërm:</w:t>
      </w:r>
    </w:p>
    <w:p w:rsidR="005A537B" w:rsidRPr="009D7579" w:rsidRDefault="005A537B" w:rsidP="005A537B">
      <w:pPr>
        <w:pStyle w:val="Paragrafi"/>
        <w:rPr>
          <w:lang w:val="it-IT"/>
        </w:rPr>
      </w:pPr>
      <w:r w:rsidRPr="009D7579">
        <w:rPr>
          <w:lang w:val="it-IT"/>
        </w:rPr>
        <w:t>1. Vendimi është marrë në dhomën e këshillimit. Çështja duhej të shqyrtohej në seancë gjyqësore me praninë e të gjitha palëve, për t’u dhënë mundësinë për të shprehur pretendimet dhe kundërshtimet për provën e re të paraqitur dhe pastaj të vendoste gjykata. Ky pretendim mbështetet edhe në praktikën e Gjykatës Kushtetuese dhe konkret</w:t>
      </w:r>
      <w:r>
        <w:rPr>
          <w:lang w:val="it-IT"/>
        </w:rPr>
        <w:t>isht në vendimin nr.6, datë 26.2.2003.</w:t>
      </w:r>
    </w:p>
    <w:p w:rsidR="005A537B" w:rsidRPr="009D7579" w:rsidRDefault="005A537B" w:rsidP="005A537B">
      <w:pPr>
        <w:pStyle w:val="Paragrafi"/>
        <w:rPr>
          <w:lang w:val="it-IT"/>
        </w:rPr>
      </w:pPr>
      <w:r w:rsidRPr="009D7579">
        <w:rPr>
          <w:lang w:val="it-IT"/>
        </w:rPr>
        <w:t xml:space="preserve">2. Në kundërshtim me kërkesat e neneve 442 e 447 të Kodit të Procedurës Civile kërkesa për rishikim e bërë nga pala tjetër, nuk u është njoftuar kërkuesve, duke shkelur kështu parimin e kontradiktoritetit në gjykim, parashikuar në nenet 19 e 20 të Kodit të Procedurës Civile. </w:t>
      </w:r>
    </w:p>
    <w:p w:rsidR="005A537B" w:rsidRPr="009D7579" w:rsidRDefault="005A537B" w:rsidP="005A537B">
      <w:pPr>
        <w:pStyle w:val="Paragrafi"/>
        <w:rPr>
          <w:lang w:val="it-IT"/>
        </w:rPr>
      </w:pPr>
      <w:r>
        <w:rPr>
          <w:lang w:val="it-IT"/>
        </w:rPr>
        <w:t>Përfaqësuesit e subjekteve të i</w:t>
      </w:r>
      <w:r w:rsidRPr="009D7579">
        <w:rPr>
          <w:lang w:val="it-IT"/>
        </w:rPr>
        <w:t>nteresuara, kanë parashtruar:</w:t>
      </w:r>
    </w:p>
    <w:p w:rsidR="005A537B" w:rsidRPr="009D7579" w:rsidRDefault="005A537B" w:rsidP="005A537B">
      <w:pPr>
        <w:pStyle w:val="Paragrafi"/>
        <w:rPr>
          <w:lang w:val="it-IT"/>
        </w:rPr>
      </w:pPr>
      <w:r w:rsidRPr="009D7579">
        <w:rPr>
          <w:lang w:val="it-IT"/>
        </w:rPr>
        <w:t>1. Kërkuesit nuk legjitimohen për t’iu drejtuar Gjykatës Kushtetuese për faktin se gjykata e apelit ka vendosur pushimin e shqyrtimit në lidhje me ta, vendim që nuk është kundër</w:t>
      </w:r>
      <w:r>
        <w:rPr>
          <w:lang w:val="it-IT"/>
        </w:rPr>
        <w:t>shtuar prej tyre.</w:t>
      </w:r>
    </w:p>
    <w:p w:rsidR="005A537B" w:rsidRPr="009D7579" w:rsidRDefault="005A537B" w:rsidP="005A537B">
      <w:pPr>
        <w:pStyle w:val="Paragrafi"/>
        <w:rPr>
          <w:lang w:val="it-IT"/>
        </w:rPr>
      </w:pPr>
      <w:r w:rsidRPr="009D7579">
        <w:rPr>
          <w:lang w:val="it-IT"/>
        </w:rPr>
        <w:t>2. Me vendimin e rishikimit çështja nuk është gjykuar në themel. Ai është një vendim i ndërmjetëm që e kalon çështjen për rishqyrtim duke u dhënë mundësi palëve të riballafaqoh</w:t>
      </w:r>
      <w:r>
        <w:rPr>
          <w:lang w:val="it-IT"/>
        </w:rPr>
        <w:t>en nën dritën e fakteve të reja.</w:t>
      </w:r>
    </w:p>
    <w:p w:rsidR="005A537B" w:rsidRDefault="005A537B" w:rsidP="005A537B">
      <w:pPr>
        <w:pStyle w:val="Paragrafi"/>
      </w:pPr>
      <w:r w:rsidRPr="003D507F">
        <w:t>3. Në dhomën e këshillimit nuk thirren palët. Për këtë, ka edhe praktikë të Gjykatës Kushtetuese.</w:t>
      </w:r>
    </w:p>
    <w:p w:rsidR="005A537B" w:rsidRPr="0071667D" w:rsidRDefault="005A537B" w:rsidP="005A537B">
      <w:pPr>
        <w:pStyle w:val="Paragrafi"/>
        <w:rPr>
          <w:sz w:val="16"/>
        </w:rPr>
      </w:pPr>
    </w:p>
    <w:p w:rsidR="005A537B" w:rsidRDefault="005A537B" w:rsidP="005A537B">
      <w:pPr>
        <w:pStyle w:val="Institucioni"/>
      </w:pPr>
      <w:r w:rsidRPr="003D507F">
        <w:t>GJYKATA KUSHTETUESE,</w:t>
      </w:r>
    </w:p>
    <w:p w:rsidR="005A537B" w:rsidRPr="0071667D" w:rsidRDefault="005A537B" w:rsidP="005A537B">
      <w:pPr>
        <w:pStyle w:val="Paragrafi"/>
        <w:rPr>
          <w:sz w:val="16"/>
        </w:rPr>
      </w:pPr>
    </w:p>
    <w:p w:rsidR="005A537B" w:rsidRDefault="005A537B" w:rsidP="005A537B">
      <w:pPr>
        <w:pStyle w:val="Paragrafi"/>
      </w:pPr>
      <w:r w:rsidRPr="003D507F">
        <w:t xml:space="preserve">pasi dëgjoi relatorin Kristofor Peçi, përfaqësuesit e kërkuesve, të subjekteve të interesuara dhe </w:t>
      </w:r>
      <w:r w:rsidRPr="003D507F">
        <w:lastRenderedPageBreak/>
        <w:t>bisedoi çështjen në tërësi,</w:t>
      </w:r>
    </w:p>
    <w:p w:rsidR="005A537B" w:rsidRPr="0071667D" w:rsidRDefault="005A537B" w:rsidP="005A537B">
      <w:pPr>
        <w:pStyle w:val="Paragrafi"/>
        <w:rPr>
          <w:sz w:val="16"/>
        </w:rPr>
      </w:pPr>
    </w:p>
    <w:p w:rsidR="005A537B" w:rsidRDefault="005A537B" w:rsidP="005A537B">
      <w:pPr>
        <w:pStyle w:val="VENDOSIChar"/>
      </w:pPr>
      <w:r>
        <w:t>VËREN</w:t>
      </w:r>
      <w:r w:rsidRPr="003D507F">
        <w:t>:</w:t>
      </w:r>
    </w:p>
    <w:p w:rsidR="005A537B" w:rsidRPr="0071667D" w:rsidRDefault="005A537B" w:rsidP="005A537B">
      <w:pPr>
        <w:pStyle w:val="Paragrafi"/>
        <w:rPr>
          <w:sz w:val="18"/>
        </w:rPr>
      </w:pPr>
    </w:p>
    <w:p w:rsidR="005A537B" w:rsidRPr="003D507F" w:rsidRDefault="005A537B" w:rsidP="005A537B">
      <w:pPr>
        <w:pStyle w:val="Paragrafi"/>
      </w:pPr>
      <w:r w:rsidRPr="003D507F">
        <w:t>Gjykata e Rrethit Gjyqësor</w:t>
      </w:r>
      <w:r>
        <w:t>,</w:t>
      </w:r>
      <w:r w:rsidRPr="003D507F">
        <w:t xml:space="preserve"> Sarandë me vendimin nr.199, datë 26.3.2001, ka</w:t>
      </w:r>
      <w:r>
        <w:t xml:space="preserve"> vendosur pranimin e padisë së shoqërisë “Servcom” s</w:t>
      </w:r>
      <w:r w:rsidRPr="003D507F">
        <w:t>h</w:t>
      </w:r>
      <w:r>
        <w:t>.a.</w:t>
      </w:r>
      <w:r w:rsidRPr="003D507F">
        <w:t xml:space="preserve"> (me persona të tretë kërkuesit Hektor Qirjaqi, Adem Draçi, Muhamet Hatia e Shkëlqim Akulli), duke sh</w:t>
      </w:r>
      <w:r>
        <w:t>fuqizuar vendimin nr.272, datë 8.</w:t>
      </w:r>
      <w:r w:rsidRPr="003D507F">
        <w:t>2.1996 të Komisionit të Kthimit dhe Kompensimit të Pronave, përsa i përket njohjes së pronësisë së trashëgimlënësve Jorgji e Vasil Zëri, mbi një ndërtesë dy katë</w:t>
      </w:r>
      <w:r>
        <w:t>she në qytetin e Sarandës, ish-zyrat e n</w:t>
      </w:r>
      <w:r w:rsidRPr="003D507F">
        <w:t xml:space="preserve">aftës, pronë e palës paditëse dhe të sipërfaqes së truallit prej 271.6 m² në funksion të objektit. </w:t>
      </w:r>
    </w:p>
    <w:p w:rsidR="005A537B" w:rsidRPr="003D507F" w:rsidRDefault="005A537B" w:rsidP="005A537B">
      <w:pPr>
        <w:pStyle w:val="Paragrafi"/>
      </w:pPr>
      <w:r w:rsidRPr="003D507F">
        <w:t>Gjykata e Apelit Gjirokastër</w:t>
      </w:r>
      <w:r>
        <w:t>, me vendimin nr.374, datë 17.</w:t>
      </w:r>
      <w:r w:rsidRPr="003D507F">
        <w:t>7.2001, ka vendosur lënien në fuqi të vendimit të Gjykatës së Rrethit Gjyqësor Sarandë në lidhje me pranimin</w:t>
      </w:r>
      <w:r>
        <w:t xml:space="preserve"> e padisë së paditësit për anulimin e vendimit të Komisionit të Kthimit dhe Kompensimit të P</w:t>
      </w:r>
      <w:r w:rsidRPr="003D507F">
        <w:t>ronave dhe prishjen e vendimit e pushimin e gjykimit për personat e tretë.</w:t>
      </w:r>
    </w:p>
    <w:p w:rsidR="005A537B" w:rsidRPr="003D507F" w:rsidRDefault="005A537B" w:rsidP="005A537B">
      <w:pPr>
        <w:pStyle w:val="Paragrafi"/>
      </w:pPr>
      <w:r w:rsidRPr="003D507F">
        <w:t xml:space="preserve">Kolegji Civil i Gjykatës së </w:t>
      </w:r>
      <w:r>
        <w:t>Lartë, me vendimin nr.483, datë 4.</w:t>
      </w:r>
      <w:r w:rsidRPr="003D507F">
        <w:t>3.2003, ka vendosur lënien në fuqi të vendimit të Gjykatës së Apelit</w:t>
      </w:r>
      <w:r>
        <w:t>,</w:t>
      </w:r>
      <w:r w:rsidRPr="003D507F">
        <w:t xml:space="preserve"> Gjirokastër.</w:t>
      </w:r>
    </w:p>
    <w:p w:rsidR="005A537B" w:rsidRPr="003D507F" w:rsidRDefault="005A537B" w:rsidP="005A537B">
      <w:pPr>
        <w:pStyle w:val="Paragrafi"/>
      </w:pPr>
      <w:r w:rsidRPr="003D507F">
        <w:t>Personi i interesuar Spiro Zëri, ka paraqitur pranë Gjykatës së Lartë kërkesën për rishikim të vendimeve të mësipërme. Kolegji Civil i Gjykatës së Lart</w:t>
      </w:r>
      <w:r>
        <w:t>ë, me vendimin nr.17,  datë 10.</w:t>
      </w:r>
      <w:r w:rsidRPr="003D507F">
        <w:t>3.2004, në dhomën e këshillimit,  ka  vendosur  pranimin  e  kërkesës  për rishikim, prishjen e vendimeve të lartpërmendura dhe kthimin e çështjes për rigjykim në Gjykatën e Rrethit Gjyqësor</w:t>
      </w:r>
      <w:r>
        <w:t>,</w:t>
      </w:r>
      <w:r w:rsidRPr="003D507F">
        <w:t xml:space="preserve"> Sarandë.</w:t>
      </w:r>
    </w:p>
    <w:p w:rsidR="005A537B" w:rsidRPr="003D507F" w:rsidRDefault="005A537B" w:rsidP="005A537B">
      <w:pPr>
        <w:pStyle w:val="Paragrafi"/>
      </w:pPr>
      <w:r w:rsidRPr="003D507F">
        <w:t>Në rrethanat që paraqitet çë</w:t>
      </w:r>
      <w:r>
        <w:t>shtja, Gjykata Kushtetuese çmon</w:t>
      </w:r>
      <w:r w:rsidRPr="003D507F">
        <w:t xml:space="preserve"> se pretendimet e ngritura nga subjekti i interesuar</w:t>
      </w:r>
      <w:r>
        <w:t>,</w:t>
      </w:r>
      <w:r w:rsidRPr="003D507F">
        <w:t xml:space="preserve"> që kanë të bëjnë me legjitimimin e kërkuesve dhe shterimin e mjeteve ligjore, duhet të merren në shqyrtim fillimisht, pasi nga mënyra e zgjidhjes së tyre varet nëse shkaqet e ngritura nga kërkuesit për proces jo të rregullt do t’i nënshtrohen ose jo kontrollit kushtetues.</w:t>
      </w:r>
    </w:p>
    <w:p w:rsidR="005A537B" w:rsidRPr="003D507F" w:rsidRDefault="005A537B" w:rsidP="005A537B">
      <w:pPr>
        <w:pStyle w:val="Paragrafi"/>
      </w:pPr>
      <w:r w:rsidRPr="003D507F">
        <w:t>1. Sipas neneve 131/f e 134.2 të Kushtetutës, individët mund t’i drejtohen Gjykatës Kushtetuese për shkelje të të drejtave kushtetuese për një proces të rregullt ligjor, vetëm për çështje që lidhen me interesat e tyre</w:t>
      </w:r>
      <w:r>
        <w:t>,</w:t>
      </w:r>
      <w:r w:rsidRPr="003D507F">
        <w:t xml:space="preserve"> dhe pasi të jenë shterur të gjitha mjetet juridike për mbrojtjen e të drejtave të tyre. Pikërisht, në këto dy aspekte është pretenduar nga subjekti i intere</w:t>
      </w:r>
      <w:r>
        <w:t>suar se kërkuesit nuk mund të vë</w:t>
      </w:r>
      <w:r w:rsidRPr="003D507F">
        <w:t xml:space="preserve">në në lëvizje Gjykatën Kushtetuese, sepse sipas tyre, gjykata e apelit ka vendosur pushimin e </w:t>
      </w:r>
      <w:r>
        <w:t>gjykimit për kërkuesit dhe këta</w:t>
      </w:r>
      <w:r w:rsidRPr="003D507F">
        <w:t xml:space="preserve"> nuk e kanë kundërshtuar vendimin. </w:t>
      </w:r>
    </w:p>
    <w:p w:rsidR="005A537B" w:rsidRPr="003D507F" w:rsidRDefault="005A537B" w:rsidP="005A537B">
      <w:pPr>
        <w:pStyle w:val="Paragrafi"/>
      </w:pPr>
      <w:r>
        <w:t>Gjykata Kushtetuese vë</w:t>
      </w:r>
      <w:r w:rsidRPr="003D507F">
        <w:t xml:space="preserve"> në dukje se, sipas rrethanave të çështjes rezulton se kërkuesit, me cilësinë e perso</w:t>
      </w:r>
      <w:r>
        <w:t>nit të tretë në gjykim, kanë pas</w:t>
      </w:r>
      <w:r w:rsidRPr="003D507F">
        <w:t>ur interes të njëjtë me paditësin, Shoqërinë “Servcom”, në drejtim të objektit dhe zgjidhjes së çështjes, e kanë mbështetur këtë të f</w:t>
      </w:r>
      <w:r>
        <w:t>undit dhe kanë paraqitur kundër</w:t>
      </w:r>
      <w:r w:rsidRPr="003D507F">
        <w:t>rekurs ndaj rekursit që ka paraqitur pala tjetër, subjekti i interesuar.</w:t>
      </w:r>
    </w:p>
    <w:p w:rsidR="005A537B" w:rsidRPr="003D507F" w:rsidRDefault="005A537B" w:rsidP="005A537B">
      <w:pPr>
        <w:pStyle w:val="Paragrafi"/>
      </w:pPr>
      <w:r w:rsidRPr="003D507F">
        <w:t>Një qëndrim i tillë i kërkuesve motivohet nga fakti se ata, duke qenë qiramarrës në banesën që ishte pronë e paditës</w:t>
      </w:r>
      <w:r>
        <w:t>it, shoqëria “Servcom”</w:t>
      </w:r>
      <w:r w:rsidRPr="003D507F">
        <w:t xml:space="preserve"> kanë bërë privatizimin e apartamenteve që kishin në përdorim, duke qenë të interesuar për të mbrojtur këtë të drejtë të tyre.</w:t>
      </w:r>
    </w:p>
    <w:p w:rsidR="005A537B" w:rsidRPr="003D507F" w:rsidRDefault="005A537B" w:rsidP="005A537B">
      <w:pPr>
        <w:pStyle w:val="Paragrafi"/>
      </w:pPr>
      <w:r>
        <w:t>Në kundër</w:t>
      </w:r>
      <w:r w:rsidRPr="003D507F">
        <w:t>rekursin drejtuar Gjykatës së Lartë, kërkuesit mbështetnin plotësisht vendimin e gjykatës së  apelit si të bazuar në prova e në ligj. Por ky fakt, nuk u heq atyre të drejtën për të ushtruar kërkesë në Gjykatën Kushtetuese përderisa pas vendimit të dhënë nga Kolegji Civil i Gjykatës së Lartë, i cili ka lënë në fuqi vendimin e gjykatës së apelit, çështja është vënë në lëvizje nga pala tjetër dhe Kolegji Civil i Gjykatës së Lartë ka pranuar në dhomë të këshillimit kërkesën për rishikim duke shfuqizuar vendimet e mëparshme. Shfuqizimin e këtyre vendimeve pa i vënë në dijeni kërkuesit për një fakt të till</w:t>
      </w:r>
      <w:r>
        <w:t>ë, këtyre të fundit u ce</w:t>
      </w:r>
      <w:r w:rsidRPr="003D507F">
        <w:t>nohet një e drejtë e fituar me vendim të formës së prerë. Eshtë ndryshimi i gjendjes juridike të krijuar, shoqëruar me shkeljen e pretenduar të së drejtës për një proces të rregullt që i legjitimon kërkuesit për t’iu drejtuar Gjykatës Kushtetuese në bazë të kërkesave të nenit 42 të Kushtetutës dhe nenit 6 të Konventës E</w:t>
      </w:r>
      <w:r>
        <w:t>u</w:t>
      </w:r>
      <w:r w:rsidRPr="003D507F">
        <w:t>ropiane për të Drejtat e Njeriut.</w:t>
      </w:r>
    </w:p>
    <w:p w:rsidR="005A537B" w:rsidRPr="003D507F" w:rsidRDefault="005A537B" w:rsidP="005A537B">
      <w:pPr>
        <w:pStyle w:val="Paragrafi"/>
      </w:pPr>
      <w:r w:rsidRPr="003D507F">
        <w:t>Për rastin në shqyrt</w:t>
      </w:r>
      <w:r>
        <w:t>im, Gjykata Kushtetuese thekson</w:t>
      </w:r>
      <w:r w:rsidRPr="003D507F">
        <w:t xml:space="preserve"> se interesi që kanë kërkuesit është i ligjshëm</w:t>
      </w:r>
      <w:r>
        <w:t>, pasi e drejta e fituar është ce</w:t>
      </w:r>
      <w:r w:rsidRPr="003D507F">
        <w:t>nuar me një vendim tjetër të Gjykatës së Lartë pa i vënë në dijeni për gjykimin e rish</w:t>
      </w:r>
      <w:r>
        <w:t>ikimit. Në kuptim të mbrojtjes s</w:t>
      </w:r>
      <w:r w:rsidRPr="003D507F">
        <w:t>ë të drejtave kushte</w:t>
      </w:r>
      <w:r>
        <w:t>t</w:t>
      </w:r>
      <w:r w:rsidRPr="003D507F">
        <w:t>uese të individit kjo përbën një bazë legjitime për kërkimin dhe ushtrimin e kontrollit kushtetues për të ndrequr shkeljen e pretenduar. Në konceptin e gjykimit kushtetues, për çështje që kanë të bëjnë me shkelje të të drejtave të individit për një proces të rregullt ligjor, Gjykata Kushtetuese duke iu referuar jurispru</w:t>
      </w:r>
      <w:r>
        <w:t>dencës së saj dhe të Gjykatës Eu</w:t>
      </w:r>
      <w:r w:rsidRPr="003D507F">
        <w:t>ropiane të të Drejtave të Njeriut, pranon legjitimimin e individit kur ai ka interes për të mbroj</w:t>
      </w:r>
      <w:r>
        <w:t>tur të drejtat kushtetuese të ce</w:t>
      </w:r>
      <w:r w:rsidRPr="003D507F">
        <w:t>nuara nga një proces i parreg</w:t>
      </w:r>
      <w:r>
        <w:t xml:space="preserve">ullt. Lidhur me këtë, Gjykata </w:t>
      </w:r>
      <w:r>
        <w:lastRenderedPageBreak/>
        <w:t>Eu</w:t>
      </w:r>
      <w:r w:rsidRPr="003D507F">
        <w:t>ropiane për të Drejtat e Njeriut shprehet në një ven</w:t>
      </w:r>
      <w:r>
        <w:t>dim të saj se sipas nenit 1 të p</w:t>
      </w:r>
      <w:r w:rsidRPr="003D507F">
        <w:t xml:space="preserve">rotokollit 1, mbrohet një pretendim legjitim dhe se në çështjen e paraqitur para saj, kërkuesi kishte të paktën një pretendim të tillë. </w:t>
      </w:r>
      <w:r w:rsidRPr="00952F46">
        <w:rPr>
          <w:vertAlign w:val="superscript"/>
        </w:rPr>
        <w:footnoteReference w:id="1"/>
      </w:r>
    </w:p>
    <w:p w:rsidR="005A537B" w:rsidRPr="003D507F" w:rsidRDefault="005A537B" w:rsidP="005A537B">
      <w:pPr>
        <w:pStyle w:val="Paragrafi"/>
      </w:pPr>
      <w:r w:rsidRPr="003D507F">
        <w:t>Kushtetuta i jep të drejtën e nismës të kontrollit kushtetues, kujdo që pretendon për shkelje të të drejtave kushtetuese edhe atyre të mbrojtura nga konventa nëpërmjet një procesi të parregullt ligjor.</w:t>
      </w:r>
    </w:p>
    <w:p w:rsidR="005A537B" w:rsidRPr="003D507F" w:rsidRDefault="005A537B" w:rsidP="005A537B">
      <w:pPr>
        <w:pStyle w:val="Paragrafi"/>
      </w:pPr>
      <w:r w:rsidRPr="003D507F">
        <w:t>Nis</w:t>
      </w:r>
      <w:r>
        <w:t>ur nga këto argumente, Gjykata K</w:t>
      </w:r>
      <w:r w:rsidRPr="003D507F">
        <w:t>ushtetuese thekson se për më tepër, në çështjen në shqyrtim, kërkuesit kanë fituar një të drejtë me vendim të formës së prerë dhe ajo nuk mund të preket pa një proces të rregullt ligjor.</w:t>
      </w:r>
    </w:p>
    <w:p w:rsidR="005A537B" w:rsidRPr="003D507F" w:rsidRDefault="005A537B" w:rsidP="005A537B">
      <w:pPr>
        <w:pStyle w:val="Paragrafi"/>
      </w:pPr>
      <w:r w:rsidRPr="003D507F">
        <w:t>2. Pretendimi tjetër i subjektit të interesuar lidhet me kërkesën kushtetuese të shterimit të mjeteve juridike për mbrojtjen e të drejtave, sipas nenit 131/f të Kushtetutës. Ky përcaktim kushtetues ka të bëjë me faktin se kontrolli i ushtruar nga Gjykata Kushtetuese përfshirë edhe rastet e shkeljes së të drejtave të individit nga një proces i parregullt ligjor, është një ko</w:t>
      </w:r>
      <w:r>
        <w:t>ntroll subsidiar që do të thotë</w:t>
      </w:r>
      <w:r w:rsidRPr="003D507F">
        <w:t xml:space="preserve"> se individi duhet t’i ketë shterur mjetet dhe rrugët e tjera ligjore. </w:t>
      </w:r>
    </w:p>
    <w:p w:rsidR="005A537B" w:rsidRPr="003D507F" w:rsidRDefault="005A537B" w:rsidP="005A537B">
      <w:pPr>
        <w:pStyle w:val="Paragrafi"/>
      </w:pPr>
      <w:r w:rsidRPr="003D507F">
        <w:t>Juridiksioni kushtetues për shkelje të të drejtave themelore për një proces të rregullt, bëhet i mundur kur kërkuesi të ketë shterur mjetet e ankimit pranë gjykatave</w:t>
      </w:r>
      <w:r>
        <w:t xml:space="preserve"> të sistemit gjyqësor. Shterimi</w:t>
      </w:r>
      <w:r w:rsidRPr="003D507F">
        <w:t xml:space="preserve"> nënkupton që kërkuesi duhet t’i shfrytëzojë në shkallët e sistemit gjyqësor të gjitha mjetet e lejueshme dhe mundësitë procedurale për vendosjen në vend të të drejtave të pretenduara. Mjete ligjore shterojnë kur në varësi të rrethanave </w:t>
      </w:r>
      <w:r>
        <w:t>të çështjes, rregullat procedur</w:t>
      </w:r>
      <w:r w:rsidRPr="003D507F">
        <w:t>ale nuk parashikojnë mjete të tjera ankimi.</w:t>
      </w:r>
    </w:p>
    <w:p w:rsidR="005A537B" w:rsidRPr="003D507F" w:rsidRDefault="005A537B" w:rsidP="005A537B">
      <w:pPr>
        <w:pStyle w:val="Paragrafi"/>
      </w:pPr>
      <w:r w:rsidRPr="003D507F">
        <w:t xml:space="preserve">Sipas kriterit kushtetues të vlerësimit të çështjes lidhur me shterimin e mjeteve ligjore, Gjykata Kushtetuese çmon se përgjithësisht, nuk konsiderohen të shteruara mjetet ligjore kur për shkelje gjatë procedimeve të mëparshme, çështja është kthyer për rigjykim nga instanca më e lartë gjyqësore. Në këto raste, mungesa e legjitimimit për të ushtruar ankim kushtetues lidhet dhe përcaktohet nga fakti se procesi vazhdon dhe ka ende mjete të tjera ankimi për të rivendosur të drejtën gjatë shqyrtimit të çështjes në gjykatat e sistemit gjyqësor. </w:t>
      </w:r>
    </w:p>
    <w:p w:rsidR="005A537B" w:rsidRPr="003D507F" w:rsidRDefault="005A537B" w:rsidP="005A537B">
      <w:pPr>
        <w:pStyle w:val="Paragrafi"/>
      </w:pPr>
      <w:r w:rsidRPr="003D507F">
        <w:t>Një situatë e ndryshme krijohet kur kërkuesi pretendon se nuk janë respektuar kriteret e procesit të rregullt ligjor në instancën e fundit të gjykimit dhe nuk është parashikuar asnjë mjet ankimi ndaj vendimit të kësaj shkalle gjykimi. Në këto raste edhe pse çështja kthehet për rigjykim dhe procesi gjyqësor  vazhdon, në  aspektin  e shterimit  të mjeteve</w:t>
      </w:r>
      <w:r>
        <w:t>, ka rëndësi fakti se kërkuesi</w:t>
      </w:r>
      <w:r w:rsidRPr="003D507F">
        <w:t xml:space="preserve"> nuk ka mjet tjetër ankimi ndaj shkeljeve të pretenduara në instancën e fundit të gjykimit dhe se shqyrtimi gjy</w:t>
      </w:r>
      <w:r>
        <w:t>qësor rishtazi, nuk pretendon t’i</w:t>
      </w:r>
      <w:r w:rsidRPr="003D507F">
        <w:t xml:space="preserve"> ndreqë këto shkaqe, por të gjykojë çështjen në themel. Në rrethana të tilla, është në kom</w:t>
      </w:r>
      <w:r>
        <w:t>petencë të Gjykatës Kushtetuese</w:t>
      </w:r>
      <w:r w:rsidRPr="003D507F">
        <w:t xml:space="preserve"> të vlerësojë sipas karakterit  të çështjes konkrete dhe llojit të shkeljeve të pretenduara, nëse kërkuesi i ka shterur ose jo të gjitha mjetet ligjore për mbrojtjen e të drejtave të pretenduara.</w:t>
      </w:r>
    </w:p>
    <w:p w:rsidR="005A537B" w:rsidRPr="003D507F" w:rsidRDefault="005A537B" w:rsidP="005A537B">
      <w:pPr>
        <w:pStyle w:val="Paragrafi"/>
      </w:pPr>
      <w:r w:rsidRPr="003D507F">
        <w:t>Një qëndrim të tillë</w:t>
      </w:r>
      <w:r>
        <w:t>,</w:t>
      </w:r>
      <w:r w:rsidRPr="003D507F">
        <w:t xml:space="preserve"> lidhur me kriteret vlerësuese për shterimin e mjeteve</w:t>
      </w:r>
      <w:r>
        <w:t>,</w:t>
      </w:r>
      <w:r w:rsidRPr="003D507F">
        <w:t xml:space="preserve"> ka mbajtur edhe Gjy</w:t>
      </w:r>
      <w:r>
        <w:t>kata Eu</w:t>
      </w:r>
      <w:r w:rsidRPr="003D507F">
        <w:t>ropiane e të Drejtave të Njeriut në praktikën e saj. Në një vendim të saj kjo Gjykatë, në radhë të parë vuri në bisedim faktin e shterimit të mjeteve, duke përcaktuar se ky rregull nënkupton që kërkuesi t’u drejtohet mjeteve që janë efektive dhe të mjaftueshme për të realizuar ndreqjen e shkeljeve të lejuara.</w:t>
      </w:r>
      <w:r w:rsidRPr="00403370">
        <w:rPr>
          <w:vertAlign w:val="superscript"/>
        </w:rPr>
        <w:footnoteReference w:id="2"/>
      </w:r>
      <w:r>
        <w:t xml:space="preserve"> Ajo</w:t>
      </w:r>
      <w:r w:rsidRPr="003D507F">
        <w:t xml:space="preserve"> nënvizon se ekzistenca e mjeteve në fjalë duhet të jetë me siguri e realizueshme, jo vet</w:t>
      </w:r>
      <w:r>
        <w:t>ëm në teori por edhe në praktikë pa ce</w:t>
      </w:r>
      <w:r w:rsidRPr="003D507F">
        <w:t xml:space="preserve">nuar efektivitetin e domosdoshëm. </w:t>
      </w:r>
    </w:p>
    <w:p w:rsidR="005A537B" w:rsidRPr="003D507F" w:rsidRDefault="005A537B" w:rsidP="005A537B">
      <w:pPr>
        <w:pStyle w:val="Paragrafi"/>
      </w:pPr>
      <w:r w:rsidRPr="003D507F">
        <w:t>Nisur nga këto kritere kushtetuese dhe qëllimi që ato synojnë të arrijnë, Gjykata Kushtetuese vlerëson se në lidhje me çështjen objekt shqyrtimi, për vetë rrethanat specifike të paraqitura, kur rishikimi është mjet i jashtëzakonshëm dhe vendimi i Gjykatës së Lartë është përfundimtar, kërkuesit nuk kanë mjet tjetër për të goditur vendimin që ka pranuar kërkesën për rishikim. Në këto rrethana, kërkuesit i kanë shterur të gjitha mjetet ligjore për mbrojtjen e të drejtave të tyre, prandaj pretendimet e ngritura në kërkesë duhet t’i nënshtrohen shqyrtimit kushtetues.</w:t>
      </w:r>
    </w:p>
    <w:p w:rsidR="005A537B" w:rsidRPr="003D507F" w:rsidRDefault="005A537B" w:rsidP="005A537B">
      <w:pPr>
        <w:pStyle w:val="Paragrafi"/>
      </w:pPr>
      <w:r w:rsidRPr="003D507F">
        <w:t>3. Shkaqet e parashtruara nga kërkuesit për proces të parregullt kanë të bëjnë me mungesën e komunikimit të kërkesës për rishikim dhe me shqyrtimin e çështjes në dhomën e këshillimit pa pjesëmarrjen e palëve. Këto dy shkelje të pretenduara nga kërkuesit janë të lidhura e të ndërvarura nga njëra</w:t>
      </w:r>
      <w:r>
        <w:t>-</w:t>
      </w:r>
      <w:r w:rsidRPr="003D507F">
        <w:t>tjet</w:t>
      </w:r>
      <w:r>
        <w:t>ra dhe kanë të bëjnë me standard</w:t>
      </w:r>
      <w:r w:rsidRPr="003D507F">
        <w:t>et e caktuara për një proces të rregullt në drejtim të pjesëmarrjes në gjykim, të drejtës së mbrojtjes dhe parimit të kontradiktoritetit. Varësia dhe kompleksiteti i tyre kushtëzohen me faktin se nga domosdoshmëria e shqyrtimit të çështjes në seancë gjyqësore me  pjesëmarrjen  e  palëve dhe jo në dhomën e këshillimit, merr rëndësi dhe aspekti tjetër i shkeljes së pretenduar për mosnjoftim të kërkesës për rishikim të vendimit. Në kushte normale të shqyrtimit të çështjes në seancë gjyqësore, sipas përmbajtjes së nenit 447 të Kodit të Procedurës Civile, është e detyrueshme që palës së interesuar t’i njoftohet më parë kërkesa e paraqitur nga pala tjetër, me qëllim që t’i garantohet në kohë e drejta e mbrojtjes, të cilën do ta realizojë me pjesëmarrjen në gjykim.</w:t>
      </w:r>
    </w:p>
    <w:p w:rsidR="005A537B" w:rsidRPr="003D507F" w:rsidRDefault="005A537B" w:rsidP="005A537B">
      <w:pPr>
        <w:pStyle w:val="Paragrafi"/>
      </w:pPr>
      <w:r w:rsidRPr="003D507F">
        <w:t>Kërkesat e nenit 42 të Kushtet</w:t>
      </w:r>
      <w:r>
        <w:t>utës dhe nenit 6 të Konventës Eu</w:t>
      </w:r>
      <w:r w:rsidRPr="003D507F">
        <w:t xml:space="preserve">ropiane të të Drejtave të Njeriut, të marra në tërësi, kanë për qëllim që t’i garantojnë kujtdo që pretendon se i janë shkelur të drejtat e njohura me Kushtetutë dhe me ligj, në radhë të parë ndjekjen e çështjes në gjykatë. Në këtë kuptim, pjesëmarrja në gjykim është një e </w:t>
      </w:r>
      <w:r>
        <w:t>drejtë e pamohueshme për faktin se kjo pjesëmarrje</w:t>
      </w:r>
      <w:r w:rsidRPr="003D507F">
        <w:t xml:space="preserve"> shërben për të mbrojtur në substancë të drejtën që pretendohet si e shkelur.</w:t>
      </w:r>
    </w:p>
    <w:p w:rsidR="005A537B" w:rsidRDefault="005A537B" w:rsidP="005A537B">
      <w:pPr>
        <w:pStyle w:val="Paragrafi"/>
      </w:pPr>
      <w:r>
        <w:t>Sipas një vendimi të Gjykatës Eu</w:t>
      </w:r>
      <w:r w:rsidRPr="003D507F">
        <w:t>ropiane për të Drejtat e Njeriut, do të ishte e pakuptimtë që neni 6/1 i Konventës të përshkruante me detaje garancitë procedurale që u ofrohen palëve në proces dhe të mos mbronte në radhë të parë atë që bën në të vërtetë të mundur që të përfitohet nga këto garanci dhe që është pjesëmarrja në gjyq.</w:t>
      </w:r>
      <w:r w:rsidRPr="00403370">
        <w:rPr>
          <w:vertAlign w:val="superscript"/>
        </w:rPr>
        <w:footnoteReference w:id="3"/>
      </w:r>
      <w:r w:rsidRPr="003D507F">
        <w:t xml:space="preserve"> </w:t>
      </w:r>
    </w:p>
    <w:p w:rsidR="005A537B" w:rsidRPr="003D507F" w:rsidRDefault="005A537B" w:rsidP="005A537B">
      <w:pPr>
        <w:pStyle w:val="Paragrafi"/>
      </w:pPr>
    </w:p>
    <w:p w:rsidR="005A537B" w:rsidRPr="003D507F" w:rsidRDefault="005A537B" w:rsidP="005A537B">
      <w:pPr>
        <w:pStyle w:val="Paragrafi"/>
      </w:pPr>
      <w:r w:rsidRPr="003D507F">
        <w:t>Kushtetuta dhe Konventa kanë përcaktuar standarte të qarta për pjesëmarrjen në gjykim dhe zhvillimin e procesit të rregullt ligjor në mënyrë të atillë që t’u garantohet të gjitha palëve mbrojtje efektive në të gjitha shkallët e gjykimit, prandaj prekja e tyre, përbën shkelje të të drejtave kushtetuese për një proces të rregullt ligjor.</w:t>
      </w:r>
    </w:p>
    <w:p w:rsidR="005A537B" w:rsidRPr="003D507F" w:rsidRDefault="005A537B" w:rsidP="005A537B">
      <w:pPr>
        <w:pStyle w:val="Paragrafi"/>
      </w:pPr>
      <w:r>
        <w:t>Në kuptim të standard</w:t>
      </w:r>
      <w:r w:rsidRPr="003D507F">
        <w:t>eve të vendosur</w:t>
      </w:r>
      <w:r>
        <w:t>a nga Kushtetuta dhe Konventa Eu</w:t>
      </w:r>
      <w:r w:rsidRPr="003D507F">
        <w:t>ropiane e të Drejtave të Njeriut, Gjykata Kushtetuese vlerëson se në shqyrtimin e çështjeve nga  gjykatat e sistemit gjyqësor duhet të mos preken kriteret e procesit të rregullt, duke dalluar qëllimin dhe kompetencat e dhomës së këshill</w:t>
      </w:r>
      <w:r>
        <w:t>i</w:t>
      </w:r>
      <w:r w:rsidRPr="003D507F">
        <w:t xml:space="preserve">mit nga njëra anë dhe të seancës gjyqësore nga ana tjetër. Nga referimi në dispozitat e Kodit të Procedurës Civile që parashikojnë shqyrtimin e rekursit dhe rishikimin e vendimeve </w:t>
      </w:r>
      <w:smartTag w:uri="urn:schemas-microsoft-com:office:smarttags" w:element="State">
        <w:smartTag w:uri="urn:schemas-microsoft-com:office:smarttags" w:element="place">
          <w:r w:rsidRPr="003D507F">
            <w:t>del</w:t>
          </w:r>
        </w:smartTag>
      </w:smartTag>
      <w:r w:rsidRPr="003D507F">
        <w:t xml:space="preserve"> qartë se dhoma e këshillimit është një strukturë që shërben për shqyrtimin paraprak e seleksionimin e çështjeve, por jo për zgjidhjen e tyre në themel. Dhoma e këshillimit vendos për mospranimin e rekursit ose të kërkesës për rishikim, por nuk mund të vendosë për prishjen e vendimeve aq më tepër pa njoftuar palën që ka fituar gjyqin.</w:t>
      </w:r>
    </w:p>
    <w:p w:rsidR="005A537B" w:rsidRPr="003D507F" w:rsidRDefault="005A537B" w:rsidP="005A537B">
      <w:pPr>
        <w:pStyle w:val="Paragrafi"/>
      </w:pPr>
      <w:r w:rsidRPr="003D507F">
        <w:t xml:space="preserve">Nga përmbajtja e dispozitave të Kodit të Procedurës Civile, që kanë të bëjnë me rekursin dhe rishikimin, </w:t>
      </w:r>
      <w:smartTag w:uri="urn:schemas-microsoft-com:office:smarttags" w:element="State">
        <w:smartTag w:uri="urn:schemas-microsoft-com:office:smarttags" w:element="place">
          <w:r w:rsidRPr="003D507F">
            <w:t>del</w:t>
          </w:r>
        </w:smartTag>
      </w:smartTag>
      <w:r w:rsidRPr="003D507F">
        <w:t xml:space="preserve"> se shqyrtim</w:t>
      </w:r>
      <w:r>
        <w:t>i në dhomën e këshillimit lidhet</w:t>
      </w:r>
      <w:r w:rsidRPr="003D507F">
        <w:t xml:space="preserve"> me mospranimin e tyre për t’u shqyrtuar nga gjykata</w:t>
      </w:r>
      <w:r>
        <w:t>,</w:t>
      </w:r>
      <w:r w:rsidRPr="003D507F">
        <w:t xml:space="preserve"> sepse nuk përmbushin kriteret ligjore. Në të kundërtën, kur këto kritere plotësohen, nuk mund të vendoset pranimi i kërkesës për rishikim dhe rekursit jashtë seancës gjyqësore dhe pa praninë e palëve. Aq më tepër pranimi i rishikimit pa kaluar çështjen në seancë për shkak të efekteve të mëdha që sjell si mjet i jashtëzakonshëm në ndryshim nga rekursi që është formë e zakonshme ankimi, e bën edh</w:t>
      </w:r>
      <w:r>
        <w:t>e më të qartë prekjen e standardeve dhe ce</w:t>
      </w:r>
      <w:r w:rsidRPr="003D507F">
        <w:t>nimin e procesit të rregullt ligjor. Rifillimi i procesit gjyqësor nga e para, pas një periudhe të caktuar kohe nga marrja formë e prerë e vendimit, pa u dhënë mundësi të barabarta palëve për të shprehur e mbrojtur pretendimet e tyre, del haptazi jashtë kufijve të procesit të rregullt në kuptim</w:t>
      </w:r>
      <w:r>
        <w:t xml:space="preserve"> të Kushtetutës dhe Konventës Eu</w:t>
      </w:r>
      <w:r w:rsidRPr="003D507F">
        <w:t>ropiane të të Drejtave të Njeriut. Çdo provë e paraqitur nga pala që pretendon se mund të çojë në rihapjen e procesit gjyqësor duhet t’i nënshtrohet shqyrtimit sipas parimit të kontradiktoritetit, duke i dhënë mundësi palës tjetër për të shprehur pretendimet e saj, sepse ajo nuk mund të privohet arbitrarisht nga e drejta që i është njohur me vendim të formës së prerë të gjykat</w:t>
      </w:r>
      <w:r>
        <w:t>ave. Në raste të tilla, standard</w:t>
      </w:r>
      <w:r w:rsidRPr="003D507F">
        <w:t>i minimal që duhet t’i garantohet palës respektive, është shansi i barabartë për të qenë e pranishme në një proces ku do të shqyrtohet pozita e saj juridike.</w:t>
      </w:r>
    </w:p>
    <w:p w:rsidR="005A537B" w:rsidRPr="003D507F" w:rsidRDefault="005A537B" w:rsidP="005A537B">
      <w:pPr>
        <w:pStyle w:val="Paragrafi"/>
      </w:pPr>
      <w:r>
        <w:t>Gjykata Eu</w:t>
      </w:r>
      <w:r w:rsidRPr="003D507F">
        <w:t>ropiane e të Drejtave të Njeriut në një sërë vendimesh të saj ka theksuar se Konventa nuk ka për qëllim të mbrojë të drejtat në mënyrë teorike dhe zhgënjyese, por të garantojë të drejta praktike dhe të efektshme, sidomos përsa i përket të drejtës për t’u paraqitur para një gjykate.</w:t>
      </w:r>
      <w:r w:rsidRPr="00403370">
        <w:rPr>
          <w:vertAlign w:val="superscript"/>
        </w:rPr>
        <w:footnoteReference w:id="4"/>
      </w:r>
      <w:r w:rsidRPr="003D507F">
        <w:t xml:space="preserve"> Duke folur për respektimin e kërkesave për “barazinë” e armëve si aspekt i procesit të rregullt, Gjykata e Strasburgut shprehet se në konfliktin në të cilin ndërthurren interesa të kundërta private, ky lloj “barazimi armësh” do të thotë që secilës palë duhet t’i sigurohen mundësitë përkatëse për t’i parashtruar çështjet e saj në ku</w:t>
      </w:r>
      <w:r>
        <w:t>shte që nuk e vë</w:t>
      </w:r>
      <w:r w:rsidRPr="003D507F">
        <w:t>në atë në gjendje shumë më pak të favorshme se sa palën e kundërt”.</w:t>
      </w:r>
      <w:r w:rsidRPr="00403370">
        <w:rPr>
          <w:vertAlign w:val="superscript"/>
        </w:rPr>
        <w:footnoteReference w:id="5"/>
      </w:r>
    </w:p>
    <w:p w:rsidR="005A537B" w:rsidRPr="003D507F" w:rsidRDefault="005A537B" w:rsidP="005A537B">
      <w:pPr>
        <w:pStyle w:val="Paragrafi"/>
      </w:pPr>
      <w:r w:rsidRPr="003D507F">
        <w:t>Seanca e hapur gjyqësore përbën një tipar thelbësor të së drejtës për një proces të rregullt ligjor. Karakteri i hapur i procedimeve para organeve gjyqësore sipas nenit 6/1 të Konventës mbron palët ndërgjyqëse kundrejt ushtrimit të drejtësisë në fshehtësi dhe pa mbikëqyrje publike. Publiciteti në ushtrimin e drejtësisë kontribuon në përmbushjen e synimit për një proces të drejtë gjyqësor, garantimi i të cilit përbën një nga parimet themelore të një shoqërie demokratike.</w:t>
      </w:r>
      <w:r w:rsidRPr="00403370">
        <w:rPr>
          <w:vertAlign w:val="superscript"/>
        </w:rPr>
        <w:footnoteReference w:id="6"/>
      </w:r>
      <w:r w:rsidRPr="003D507F">
        <w:t xml:space="preserve"> </w:t>
      </w:r>
    </w:p>
    <w:p w:rsidR="005A537B" w:rsidRDefault="005A537B" w:rsidP="005A537B">
      <w:pPr>
        <w:pStyle w:val="Paragrafi"/>
      </w:pPr>
      <w:r w:rsidRPr="003D507F">
        <w:t>Bazuar në këto argumente, kërkesa për rishikim është një mjet ankimi dhe duhet t’i njoftohet palës tjetër sipas rregullave të përgjithshme aq më tepër që ky mjet përbën në vetvete një kërkesë të re për të cilën, pala e interesuar, jo vetëm që nuk ka dijeni, por është akoma nën përfytyrimin e realizimit konkret të së drejtës së fituar.</w:t>
      </w:r>
    </w:p>
    <w:p w:rsidR="005A537B" w:rsidRPr="003D507F" w:rsidRDefault="005A537B" w:rsidP="005A537B">
      <w:pPr>
        <w:pStyle w:val="Paragrafi"/>
      </w:pPr>
    </w:p>
    <w:p w:rsidR="005A537B" w:rsidRPr="003D507F" w:rsidRDefault="005A537B" w:rsidP="005A537B">
      <w:pPr>
        <w:pStyle w:val="Paragrafi"/>
      </w:pPr>
      <w:r w:rsidRPr="003D507F">
        <w:t>Barazia në mjete dhe e drejta për t’u vënë në dijeni për faktet dhe argumentet e palës kundërshtare, përbëjnë aspekte të procesit të rregullt. Kjo nënkupton që çdo palë në proces duhet të ketë mundësi të barabarta që të paraqesë çështjen e vet dhe asnjë palë nuk duhet të gëzojë ndonjë avantazh të konsiderueshëm ndaj kundërshtarit, por duhet të përcaktohet një ekuilibër i drejtë midis palëve.</w:t>
      </w:r>
      <w:r w:rsidRPr="00403370">
        <w:rPr>
          <w:vertAlign w:val="superscript"/>
        </w:rPr>
        <w:footnoteReference w:id="7"/>
      </w:r>
    </w:p>
    <w:p w:rsidR="005A537B" w:rsidRPr="003D507F" w:rsidRDefault="005A537B" w:rsidP="005A537B">
      <w:pPr>
        <w:pStyle w:val="Paragrafi"/>
      </w:pPr>
      <w:r w:rsidRPr="003D507F">
        <w:t>E drejta për proces të rregullt përfshin gjithashtu edhe nocionin se të dy</w:t>
      </w:r>
      <w:r>
        <w:t>ja</w:t>
      </w:r>
      <w:r w:rsidRPr="003D507F">
        <w:t xml:space="preserve"> palët në një proces kanë të drejtë të kenë informacion për faktet dhe argumentet e palës kundërshtare, që nënkupton në parim mundësinë</w:t>
      </w:r>
      <w:r>
        <w:t xml:space="preserve"> për palët në një seancë civile</w:t>
      </w:r>
      <w:r w:rsidRPr="003D507F">
        <w:t xml:space="preserve"> apo penale të kenë njohuri edhe për komentet mbi provat e nxjerra.</w:t>
      </w:r>
      <w:r w:rsidRPr="00403370">
        <w:rPr>
          <w:vertAlign w:val="superscript"/>
        </w:rPr>
        <w:footnoteReference w:id="8"/>
      </w:r>
    </w:p>
    <w:p w:rsidR="005A537B" w:rsidRPr="003D507F" w:rsidRDefault="005A537B" w:rsidP="005A537B">
      <w:pPr>
        <w:pStyle w:val="Paragrafi"/>
      </w:pPr>
      <w:r w:rsidRPr="003D507F">
        <w:t>Nga ana tjetër, duke marrë parasysh natyrën e shqyrtimit të çështjes në rastet e rishikimit, e cila ka të bëjë jo vetëm me konstatimin e fakteve</w:t>
      </w:r>
      <w:r>
        <w:t>,</w:t>
      </w:r>
      <w:r w:rsidRPr="003D507F">
        <w:t xml:space="preserve"> por edhe me vlerësim të tyre (shkronja “a, b, e” të nenit 494 të Kodi</w:t>
      </w:r>
      <w:r>
        <w:t>t të Procedurës Civile), atëherë</w:t>
      </w:r>
      <w:r w:rsidRPr="003D507F">
        <w:t xml:space="preserve"> ky vlerësim duhet të bëhet nga gjykata</w:t>
      </w:r>
      <w:r>
        <w:t>,</w:t>
      </w:r>
      <w:r w:rsidRPr="003D507F">
        <w:t xml:space="preserve"> pasi të ketë zbatuar parimin e kontradiktoritetit në gjykim.  Ky moment ka rëndësi</w:t>
      </w:r>
      <w:r>
        <w:t>,</w:t>
      </w:r>
      <w:r w:rsidRPr="003D507F">
        <w:t xml:space="preserve"> sepse nuk mund të prishen vendimet në dhomën e </w:t>
      </w:r>
      <w:r>
        <w:t>këshillimit duke prekur standard</w:t>
      </w:r>
      <w:r w:rsidRPr="003D507F">
        <w:t>et e procesit të rregullt ligjor.</w:t>
      </w:r>
    </w:p>
    <w:p w:rsidR="005A537B" w:rsidRPr="003D507F" w:rsidRDefault="005A537B" w:rsidP="005A537B">
      <w:pPr>
        <w:pStyle w:val="Paragrafi"/>
      </w:pPr>
      <w:r w:rsidRPr="003D507F">
        <w:t>Gjykata Kushtetuese në jurisprudencën e saj ka bërë të qartë dallimin midis shqyrtimit të çështjes në dhomën e këshillimit dhe rasteve kur shqyrtimi duhet të bëhet detyrimisht në</w:t>
      </w:r>
      <w:r>
        <w:t xml:space="preserve"> seancë, ndryshe preken standard</w:t>
      </w:r>
      <w:r w:rsidRPr="003D507F">
        <w:t>et e procesit të rregullt. N</w:t>
      </w:r>
      <w:r>
        <w:t>ë vendimin e saj nr.6, datë 26.</w:t>
      </w:r>
      <w:r w:rsidRPr="003D507F">
        <w:t xml:space="preserve">2.2003, duke iu referuar çështjes konkrete në zbatim të dispozitave procedurale që parashikojnë ushtrimin e rekursit dhe kërkesës për rishikim, thuhet se shqyrtimi i kërkesës nga Gjykata e Lartë, kur ajo është bërë jashtë kritereve ligjore, bëhet në dhomën e këshillimit pa pjesëmarrjen e palëve. </w:t>
      </w:r>
    </w:p>
    <w:p w:rsidR="005A537B" w:rsidRPr="003D507F" w:rsidRDefault="005A537B" w:rsidP="005A537B">
      <w:pPr>
        <w:pStyle w:val="Paragrafi"/>
      </w:pPr>
      <w:r w:rsidRPr="003D507F">
        <w:t>Nëpërmjet arsyetimit të këtij vendimi bëhet mirë dallimi mes kompetencave të dhomës së këshillimit, kur kërkesa nuk përmban kritere ose shkaqe ligjore dhe në të kundërt, kur shkaqet ligjore ekzistojnë dhe provohen si të tilla nga gjykata, shqyrtimi i çështjes nuk mund të bëhet më në dhomën e këshillimit, por në seancë gjyqësore, përndryshe një shqyrtim i tillë është antikushtetues.</w:t>
      </w:r>
    </w:p>
    <w:p w:rsidR="005A537B" w:rsidRDefault="005A537B" w:rsidP="005A537B">
      <w:pPr>
        <w:pStyle w:val="Paragrafi"/>
      </w:pPr>
      <w:r w:rsidRPr="003D507F">
        <w:t>Në çështjen në shqyrtim, ashtu siç pretendohet edhe nga kërkuesit</w:t>
      </w:r>
      <w:r>
        <w:t>, Gjykata Kushtetuese konstaton</w:t>
      </w:r>
      <w:r w:rsidRPr="003D507F">
        <w:t xml:space="preserve"> se nga ana e Gjykatës së Lartë është pranuar kërkesa për rishikim të vendimit duke u vlerësuar si të reja provat e paraqitura, dhe në  k</w:t>
      </w:r>
      <w:r>
        <w:t>undërshtim me të gjitha standard</w:t>
      </w:r>
      <w:r w:rsidRPr="003D507F">
        <w:t>et e procesit të rregullt ligjor, çështja është zgjidhur në dhomën e këshillimit. Në këtë mënyrë procesi i zhvilluar është i parregullt gjë që e bën vendimin antikushtetues.</w:t>
      </w:r>
    </w:p>
    <w:p w:rsidR="005A537B" w:rsidRPr="003D507F" w:rsidRDefault="005A537B" w:rsidP="005A537B">
      <w:pPr>
        <w:pStyle w:val="Paragrafi"/>
      </w:pPr>
    </w:p>
    <w:p w:rsidR="005A537B" w:rsidRDefault="005A537B" w:rsidP="005A537B">
      <w:pPr>
        <w:pStyle w:val="VENDOSIChar"/>
      </w:pPr>
      <w:r>
        <w:t>PËR KËTO ARSYE,</w:t>
      </w:r>
    </w:p>
    <w:p w:rsidR="005A537B" w:rsidRPr="003D507F" w:rsidRDefault="005A537B" w:rsidP="005A537B">
      <w:pPr>
        <w:pStyle w:val="Paragrafi"/>
      </w:pPr>
    </w:p>
    <w:p w:rsidR="005A537B" w:rsidRDefault="005A537B" w:rsidP="005A537B">
      <w:pPr>
        <w:pStyle w:val="Paragrafi"/>
      </w:pPr>
      <w:r w:rsidRPr="003D507F">
        <w:t>Gjykata Kushtetuese e Republikës së Shqipërisë, në bazë të neneve 131/f e 134/g të Kushtetutës</w:t>
      </w:r>
      <w:r>
        <w:t>,</w:t>
      </w:r>
      <w:r w:rsidRPr="003D507F">
        <w:t xml:space="preserve"> si dhe </w:t>
      </w:r>
      <w:r>
        <w:t xml:space="preserve">të </w:t>
      </w:r>
      <w:r w:rsidRPr="003D507F">
        <w:t>neneve 72 e 77 të ligjit “Për organizimin dhe funksionimin e Gjykatës Kushtetuese të Republikës së Shqipërisë”, njëzëri,</w:t>
      </w:r>
    </w:p>
    <w:p w:rsidR="005A537B" w:rsidRPr="003D507F" w:rsidRDefault="005A537B" w:rsidP="005A537B">
      <w:pPr>
        <w:pStyle w:val="Paragrafi"/>
      </w:pPr>
    </w:p>
    <w:p w:rsidR="005A537B" w:rsidRDefault="005A537B" w:rsidP="005A537B">
      <w:pPr>
        <w:pStyle w:val="VENDOSIChar"/>
      </w:pPr>
      <w:r>
        <w:t>VENDOSI</w:t>
      </w:r>
      <w:r w:rsidRPr="003D507F">
        <w:t>:</w:t>
      </w:r>
    </w:p>
    <w:p w:rsidR="005A537B" w:rsidRPr="003D507F" w:rsidRDefault="005A537B" w:rsidP="005A537B">
      <w:pPr>
        <w:pStyle w:val="Paragrafi"/>
      </w:pPr>
    </w:p>
    <w:p w:rsidR="005A537B" w:rsidRPr="003D507F" w:rsidRDefault="005A537B" w:rsidP="005A537B">
      <w:pPr>
        <w:pStyle w:val="Paragrafi"/>
      </w:pPr>
      <w:r w:rsidRPr="003D507F">
        <w:t>- Shfuqizimin si antikushtet</w:t>
      </w:r>
      <w:r>
        <w:t>ues të vendimit nr.17, datë 10.</w:t>
      </w:r>
      <w:r w:rsidRPr="003D507F">
        <w:t>3.2004 të Kolegjit Civil të Gjykatës së Lart</w:t>
      </w:r>
      <w:r>
        <w:t>ë.</w:t>
      </w:r>
    </w:p>
    <w:p w:rsidR="005A537B" w:rsidRPr="003D507F" w:rsidRDefault="005A537B" w:rsidP="005A537B">
      <w:pPr>
        <w:pStyle w:val="Paragrafi"/>
      </w:pPr>
      <w:r w:rsidRPr="003D507F">
        <w:t>- Dërgimin e çështjes për shqyrtim në Kolegjin Civil të Gjykatës së Lartë.</w:t>
      </w:r>
    </w:p>
    <w:p w:rsidR="005A537B" w:rsidRPr="003D507F" w:rsidRDefault="005A537B" w:rsidP="005A537B">
      <w:pPr>
        <w:pStyle w:val="Paragrafi"/>
      </w:pPr>
      <w:r w:rsidRPr="003D507F">
        <w:t>- Ky vendim është përfundimtar, i formës së prerë dhe hyn në fuqi ditën e botimit në Fletoren Zyrtare.</w:t>
      </w:r>
    </w:p>
    <w:p w:rsidR="005A537B" w:rsidRPr="005A537B" w:rsidRDefault="005A537B" w:rsidP="005A537B">
      <w:pPr>
        <w:pStyle w:val="Paragrafi"/>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657C3">
      <w:r>
        <w:separator/>
      </w:r>
    </w:p>
  </w:endnote>
  <w:endnote w:type="continuationSeparator" w:id="0">
    <w:p w:rsidR="00000000" w:rsidRDefault="00A6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657C3">
      <w:r>
        <w:separator/>
      </w:r>
    </w:p>
  </w:footnote>
  <w:footnote w:type="continuationSeparator" w:id="0">
    <w:p w:rsidR="00000000" w:rsidRDefault="00A657C3">
      <w:r>
        <w:continuationSeparator/>
      </w:r>
    </w:p>
  </w:footnote>
  <w:footnote w:id="1">
    <w:p w:rsidR="005A537B" w:rsidRPr="0000122B" w:rsidRDefault="005A537B" w:rsidP="005A537B">
      <w:pPr>
        <w:pStyle w:val="FootnoteText"/>
      </w:pPr>
      <w:r w:rsidRPr="0000122B">
        <w:rPr>
          <w:rStyle w:val="FootnoteReference"/>
        </w:rPr>
        <w:footnoteRef/>
      </w:r>
      <w:r>
        <w:t>.</w:t>
      </w:r>
      <w:r w:rsidRPr="0000122B">
        <w:t xml:space="preserve"> </w:t>
      </w:r>
      <w:r w:rsidRPr="0000122B">
        <w:rPr>
          <w:lang w:val="sq-AL"/>
        </w:rPr>
        <w:t>Çështja Pine Valley kundër Irlandës, viti 1991</w:t>
      </w:r>
    </w:p>
  </w:footnote>
  <w:footnote w:id="2">
    <w:p w:rsidR="005A537B" w:rsidRPr="0000122B" w:rsidRDefault="005A537B" w:rsidP="005A537B">
      <w:pPr>
        <w:pStyle w:val="FootnoteText"/>
      </w:pPr>
      <w:r w:rsidRPr="0000122B">
        <w:rPr>
          <w:rStyle w:val="FootnoteReference"/>
        </w:rPr>
        <w:footnoteRef/>
      </w:r>
      <w:r>
        <w:t>.</w:t>
      </w:r>
      <w:r w:rsidRPr="0000122B">
        <w:t xml:space="preserve"> </w:t>
      </w:r>
      <w:r w:rsidRPr="0000122B">
        <w:rPr>
          <w:lang w:val="sq-AL"/>
        </w:rPr>
        <w:t>Shih vendimin Akdivar,</w:t>
      </w:r>
      <w:r>
        <w:rPr>
          <w:lang w:val="sq-AL"/>
        </w:rPr>
        <w:t xml:space="preserve"> etj., kundër Turqisë, datë 16.</w:t>
      </w:r>
      <w:r w:rsidRPr="0000122B">
        <w:rPr>
          <w:lang w:val="sq-AL"/>
        </w:rPr>
        <w:t>9.1996</w:t>
      </w:r>
    </w:p>
  </w:footnote>
  <w:footnote w:id="3">
    <w:p w:rsidR="005A537B" w:rsidRPr="003E7E9D" w:rsidRDefault="005A537B" w:rsidP="005A537B">
      <w:pPr>
        <w:jc w:val="both"/>
        <w:rPr>
          <w:sz w:val="20"/>
          <w:szCs w:val="20"/>
          <w:lang w:val="sq-AL"/>
        </w:rPr>
      </w:pPr>
      <w:r w:rsidRPr="003E7E9D">
        <w:rPr>
          <w:rStyle w:val="FootnoteReference"/>
          <w:sz w:val="20"/>
          <w:szCs w:val="20"/>
        </w:rPr>
        <w:footnoteRef/>
      </w:r>
      <w:r>
        <w:rPr>
          <w:sz w:val="20"/>
          <w:szCs w:val="20"/>
          <w:lang w:val="sq-AL"/>
        </w:rPr>
        <w:t>.</w:t>
      </w:r>
      <w:r w:rsidRPr="003E7E9D">
        <w:rPr>
          <w:sz w:val="20"/>
          <w:szCs w:val="20"/>
          <w:lang w:val="sq-AL"/>
        </w:rPr>
        <w:t xml:space="preserve"> Çështja Golder kundër M</w:t>
      </w:r>
      <w:r>
        <w:rPr>
          <w:sz w:val="20"/>
          <w:szCs w:val="20"/>
          <w:lang w:val="sq-AL"/>
        </w:rPr>
        <w:t>bretërisë së Bashkuar, datë 21.</w:t>
      </w:r>
      <w:r w:rsidRPr="003E7E9D">
        <w:rPr>
          <w:sz w:val="20"/>
          <w:szCs w:val="20"/>
          <w:lang w:val="sq-AL"/>
        </w:rPr>
        <w:t xml:space="preserve">2.1975 </w:t>
      </w:r>
    </w:p>
  </w:footnote>
  <w:footnote w:id="4">
    <w:p w:rsidR="005A537B" w:rsidRPr="0000122B" w:rsidRDefault="005A537B" w:rsidP="005A537B">
      <w:pPr>
        <w:pStyle w:val="FootnoteText"/>
        <w:rPr>
          <w:lang w:val="sq-AL"/>
        </w:rPr>
      </w:pPr>
      <w:r w:rsidRPr="0000122B">
        <w:rPr>
          <w:rStyle w:val="FootnoteReference"/>
        </w:rPr>
        <w:footnoteRef/>
      </w:r>
      <w:r>
        <w:rPr>
          <w:lang w:val="sq-AL"/>
        </w:rPr>
        <w:t>.</w:t>
      </w:r>
      <w:r w:rsidRPr="0000122B">
        <w:rPr>
          <w:lang w:val="sq-AL"/>
        </w:rPr>
        <w:t xml:space="preserve"> Shih çështjen Airey kundër Irlandës</w:t>
      </w:r>
    </w:p>
  </w:footnote>
  <w:footnote w:id="5">
    <w:p w:rsidR="005A537B" w:rsidRPr="0000122B" w:rsidRDefault="005A537B" w:rsidP="005A537B">
      <w:pPr>
        <w:jc w:val="both"/>
        <w:rPr>
          <w:sz w:val="20"/>
          <w:szCs w:val="20"/>
          <w:lang w:val="sq-AL"/>
        </w:rPr>
      </w:pPr>
      <w:r w:rsidRPr="0000122B">
        <w:rPr>
          <w:rStyle w:val="FootnoteReference"/>
          <w:sz w:val="20"/>
          <w:szCs w:val="20"/>
        </w:rPr>
        <w:footnoteRef/>
      </w:r>
      <w:r>
        <w:rPr>
          <w:sz w:val="20"/>
          <w:szCs w:val="20"/>
          <w:lang w:val="sq-AL"/>
        </w:rPr>
        <w:t>.</w:t>
      </w:r>
      <w:r w:rsidRPr="0000122B">
        <w:rPr>
          <w:sz w:val="20"/>
          <w:szCs w:val="20"/>
          <w:lang w:val="sq-AL"/>
        </w:rPr>
        <w:t xml:space="preserve"> Shih çështjen Dombo Behere kundër Holandës, V, 27.10.1993 dhe Strati</w:t>
      </w:r>
      <w:r>
        <w:rPr>
          <w:sz w:val="20"/>
          <w:szCs w:val="20"/>
          <w:lang w:val="sq-AL"/>
        </w:rPr>
        <w:t xml:space="preserve">s Andreadhis kundër Greqisë V, </w:t>
      </w:r>
      <w:r w:rsidRPr="0000122B">
        <w:rPr>
          <w:sz w:val="20"/>
          <w:szCs w:val="20"/>
          <w:lang w:val="sq-AL"/>
        </w:rPr>
        <w:t>9.12.1994.</w:t>
      </w:r>
    </w:p>
  </w:footnote>
  <w:footnote w:id="6">
    <w:p w:rsidR="005A537B" w:rsidRPr="0000122B" w:rsidRDefault="005A537B" w:rsidP="005A537B">
      <w:pPr>
        <w:pStyle w:val="FootnoteText"/>
        <w:rPr>
          <w:lang w:val="sq-AL"/>
        </w:rPr>
      </w:pPr>
      <w:r w:rsidRPr="0000122B">
        <w:rPr>
          <w:rStyle w:val="FootnoteReference"/>
        </w:rPr>
        <w:footnoteRef/>
      </w:r>
      <w:r>
        <w:rPr>
          <w:lang w:val="sq-AL"/>
        </w:rPr>
        <w:t>. Vendimi i Gjykatës  Eu</w:t>
      </w:r>
      <w:r w:rsidRPr="0000122B">
        <w:rPr>
          <w:lang w:val="sq-AL"/>
        </w:rPr>
        <w:t>ropiane të të Drejtave të Njeriut, Axen kundër Republikë</w:t>
      </w:r>
      <w:r>
        <w:rPr>
          <w:lang w:val="sq-AL"/>
        </w:rPr>
        <w:t xml:space="preserve">s Federale të Gjermanisë, datë </w:t>
      </w:r>
      <w:r w:rsidRPr="0000122B">
        <w:rPr>
          <w:lang w:val="sq-AL"/>
        </w:rPr>
        <w:t>8.12.1983</w:t>
      </w:r>
    </w:p>
  </w:footnote>
  <w:footnote w:id="7">
    <w:p w:rsidR="005A537B" w:rsidRPr="007A01C2" w:rsidRDefault="005A537B" w:rsidP="005A537B">
      <w:pPr>
        <w:jc w:val="both"/>
        <w:rPr>
          <w:sz w:val="20"/>
          <w:szCs w:val="20"/>
          <w:lang w:val="sq-AL"/>
        </w:rPr>
      </w:pPr>
      <w:r w:rsidRPr="007A01C2">
        <w:rPr>
          <w:rStyle w:val="FootnoteReference"/>
          <w:sz w:val="20"/>
          <w:szCs w:val="20"/>
        </w:rPr>
        <w:footnoteRef/>
      </w:r>
      <w:r w:rsidRPr="007A01C2">
        <w:rPr>
          <w:sz w:val="20"/>
          <w:szCs w:val="20"/>
          <w:lang w:val="sq-AL"/>
        </w:rPr>
        <w:t>. Shih çështjen Dehaes dhe Giples kundër Belgjikës, v.24.2.1997</w:t>
      </w:r>
    </w:p>
  </w:footnote>
  <w:footnote w:id="8">
    <w:p w:rsidR="005A537B" w:rsidRPr="0000122B" w:rsidRDefault="005A537B" w:rsidP="005A537B">
      <w:pPr>
        <w:jc w:val="both"/>
        <w:rPr>
          <w:sz w:val="20"/>
          <w:szCs w:val="20"/>
          <w:lang w:val="sq-AL"/>
        </w:rPr>
      </w:pPr>
      <w:r w:rsidRPr="0000122B">
        <w:rPr>
          <w:rStyle w:val="FootnoteReference"/>
          <w:sz w:val="20"/>
          <w:szCs w:val="20"/>
        </w:rPr>
        <w:footnoteRef/>
      </w:r>
      <w:r>
        <w:rPr>
          <w:sz w:val="20"/>
          <w:szCs w:val="20"/>
          <w:lang w:val="sq-AL"/>
        </w:rPr>
        <w:t>.</w:t>
      </w:r>
      <w:r w:rsidRPr="0000122B">
        <w:rPr>
          <w:sz w:val="20"/>
          <w:szCs w:val="20"/>
          <w:lang w:val="sq-AL"/>
        </w:rPr>
        <w:t xml:space="preserve"> Çështja Rui</w:t>
      </w:r>
      <w:r>
        <w:rPr>
          <w:sz w:val="20"/>
          <w:szCs w:val="20"/>
          <w:lang w:val="sq-AL"/>
        </w:rPr>
        <w:t>z-Mateos, kundër Spanjës, v.23.</w:t>
      </w:r>
      <w:r w:rsidRPr="0000122B">
        <w:rPr>
          <w:sz w:val="20"/>
          <w:szCs w:val="20"/>
          <w:lang w:val="sq-AL"/>
        </w:rPr>
        <w:t>6.1993</w:t>
      </w:r>
    </w:p>
    <w:p w:rsidR="005A537B" w:rsidRPr="0000122B" w:rsidRDefault="005A537B" w:rsidP="005A537B">
      <w:pPr>
        <w:jc w:val="both"/>
        <w:rPr>
          <w:rStyle w:val="FootnoteReference"/>
          <w:sz w:val="20"/>
          <w:szCs w:val="20"/>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7B"/>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657C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B7E5ADA-B9C5-4CE2-85D8-C82BCEFF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37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VENDOSIChar">
    <w:name w:val="VENDOSI Char"/>
    <w:next w:val="Normal"/>
    <w:link w:val="VENDOSICharChar"/>
    <w:rsid w:val="005A537B"/>
    <w:pPr>
      <w:keepNext/>
      <w:widowControl w:val="0"/>
      <w:jc w:val="center"/>
    </w:pPr>
    <w:rPr>
      <w:rFonts w:ascii="CG Times" w:hAnsi="CG Times"/>
      <w:caps/>
      <w:sz w:val="22"/>
      <w:szCs w:val="22"/>
      <w:lang w:eastAsia="en-US"/>
    </w:rPr>
  </w:style>
  <w:style w:type="character" w:customStyle="1" w:styleId="VENDOSICharChar">
    <w:name w:val="VENDOSI Char Char"/>
    <w:basedOn w:val="DefaultParagraphFont"/>
    <w:link w:val="VENDOSIChar"/>
    <w:rsid w:val="005A537B"/>
    <w:rPr>
      <w:rFonts w:ascii="CG Times" w:hAnsi="CG Times"/>
      <w:caps/>
      <w:sz w:val="22"/>
      <w:szCs w:val="22"/>
      <w:lang w:val="en-GB" w:eastAsia="en-US" w:bidi="ar-SA"/>
    </w:rPr>
  </w:style>
  <w:style w:type="paragraph" w:styleId="FootnoteText">
    <w:name w:val="footnote text"/>
    <w:basedOn w:val="Normal"/>
    <w:semiHidden/>
    <w:rsid w:val="005A537B"/>
    <w:rPr>
      <w:sz w:val="20"/>
      <w:szCs w:val="20"/>
    </w:rPr>
  </w:style>
  <w:style w:type="character" w:styleId="FootnoteReference">
    <w:name w:val="footnote reference"/>
    <w:basedOn w:val="DefaultParagraphFont"/>
    <w:semiHidden/>
    <w:rsid w:val="005A5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2019-03-16T17:57:00Z</dcterms:created>
  <dcterms:modified xsi:type="dcterms:W3CDTF">2019-03-16T17:57:00Z</dcterms:modified>
</cp:coreProperties>
</file>