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601" w:rsidRDefault="00B20601" w:rsidP="00B20601">
      <w:pPr>
        <w:pStyle w:val="Akti"/>
        <w:keepNext w:val="0"/>
      </w:pPr>
      <w:bookmarkStart w:id="0" w:name="_GoBack"/>
      <w:bookmarkEnd w:id="0"/>
      <w:r>
        <w:t>VENDI</w:t>
      </w:r>
      <w:r w:rsidRPr="007020AA">
        <w:t>M</w:t>
      </w:r>
    </w:p>
    <w:p w:rsidR="00B20601" w:rsidRPr="007020AA" w:rsidRDefault="00B20601" w:rsidP="00B20601">
      <w:pPr>
        <w:pStyle w:val="NumriData"/>
        <w:keepNext w:val="0"/>
      </w:pPr>
      <w:r>
        <w:t xml:space="preserve">Nr.23, datë </w:t>
      </w:r>
      <w:r w:rsidRPr="007020AA">
        <w:t>13.10.2005</w:t>
      </w: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TitulliTitull"/>
        <w:keepNext w:val="0"/>
      </w:pPr>
      <w:r>
        <w:t>NË</w:t>
      </w:r>
      <w:r w:rsidRPr="007020AA">
        <w:t xml:space="preserve"> E</w:t>
      </w:r>
      <w:r>
        <w:t>MËR TË REPUBLIKËS SË SHQIPËRISË</w:t>
      </w:r>
    </w:p>
    <w:p w:rsidR="00B20601" w:rsidRPr="007020AA" w:rsidRDefault="00B20601" w:rsidP="00B20601">
      <w:pPr>
        <w:pStyle w:val="Paragrafi"/>
      </w:pPr>
    </w:p>
    <w:p w:rsidR="00B20601" w:rsidRDefault="00B20601" w:rsidP="00B20601">
      <w:pPr>
        <w:pStyle w:val="Paragrafi"/>
      </w:pPr>
      <w:r w:rsidRPr="007020AA">
        <w:t>Gjykata Kushtetuese e Republikës së Shqipërisë, e përbërë nga:</w:t>
      </w: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  <w:r>
        <w:t>Gjergj Sauli</w:t>
      </w:r>
      <w:r w:rsidRPr="007020AA">
        <w:tab/>
      </w:r>
      <w:r w:rsidRPr="007020AA">
        <w:tab/>
        <w:t xml:space="preserve">Kryetar  i  Gjykatës Kushtetuese </w:t>
      </w:r>
    </w:p>
    <w:p w:rsidR="00B20601" w:rsidRPr="007020AA" w:rsidRDefault="00B20601" w:rsidP="00B20601">
      <w:pPr>
        <w:pStyle w:val="Paragrafi"/>
      </w:pPr>
      <w:r>
        <w:t>Alfred Karamuço</w:t>
      </w:r>
      <w:r w:rsidRPr="007020AA">
        <w:tab/>
        <w:t>Anëtar   i</w:t>
      </w:r>
      <w:r w:rsidRPr="007020AA">
        <w:tab/>
        <w:t xml:space="preserve">“          “   </w:t>
      </w:r>
    </w:p>
    <w:p w:rsidR="00B20601" w:rsidRPr="007020AA" w:rsidRDefault="00B20601" w:rsidP="00B20601">
      <w:pPr>
        <w:pStyle w:val="Paragrafi"/>
      </w:pPr>
      <w:r>
        <w:t>Fehmi Abdiu</w:t>
      </w:r>
      <w:r w:rsidRPr="007020AA">
        <w:tab/>
      </w:r>
      <w:r w:rsidRPr="007020AA">
        <w:tab/>
        <w:t>Anëtar   i         “          “</w:t>
      </w:r>
    </w:p>
    <w:p w:rsidR="00B20601" w:rsidRPr="007020AA" w:rsidRDefault="00B20601" w:rsidP="00B20601">
      <w:pPr>
        <w:pStyle w:val="Paragrafi"/>
      </w:pPr>
      <w:r w:rsidRPr="007020AA">
        <w:t>Krist</w:t>
      </w:r>
      <w:r>
        <w:t>ofor Peçi</w:t>
      </w:r>
      <w:r>
        <w:tab/>
      </w:r>
      <w:r>
        <w:tab/>
        <w:t xml:space="preserve">Anëtar   i         </w:t>
      </w:r>
      <w:r w:rsidRPr="007020AA">
        <w:t xml:space="preserve">“          “ </w:t>
      </w:r>
    </w:p>
    <w:p w:rsidR="00B20601" w:rsidRPr="007020AA" w:rsidRDefault="00B20601" w:rsidP="00B20601">
      <w:pPr>
        <w:pStyle w:val="Paragrafi"/>
      </w:pPr>
      <w:r>
        <w:t>Kujtim Puto</w:t>
      </w:r>
      <w:r w:rsidRPr="007020AA">
        <w:tab/>
      </w:r>
      <w:r w:rsidRPr="007020AA">
        <w:tab/>
        <w:t>Anëtar   i</w:t>
      </w:r>
      <w:r w:rsidRPr="007020AA">
        <w:tab/>
        <w:t>“          “</w:t>
      </w:r>
    </w:p>
    <w:p w:rsidR="00B20601" w:rsidRPr="007020AA" w:rsidRDefault="00B20601" w:rsidP="00B20601">
      <w:pPr>
        <w:pStyle w:val="Paragrafi"/>
      </w:pPr>
      <w:r>
        <w:t>Vjollca Meçaj</w:t>
      </w:r>
      <w:r w:rsidRPr="007020AA">
        <w:tab/>
      </w:r>
      <w:r w:rsidRPr="007020AA">
        <w:tab/>
        <w:t>Anëtare e</w:t>
      </w:r>
      <w:r w:rsidRPr="007020AA">
        <w:tab/>
        <w:t>“          “</w:t>
      </w:r>
    </w:p>
    <w:p w:rsidR="00B20601" w:rsidRPr="007020AA" w:rsidRDefault="00B20601" w:rsidP="00B20601">
      <w:pPr>
        <w:pStyle w:val="Paragrafi"/>
      </w:pPr>
      <w:r w:rsidRPr="007020AA">
        <w:t xml:space="preserve">Xhezair </w:t>
      </w:r>
      <w:r>
        <w:t>Zaganjori</w:t>
      </w:r>
      <w:r>
        <w:tab/>
        <w:t xml:space="preserve">Anëtar   i         </w:t>
      </w:r>
      <w:r w:rsidRPr="007020AA">
        <w:t xml:space="preserve">“          “    </w:t>
      </w:r>
    </w:p>
    <w:p w:rsidR="00B20601" w:rsidRPr="007020AA" w:rsidRDefault="00B20601" w:rsidP="00B20601">
      <w:pPr>
        <w:pStyle w:val="Paragrafi"/>
      </w:pPr>
      <w:r w:rsidRPr="007020AA">
        <w:t>Petri</w:t>
      </w:r>
      <w:r>
        <w:t>t Plloçi</w:t>
      </w:r>
      <w:r>
        <w:tab/>
      </w:r>
      <w:r>
        <w:tab/>
        <w:t xml:space="preserve">Anëtar   i         </w:t>
      </w:r>
      <w:r w:rsidRPr="007020AA">
        <w:t xml:space="preserve">“          “  </w:t>
      </w:r>
    </w:p>
    <w:p w:rsidR="00B20601" w:rsidRDefault="00B20601" w:rsidP="00B20601">
      <w:pPr>
        <w:pStyle w:val="Paragrafi"/>
      </w:pPr>
      <w:r w:rsidRPr="007020AA">
        <w:t>Sokol Sad</w:t>
      </w:r>
      <w:r>
        <w:t>ushi</w:t>
      </w:r>
      <w:r w:rsidRPr="007020AA">
        <w:tab/>
      </w:r>
      <w:r>
        <w:tab/>
      </w:r>
      <w:r w:rsidRPr="007020AA">
        <w:t xml:space="preserve">Anëtar   i       </w:t>
      </w:r>
      <w:r w:rsidRPr="007020AA">
        <w:tab/>
        <w:t xml:space="preserve"> “          “</w:t>
      </w: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  <w:r w:rsidRPr="007020AA">
        <w:t>me sekreta</w:t>
      </w:r>
      <w:r>
        <w:t>re Arbenka Lalica, në datat 13.1.2005 dhe 19.</w:t>
      </w:r>
      <w:r w:rsidRPr="007020AA">
        <w:t>1.2005, mori në shqyrtim në seancë gjyqësore me dyer të hapura çështjen nr.31 Akti që i përket:</w:t>
      </w:r>
    </w:p>
    <w:p w:rsidR="00B20601" w:rsidRPr="007020AA" w:rsidRDefault="00B20601" w:rsidP="00B20601">
      <w:pPr>
        <w:pStyle w:val="Paragrafi"/>
      </w:pPr>
      <w:r>
        <w:t xml:space="preserve">KËRKUES: </w:t>
      </w:r>
      <w:r w:rsidRPr="007020AA">
        <w:t xml:space="preserve">ILIR XHAKJA, përfaqësuar nga avokat Edmond Hyka, me prokurë.  </w:t>
      </w:r>
    </w:p>
    <w:p w:rsidR="00B20601" w:rsidRPr="007020AA" w:rsidRDefault="00B20601" w:rsidP="00B20601">
      <w:pPr>
        <w:pStyle w:val="Paragrafi"/>
      </w:pPr>
      <w:r>
        <w:t xml:space="preserve">SUBJEKT I INTERESUAR: </w:t>
      </w:r>
      <w:r w:rsidRPr="007020AA">
        <w:t>PROKURORI I PËRGJITHSHËM, në mungesë.</w:t>
      </w:r>
    </w:p>
    <w:p w:rsidR="00B20601" w:rsidRPr="007020AA" w:rsidRDefault="00B20601" w:rsidP="00B20601">
      <w:pPr>
        <w:pStyle w:val="Paragrafi"/>
      </w:pPr>
      <w:r>
        <w:t xml:space="preserve">OBJEKTI: </w:t>
      </w:r>
      <w:r w:rsidRPr="007020AA">
        <w:t>Shfuqizimi si antikushte</w:t>
      </w:r>
      <w:r>
        <w:t>tues i vendimit nr.84, datë 18.</w:t>
      </w:r>
      <w:r w:rsidRPr="007020AA">
        <w:t>2.2004 të Kolegjit Penal të Gjykatës së Lartë</w:t>
      </w:r>
      <w:r>
        <w:t>, si dhe nenit 436</w:t>
      </w:r>
      <w:r w:rsidRPr="007020AA">
        <w:t xml:space="preserve"> pika 3 të Kodit të Procedurës Penale. </w:t>
      </w:r>
    </w:p>
    <w:p w:rsidR="00B20601" w:rsidRDefault="00B20601" w:rsidP="00B20601">
      <w:pPr>
        <w:pStyle w:val="Paragrafi"/>
      </w:pPr>
      <w:r w:rsidRPr="007020AA">
        <w:t>Kërkuesi pretendon se vendimi i Kolegjit Penal të Gjykatës së Lartë është antikushtetues për këto arsye:</w:t>
      </w:r>
    </w:p>
    <w:p w:rsidR="00B20601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  <w:r w:rsidRPr="00B413B1">
        <w:rPr>
          <w:i/>
        </w:rPr>
        <w:t>Së pari</w:t>
      </w:r>
      <w:r w:rsidRPr="007020AA">
        <w:t>, nuk është respektuar e dre</w:t>
      </w:r>
      <w:r>
        <w:t>jta për t’u mbrojtur vetë ose me</w:t>
      </w:r>
      <w:r w:rsidRPr="007020AA">
        <w:t xml:space="preserve"> ndihmën e avokatit. Gjykimi në Gjykatën e Lartë është zhvilluar në mungesë të të pandehurit, pa qenë ai i pranishëm personalisht dhe as i mbrojtur me avokat, qoftë edhe kryesisht. Rekursi i prokuror</w:t>
      </w:r>
      <w:r>
        <w:t>it nuk i është komunikuar drejt</w:t>
      </w:r>
      <w:r w:rsidRPr="007020AA">
        <w:t>përdrejt të pandehurit, sipas rregullave që parashikon Kodi i Procedurës Penale. Nga ky gjykim është rënduar në mënyrë të dukshme pozita e të gjykuarit, duke i ndryshuar masën e dënimit;</w:t>
      </w:r>
    </w:p>
    <w:p w:rsidR="00B20601" w:rsidRDefault="00B20601" w:rsidP="00B20601">
      <w:pPr>
        <w:pStyle w:val="Paragrafi"/>
      </w:pPr>
      <w:r w:rsidRPr="00B413B1">
        <w:rPr>
          <w:i/>
        </w:rPr>
        <w:t>Së dyti</w:t>
      </w:r>
      <w:r w:rsidRPr="007020AA">
        <w:t>, mënyra e njoftimit që vjen nga zbatimi i nenit 436/3 të Kodit të Procedurës Penale, përmban antik</w:t>
      </w:r>
      <w:r>
        <w:t>ushtetutshmëri. Kjo dispozitë ce</w:t>
      </w:r>
      <w:r w:rsidRPr="007020AA">
        <w:t>non të drejtat kushtetuese të të pandehurve, sepse njofton vetëm prokurorin dhe injoron njoftimin e datës së gjykimit për të pandehurin. Mënyra e njoftimit me afishim 10 ditë më parë është një zgjidhje e pamjaftueshme për të realizuar efektivisht qëllimin e njoftimit t</w:t>
      </w:r>
      <w:r>
        <w:t>ë personave të interesuar dhe ce</w:t>
      </w:r>
      <w:r w:rsidRPr="007020AA">
        <w:t xml:space="preserve">non parimin e barazisë së palëve në proces. </w:t>
      </w:r>
    </w:p>
    <w:p w:rsidR="00B20601" w:rsidRPr="00907F4E" w:rsidRDefault="00B20601" w:rsidP="00B20601">
      <w:pPr>
        <w:pStyle w:val="Paragrafi"/>
        <w:rPr>
          <w:szCs w:val="22"/>
        </w:rPr>
      </w:pPr>
    </w:p>
    <w:p w:rsidR="00B20601" w:rsidRDefault="00B20601" w:rsidP="00B20601">
      <w:pPr>
        <w:pStyle w:val="Institucioni"/>
        <w:keepNext w:val="0"/>
      </w:pPr>
      <w:r w:rsidRPr="007020AA">
        <w:t>GJYKATA KUSHTETUESE,</w:t>
      </w:r>
    </w:p>
    <w:p w:rsidR="00B20601" w:rsidRPr="00907F4E" w:rsidRDefault="00B20601" w:rsidP="00B20601">
      <w:pPr>
        <w:pStyle w:val="Paragrafi"/>
        <w:rPr>
          <w:szCs w:val="22"/>
        </w:rPr>
      </w:pPr>
    </w:p>
    <w:p w:rsidR="00B20601" w:rsidRDefault="00B20601" w:rsidP="00B20601">
      <w:pPr>
        <w:pStyle w:val="Paragrafi"/>
      </w:pPr>
      <w:r w:rsidRPr="007020AA">
        <w:t>pasi dëgjoi relatorin e çështjes Sokol Sadushi, përfaqësuesin e kërkuesit dhe shqyrtoi çështjen në tërësi,</w:t>
      </w:r>
    </w:p>
    <w:p w:rsidR="00B20601" w:rsidRPr="00190CE2" w:rsidRDefault="00B20601" w:rsidP="00B20601">
      <w:pPr>
        <w:pStyle w:val="Paragrafi"/>
        <w:rPr>
          <w:szCs w:val="22"/>
        </w:rPr>
      </w:pPr>
    </w:p>
    <w:p w:rsidR="00B20601" w:rsidRDefault="00B20601" w:rsidP="00B20601">
      <w:pPr>
        <w:pStyle w:val="VENDOSI"/>
        <w:keepNext w:val="0"/>
      </w:pPr>
      <w:r>
        <w:t>VËRE</w:t>
      </w:r>
      <w:r w:rsidRPr="007020AA">
        <w:t>N:</w:t>
      </w:r>
    </w:p>
    <w:p w:rsidR="00B20601" w:rsidRPr="00190CE2" w:rsidRDefault="00B20601" w:rsidP="00B20601">
      <w:pPr>
        <w:pStyle w:val="Paragrafi"/>
        <w:rPr>
          <w:szCs w:val="22"/>
        </w:rPr>
      </w:pPr>
    </w:p>
    <w:p w:rsidR="00B20601" w:rsidRPr="007020AA" w:rsidRDefault="00B20601" w:rsidP="00B20601">
      <w:pPr>
        <w:pStyle w:val="Paragrafi"/>
      </w:pPr>
      <w:r w:rsidRPr="007020AA">
        <w:t>Kërkuesi është gjykuar nga Gjykata e Rrethit Gjyqësor Durrës për veprën penale të armëmbajtjes pa</w:t>
      </w:r>
      <w:r>
        <w:t xml:space="preserve"> leje dhe është dënuar me 350 </w:t>
      </w:r>
      <w:r w:rsidRPr="007020AA">
        <w:t>000 lekë gjobë.</w:t>
      </w:r>
    </w:p>
    <w:p w:rsidR="00B20601" w:rsidRPr="007020AA" w:rsidRDefault="00B20601" w:rsidP="00B20601">
      <w:pPr>
        <w:pStyle w:val="Paragrafi"/>
      </w:pPr>
      <w:r w:rsidRPr="007020AA">
        <w:t>Gjykata e Apelit Du</w:t>
      </w:r>
      <w:r>
        <w:t>rrës, me vendimin nr.255, datë 9.</w:t>
      </w:r>
      <w:r w:rsidRPr="007020AA">
        <w:t>9.2003</w:t>
      </w:r>
      <w:r>
        <w:t>,</w:t>
      </w:r>
      <w:r w:rsidRPr="007020AA">
        <w:t xml:space="preserve"> ka lënë në fuqi vendimin e Gjykatës së Rrethit Gjyqësor Durrës.</w:t>
      </w:r>
    </w:p>
    <w:p w:rsidR="00B20601" w:rsidRPr="007020AA" w:rsidRDefault="00B20601" w:rsidP="00B20601">
      <w:pPr>
        <w:pStyle w:val="Paragrafi"/>
      </w:pPr>
      <w:r w:rsidRPr="007020AA">
        <w:t>Kolegji Penal i Gjykatës së Lartë ka ndryshuar vendimin e të dy</w:t>
      </w:r>
      <w:r>
        <w:t>ja</w:t>
      </w:r>
      <w:r w:rsidRPr="007020AA">
        <w:t xml:space="preserve"> gjykatave përsa i përket llojit të dënimit dhe e ka dënuar kërkuesin me 3 vjet burgim.</w:t>
      </w:r>
    </w:p>
    <w:p w:rsidR="00B20601" w:rsidRPr="007020AA" w:rsidRDefault="00B20601" w:rsidP="00B20601">
      <w:pPr>
        <w:pStyle w:val="Paragrafi"/>
      </w:pPr>
      <w:r w:rsidRPr="007020AA">
        <w:t xml:space="preserve">Çështja në shqyrtim është gjykuar në Kolegjin Penal të Gjykatës së Lartë, mbi bazën e rekursit të paraqitur nga prokurori. Në dosjen gjyqësore nuk rezulton që komunikimi i rekursit t’i jetë bërë kërkuesit ose avokatit të tij, ndërkohë që ndodhet një dëftesë komunikimi rekursi, për të cilin ka </w:t>
      </w:r>
      <w:r w:rsidRPr="007020AA">
        <w:lastRenderedPageBreak/>
        <w:t xml:space="preserve">nënshkruar i vëllai i të pandehurit. Ndodhur në këto kushte, Gjykata e Lartë, ka zhvilluar seancën gjyqësore në prani vetëm të prokurorit, duke i ndryshuar vendimet e gjykatave, përsa i përket llojit dhe masës së dënimit. </w:t>
      </w:r>
    </w:p>
    <w:p w:rsidR="00B20601" w:rsidRPr="007020AA" w:rsidRDefault="00B20601" w:rsidP="00B20601">
      <w:pPr>
        <w:pStyle w:val="Paragrafi"/>
      </w:pPr>
      <w:r w:rsidRPr="007020AA">
        <w:t>Kërkue</w:t>
      </w:r>
      <w:r>
        <w:t>si, pretendimin për shkelje të s</w:t>
      </w:r>
      <w:r w:rsidRPr="007020AA">
        <w:t>ë drejtës për një proce</w:t>
      </w:r>
      <w:r>
        <w:t>s të rregullit ligjor e ka përqe</w:t>
      </w:r>
      <w:r w:rsidRPr="007020AA">
        <w:t xml:space="preserve">ndruar kryesisht në zhvillimin e gjykimit në Gjykatën e Lartë, pa praninë e mbrojtësit ose të të gjykuarit. Problemi që shtrohet për t’u zgjidhur përpara Gjykatës Kushtetuese, për çështjen në shqyrtim, është i fokusuar në drejtim të rregullsisë ose jo të procesit ligjor të zhvilluar nga Gjykata e Lartë, në mungesë të kërkuesit dhe të avokatit të caktuar prej tij, ndërkohë, që çështja është vënë në lëvizje mbi bazën e rekursit të prokurorit. </w:t>
      </w:r>
    </w:p>
    <w:p w:rsidR="00B20601" w:rsidRPr="007020AA" w:rsidRDefault="00B20601" w:rsidP="00B20601">
      <w:pPr>
        <w:pStyle w:val="Paragrafi"/>
      </w:pPr>
      <w:r w:rsidRPr="007020AA">
        <w:t>Në praktikën e Gjykatës Kushtetuese, mënyra e zhvillimit të gjykimit në varësi të specifikës së çdo rasti konkret, është konsideruar pjesë përbërëse e juridiksionit të saj kushtetues, në kuptim të neneve 42 dhe 131, shkronja “f” të Kushtetutës</w:t>
      </w:r>
      <w:r>
        <w:t>,</w:t>
      </w:r>
      <w:r w:rsidRPr="007020AA">
        <w:t xml:space="preserve"> s</w:t>
      </w:r>
      <w:r>
        <w:t>i dhe të nenit 6 të Konventës Eu</w:t>
      </w:r>
      <w:r w:rsidRPr="007020AA">
        <w:t xml:space="preserve">ropiane për të Drejtat e Njeriut.  </w:t>
      </w:r>
    </w:p>
    <w:p w:rsidR="00B20601" w:rsidRDefault="00B20601" w:rsidP="00B20601">
      <w:pPr>
        <w:pStyle w:val="Paragrafi"/>
      </w:pPr>
      <w:r w:rsidRPr="007020AA">
        <w:t xml:space="preserve">Duke iu referuar praktikës gjyqësore ndërkombëtare, </w:t>
      </w:r>
      <w:r>
        <w:t>në mënyrë të veçantë Gjykatës Eu</w:t>
      </w:r>
      <w:r w:rsidRPr="007020AA">
        <w:t xml:space="preserve">ropiane për të Drejtat e Njeriut, konstatohet se përgjithësisht pranohet që seancat gjyqësore nuk mund të zhvillohen pa praninë e avokatit. Prandaj, njoftimi i avokatit lidhur me ankimin e ushtruar në shkallët e larta të gjykimit konsiderohet i mjaftueshëm. Pjesëmarrja e të pandehurit në gjykim në gjykatat e larta, nuk është automatikisht e domosdoshme (me përjashtim të rasteve kur cilësitë personale të të pandehurit kanë rëndësi vendimtare për dhënien e drejtësisë), sepse debati zhvillohet për çështje të ligjit. </w:t>
      </w:r>
    </w:p>
    <w:p w:rsidR="00B20601" w:rsidRDefault="00B20601" w:rsidP="00B20601">
      <w:pPr>
        <w:pStyle w:val="Paragrafi"/>
      </w:pPr>
    </w:p>
    <w:p w:rsidR="00B20601" w:rsidRDefault="00B20601" w:rsidP="00B20601">
      <w:pPr>
        <w:pStyle w:val="Paragrafi"/>
      </w:pPr>
    </w:p>
    <w:p w:rsidR="00B20601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  <w:r w:rsidRPr="007020AA">
        <w:t>Në rast se as avokati dhe as i pandehuri nuk paraqiten në seancë, është e palejueshme që ajo të vazhdojë. Prezumimi se i pandehuri nuk ka marrë pjesë në gjykim me vetëdije, mund të justifikohet vetëm nëse atij i është bërë njoftimi personalisht dhe mund të vërtetohet që ai e ka marrë vetë atë.</w:t>
      </w:r>
      <w:r w:rsidRPr="00911B2C">
        <w:rPr>
          <w:vertAlign w:val="superscript"/>
        </w:rPr>
        <w:footnoteReference w:id="1"/>
      </w:r>
      <w:r w:rsidRPr="007020AA">
        <w:t xml:space="preserve"> </w:t>
      </w:r>
    </w:p>
    <w:p w:rsidR="00B20601" w:rsidRPr="007020AA" w:rsidRDefault="00B20601" w:rsidP="00B20601">
      <w:pPr>
        <w:pStyle w:val="Paragrafi"/>
      </w:pPr>
      <w:r w:rsidRPr="007020AA">
        <w:t>Është e pranueshme që shteti nuk mund të bëhet përgjegjës për çdo mungesë nga ana e një avokati, por në rrethana të veçanta u takon autoriteteve kompetente të ndërmarrin hapa për të siguruar që aplikanti të gëzojë të drejtat e tij të njohura e të pranuara.</w:t>
      </w:r>
      <w:r w:rsidRPr="00911B2C">
        <w:rPr>
          <w:vertAlign w:val="superscript"/>
        </w:rPr>
        <w:footnoteReference w:id="2"/>
      </w:r>
      <w:r w:rsidRPr="007020AA">
        <w:t xml:space="preserve"> </w:t>
      </w:r>
    </w:p>
    <w:p w:rsidR="00B20601" w:rsidRPr="007020AA" w:rsidRDefault="00B20601" w:rsidP="00B20601">
      <w:pPr>
        <w:pStyle w:val="Paragrafi"/>
      </w:pPr>
      <w:r w:rsidRPr="007020AA">
        <w:t>Përfaqësim</w:t>
      </w:r>
      <w:r>
        <w:t>i me avokat në Gjykatën e Lartë</w:t>
      </w:r>
      <w:r w:rsidRPr="007020AA">
        <w:t xml:space="preserve"> synon garantimin e një mbrojtjeje sa më efektive dhe sa më profesionale të të drejtave dhe lirive themelore të individit. Jurisprudenca jonë kushtetuese, në respektim edhe të qëndr</w:t>
      </w:r>
      <w:r>
        <w:t>imeve të mbajtura nga Gjykata Eu</w:t>
      </w:r>
      <w:r w:rsidRPr="007020AA">
        <w:t>ropiane për të Drejtat e Njeriut, ka konkluduar se trajtimi nga Gjykata e Lartë vetëm i prob</w:t>
      </w:r>
      <w:r>
        <w:t>lemeve ligjore, jo vetëm që jus</w:t>
      </w:r>
      <w:r w:rsidRPr="007020AA">
        <w:t>tifikon plotësisht përfaqësimin me avokat, por për më tepër është i domosdoshëm për garantimin e një mbrojtjeje efektive dhe të dobishme, gjithnjë në favor të të pandehurit. Në çështjen “Pakël</w:t>
      </w:r>
      <w:r>
        <w:t>l kundër Gjermanisë”, Gjykata Eu</w:t>
      </w:r>
      <w:r w:rsidRPr="007020AA">
        <w:t>ropiane për të Drejtat e Njeriut vë në dukje, ndër të tjera, se nisur nga natyra e gjykimit në Gjykatën e Lartë dhe fokusimin e saj në çështje të ligjit, “pa ndihmën e një avokati</w:t>
      </w:r>
      <w:r>
        <w:t>,</w:t>
      </w:r>
      <w:r w:rsidRPr="007020AA">
        <w:t xml:space="preserve"> procesi nuk mund të kontribuonte në mënyrë të dobishme në shqyrtimin e çështjeve juridike që qëndronin në thelb të mosmarrëveshjeve”.</w:t>
      </w:r>
      <w:r w:rsidRPr="00911B2C">
        <w:rPr>
          <w:vertAlign w:val="superscript"/>
        </w:rPr>
        <w:footnoteReference w:id="3"/>
      </w:r>
      <w:r w:rsidRPr="007020AA">
        <w:t xml:space="preserve"> </w:t>
      </w:r>
    </w:p>
    <w:p w:rsidR="00B20601" w:rsidRPr="007020AA" w:rsidRDefault="00B20601" w:rsidP="00B20601">
      <w:pPr>
        <w:pStyle w:val="Paragrafi"/>
      </w:pPr>
      <w:r w:rsidRPr="007020AA">
        <w:t xml:space="preserve">Konkluzione të tilla që përcaktojnë njëkohësisht dhe standardet minimale dhe që garantojnë rregullsinë e një procesi gjykimi, kanë qenë dhe janë të rëndësishme për jurisprudencën kushtetuese shqiptare, dhe në mënyrë të veçantë, për të konkluduar për rastin në shqyrtim. </w:t>
      </w:r>
    </w:p>
    <w:p w:rsidR="00B20601" w:rsidRPr="007020AA" w:rsidRDefault="00B20601" w:rsidP="00B20601">
      <w:pPr>
        <w:pStyle w:val="Paragrafi"/>
      </w:pPr>
      <w:r w:rsidRPr="007020AA">
        <w:t xml:space="preserve">Nëpërmjet këtij vendimi, Gjykata Kushtetuese nuk merr përsipër të ndryshojë a të modifikojë qëndrimet e mbajtura dhe interpretimet ligjore të kryera nga Gjykata e Lartë, por të analizojë rastin në shqyrtim në dimensionin kushtetues, me qëllim dhënien përgjigje </w:t>
      </w:r>
      <w:r>
        <w:t>pretendimeve të kërkuesit për cenim të s</w:t>
      </w:r>
      <w:r w:rsidRPr="007020AA">
        <w:t xml:space="preserve">ë drejtës për një proces të rregullt ligjor. </w:t>
      </w:r>
    </w:p>
    <w:p w:rsidR="00B20601" w:rsidRPr="007020AA" w:rsidRDefault="00B20601" w:rsidP="00B20601">
      <w:pPr>
        <w:pStyle w:val="Paragrafi"/>
      </w:pPr>
      <w:r w:rsidRPr="007020AA">
        <w:t>Nisur nga qëndri</w:t>
      </w:r>
      <w:r>
        <w:t>me të tilla të jurisprudencës europiane dhe duke marrë shkas</w:t>
      </w:r>
      <w:r w:rsidRPr="007020AA">
        <w:t xml:space="preserve"> nga rasti në shqyrtim, Gjykata Kushtetuese vlerëson se situata juridike, kur rekursi paraqitet nga i akuzuari, nuk është e njëllojtë me rastin kur rekursi paraqitet nga prokurori. Prania personale e të pandehurit në seancën gjyqësore për shqyrtimin e ankimit të paraqitur nga mbrojtës</w:t>
      </w:r>
      <w:r>
        <w:t>i i tij nuk është e domosdoshme</w:t>
      </w:r>
      <w:r w:rsidRPr="007020AA">
        <w:t xml:space="preserve"> </w:t>
      </w:r>
      <w:r w:rsidRPr="007020AA">
        <w:lastRenderedPageBreak/>
        <w:t>nëse objekt shqyrtimi janë trajtimet dhe përfundimet juridike të arritura nga gjykata më e ulët, vendimi i së cilës nuk mund të ndryshohet në disfavor të të pandehurit.</w:t>
      </w:r>
      <w:r w:rsidRPr="00201DB7">
        <w:rPr>
          <w:vertAlign w:val="superscript"/>
        </w:rPr>
        <w:footnoteReference w:id="4"/>
      </w:r>
      <w:r w:rsidRPr="007020AA">
        <w:t xml:space="preserve"> Në këto raste, Gjykata e Lartë nuk ka ndonjë pengesë për të vazhduar shqyrtimin e çështjes edhe në mungesë të avokatit të palës së akuzuar, për shkak se argumentet ligjore ai i ka depozituar me shkrim në rekursin e paraqitur përpara saj. </w:t>
      </w:r>
    </w:p>
    <w:p w:rsidR="00B20601" w:rsidRPr="007020AA" w:rsidRDefault="00B20601" w:rsidP="00B20601">
      <w:pPr>
        <w:pStyle w:val="Paragrafi"/>
      </w:pPr>
      <w:r w:rsidRPr="007020AA">
        <w:t>Ndryshe paraqitet situata, kur si rrjedhojë e një rekursi të paraqitur nga prokurori, që mbart në potencë mundësinë e përkeqësimit të pozitës së të pandehurit, gjykimi të zhvillohej pa praninë e të gjykuarit ose të avokatit të tij. Gjykata e Lartë, kur ka gjykuar këtë rast konkret, me përjashtim të argumenteve të paraqitura nga prokurori</w:t>
      </w:r>
      <w:r>
        <w:t>, nuk ka pas</w:t>
      </w:r>
      <w:r w:rsidRPr="007020AA">
        <w:t>ur të administruar asnjë argument ligjor nga pala e akuzuar. Çështja vështirësohet edhe për arsye se me paraqitjen e rekursit nga prokurori, Kodi i Procedurës Penale nuk parashikon mundësinë e paraqitjes së kundërrekursit nga pala kundërsht</w:t>
      </w:r>
      <w:r>
        <w:t>are. Pjesëmarrja e të gjykuarit</w:t>
      </w:r>
      <w:r w:rsidRPr="007020AA">
        <w:t xml:space="preserve"> dhe</w:t>
      </w:r>
      <w:r>
        <w:t>,</w:t>
      </w:r>
      <w:r w:rsidRPr="007020AA">
        <w:t xml:space="preserve"> në mënyrë të veçantë</w:t>
      </w:r>
      <w:r>
        <w:t>, e avokatit të tij</w:t>
      </w:r>
      <w:r w:rsidRPr="007020AA">
        <w:t xml:space="preserve"> kërkohet për të siguruar jo vetëm të drejtën për t’u mbrojtur, por edhe respektimin e parimit të barazisë së armëve në një proces ligjor. </w:t>
      </w:r>
    </w:p>
    <w:p w:rsidR="00B20601" w:rsidRPr="007020AA" w:rsidRDefault="00B20601" w:rsidP="00B20601">
      <w:pPr>
        <w:pStyle w:val="Paragrafi"/>
      </w:pPr>
      <w:r w:rsidRPr="007020AA">
        <w:t>Gjykata Kushtetuese vlerëson se koncepti i ndihmës së mbrojtësit nuk identifikohet domosdoshmërisht me praninë personale të të pandehurit në gjykim, por kuptohet si një garanci e pashmangshme e mundësisë për t’u mbrojtur, që në rastin e gjykimit përpara Gjykatës së Lartë është gjerësisht e siguruar përmes njohjes dhe kujdesit për të interesuarin të një sërë të drejtash procedurale të lidhura saktësisht me ndihmën e mbrojtësit. Për këtë arsye</w:t>
      </w:r>
      <w:r>
        <w:t>,</w:t>
      </w:r>
      <w:r w:rsidRPr="007020AA">
        <w:t xml:space="preserve"> në rastin në shqyrtim paraqitej e domosdoshme pjesëmarrja e avokatit.</w:t>
      </w:r>
    </w:p>
    <w:p w:rsidR="00B20601" w:rsidRPr="007020AA" w:rsidRDefault="00B20601" w:rsidP="00B20601">
      <w:pPr>
        <w:pStyle w:val="Paragrafi"/>
      </w:pPr>
      <w:r w:rsidRPr="007020AA">
        <w:t>Dispozit</w:t>
      </w:r>
      <w:r>
        <w:t>at e Kushtetutës së Republikës të Shqipërisë dhe të Konventës Eu</w:t>
      </w:r>
      <w:r w:rsidRPr="007020AA">
        <w:t xml:space="preserve">ropiane për të Drejtat e Njeriut mbrojnë interesat e të pandehurit në një proces, sepse është ai që do të preket drejtpërdrejt nga pasojat e një procesi të zhvilluar pa pjesëmarrjen e tij dhe të avokatit. </w:t>
      </w:r>
    </w:p>
    <w:p w:rsidR="00B20601" w:rsidRPr="007020AA" w:rsidRDefault="00B20601" w:rsidP="00B20601">
      <w:pPr>
        <w:pStyle w:val="Paragrafi"/>
      </w:pPr>
      <w:r w:rsidRPr="007020AA">
        <w:t>Nisur nga specifika e rastit në shqyrtim, kur çështja shqyrtohej mbi bazën e rekursit të paraqitur nga prokurori, i cili ka kërkuar rëndimin e pozitës së të pandehurit dhe faktit, që as i pandehuri dhe as avokati nuk ishin të pranishëm në gjykim, Kolegji Penal i Gjykatës së Lartë nuk duhej të zhvillonte gjykimin pa u garantuar për arsyet e mosparaqitjes së tyre dhe pa i dhënë mundësi palës së akuzuar për të realizuar mbrojtjen ligjore. Në aspektin e garantimit të procesit të rregullt ligjor, për Kole</w:t>
      </w:r>
      <w:r>
        <w:t>gjin Penal të Gjykatës së Lartë</w:t>
      </w:r>
      <w:r w:rsidRPr="007020AA">
        <w:t xml:space="preserve"> dilte e domosdoshme marrja e masave në mënyrë që të mos lejonte zhvillimin e seancës në mungesë të përfaqësuesit të interesave të të pandehurit, pasi kjo ishte e vetmja mënyrë që i pandehuri</w:t>
      </w:r>
      <w:r>
        <w:t>,</w:t>
      </w:r>
      <w:r w:rsidRPr="007020AA">
        <w:t xml:space="preserve"> përmes figurës përfaqësuese të avokatit</w:t>
      </w:r>
      <w:r>
        <w:t>,</w:t>
      </w:r>
      <w:r w:rsidRPr="007020AA">
        <w:t xml:space="preserve"> të merrte pjesë në debatet e mundshme. </w:t>
      </w:r>
    </w:p>
    <w:p w:rsidR="00B20601" w:rsidRPr="007020AA" w:rsidRDefault="00B20601" w:rsidP="00B20601">
      <w:pPr>
        <w:pStyle w:val="Paragrafi"/>
      </w:pPr>
      <w:r w:rsidRPr="007020AA">
        <w:t>Pretendimin tjetër të kërkuesit, për shfuqizimin si antikushtetues të nenit 43</w:t>
      </w:r>
      <w:r>
        <w:t>6</w:t>
      </w:r>
      <w:r w:rsidRPr="007020AA">
        <w:t xml:space="preserve"> pika 3 të Kodit të Procedurës Penale, Gjykata Kushtetuese nuk e çmon të arsyeshme ta analizojë për shkak se kërkuesi e ka përdorur këtë pretendim në funksion të ar</w:t>
      </w:r>
      <w:r>
        <w:t>gumenteve që kanë të bëjnë me ce</w:t>
      </w:r>
      <w:r w:rsidRPr="007020AA">
        <w:t xml:space="preserve">nimin e procesit ligjor, të cilat u pranuan gjatë arsyetimit të këtij vendimi.  </w:t>
      </w:r>
    </w:p>
    <w:p w:rsidR="00B20601" w:rsidRDefault="00B20601" w:rsidP="00B20601">
      <w:pPr>
        <w:pStyle w:val="Paragrafi"/>
      </w:pPr>
      <w:r w:rsidRPr="007020AA">
        <w:t>Përfundimisht, nga analiza që iu bë pretendimeve të kërkuesit, për shkak të specifikës së rrethanave që paraqiste çështja në shqyrtim</w:t>
      </w:r>
      <w:r>
        <w:t>,</w:t>
      </w:r>
      <w:r w:rsidRPr="007020AA">
        <w:t xml:space="preserve"> si dhe të mënyrës së përfundimit të saj, Gjykata Kushtetuese konkludon se procesi ligjor i zhvilluar në Gjykatën e Lartë ka qenë i parregullt nga pikëpamja kushtetuese.  </w:t>
      </w:r>
    </w:p>
    <w:p w:rsidR="00B20601" w:rsidRPr="00190CE2" w:rsidRDefault="00B20601" w:rsidP="00B20601">
      <w:pPr>
        <w:pStyle w:val="Paragrafi"/>
        <w:rPr>
          <w:szCs w:val="22"/>
        </w:rPr>
      </w:pPr>
    </w:p>
    <w:p w:rsidR="00B20601" w:rsidRDefault="00B20601" w:rsidP="00B20601">
      <w:pPr>
        <w:pStyle w:val="VENDOSI"/>
        <w:keepNext w:val="0"/>
      </w:pPr>
      <w:r>
        <w:t>PËR KËTO ARSYE,</w:t>
      </w:r>
    </w:p>
    <w:p w:rsidR="00B20601" w:rsidRPr="00190CE2" w:rsidRDefault="00B20601" w:rsidP="00B20601">
      <w:pPr>
        <w:pStyle w:val="Paragrafi"/>
        <w:rPr>
          <w:szCs w:val="22"/>
        </w:rPr>
      </w:pPr>
    </w:p>
    <w:p w:rsidR="00B20601" w:rsidRDefault="00B20601" w:rsidP="00B20601">
      <w:pPr>
        <w:pStyle w:val="Paragrafi"/>
      </w:pPr>
      <w:r w:rsidRPr="007020AA">
        <w:t>Gjykata Kushtetuese e Republikës së Sh</w:t>
      </w:r>
      <w:r>
        <w:t>qipërisë, në bazë të neneve 131 shkronja “f” dhe 134 pika 1</w:t>
      </w:r>
      <w:r w:rsidRPr="007020AA">
        <w:t xml:space="preserve"> shkronja “g” të Kushtetutës, dhe neneve 72 e 77 të ligjit nr.8577, </w:t>
      </w:r>
      <w:r>
        <w:t>datë 10.</w:t>
      </w:r>
      <w:r w:rsidRPr="007020AA">
        <w:t xml:space="preserve">2.2000 “Për organizimin dhe funksionimin e Gjykatës Kushtetuese të Republikës së Shqipërisë”, me shumicë votash, </w:t>
      </w:r>
    </w:p>
    <w:p w:rsidR="00B20601" w:rsidRPr="007020AA" w:rsidRDefault="00B20601" w:rsidP="00B20601">
      <w:pPr>
        <w:pStyle w:val="Paragrafi"/>
      </w:pPr>
    </w:p>
    <w:p w:rsidR="00B20601" w:rsidRDefault="00B20601" w:rsidP="00B20601">
      <w:pPr>
        <w:pStyle w:val="VENDOSI"/>
        <w:keepNext w:val="0"/>
      </w:pPr>
      <w:r>
        <w:t>VENDOS</w:t>
      </w:r>
      <w:r w:rsidRPr="007020AA">
        <w:t>I:</w:t>
      </w:r>
    </w:p>
    <w:p w:rsidR="00B20601" w:rsidRPr="007020AA" w:rsidRDefault="00B20601" w:rsidP="00B20601">
      <w:pPr>
        <w:pStyle w:val="Paragrafi"/>
      </w:pPr>
    </w:p>
    <w:p w:rsidR="00B20601" w:rsidRPr="007020AA" w:rsidRDefault="00B20601" w:rsidP="00B20601">
      <w:pPr>
        <w:pStyle w:val="Paragrafi"/>
      </w:pPr>
      <w:r w:rsidRPr="007020AA">
        <w:t>- Shfuqizimin si antikushtet</w:t>
      </w:r>
      <w:r>
        <w:t>ues të vendimit nr.84, datë 18.</w:t>
      </w:r>
      <w:r w:rsidRPr="007020AA">
        <w:t>2.2004 të Kole</w:t>
      </w:r>
      <w:r>
        <w:t>gjit Penal të Gjykatës së Lartë.</w:t>
      </w:r>
    </w:p>
    <w:p w:rsidR="00B20601" w:rsidRPr="007020AA" w:rsidRDefault="00B20601" w:rsidP="00B20601">
      <w:pPr>
        <w:pStyle w:val="Paragrafi"/>
      </w:pPr>
      <w:r w:rsidRPr="007020AA">
        <w:t xml:space="preserve">- Dërgimin e çështjes për shqyrtim në Kolegjin Penal të Gjykatës së Lartë. </w:t>
      </w:r>
    </w:p>
    <w:p w:rsidR="00B20601" w:rsidRPr="007020AA" w:rsidRDefault="00B20601" w:rsidP="00B20601">
      <w:pPr>
        <w:pStyle w:val="Paragrafi"/>
      </w:pPr>
      <w:r w:rsidRPr="007020AA">
        <w:t xml:space="preserve">- Ky vendim është përfundimtar, i formës së prerë dhe hyn në fuqi ditën e botimit në Fletoren Zyrtare. </w:t>
      </w:r>
    </w:p>
    <w:p w:rsidR="00B20601" w:rsidRDefault="00B20601" w:rsidP="00B206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3602A">
      <w:r>
        <w:separator/>
      </w:r>
    </w:p>
  </w:endnote>
  <w:endnote w:type="continuationSeparator" w:id="0">
    <w:p w:rsidR="00000000" w:rsidRDefault="00836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3602A">
      <w:r>
        <w:separator/>
      </w:r>
    </w:p>
  </w:footnote>
  <w:footnote w:type="continuationSeparator" w:id="0">
    <w:p w:rsidR="00000000" w:rsidRDefault="0083602A">
      <w:r>
        <w:continuationSeparator/>
      </w:r>
    </w:p>
  </w:footnote>
  <w:footnote w:id="1">
    <w:p w:rsidR="00B20601" w:rsidRPr="00AB727D" w:rsidRDefault="00B20601" w:rsidP="00B20601">
      <w:pPr>
        <w:pStyle w:val="FootnoteText"/>
        <w:rPr>
          <w:vertAlign w:val="subscript"/>
        </w:rPr>
      </w:pPr>
      <w:r w:rsidRPr="00AB727D">
        <w:rPr>
          <w:rStyle w:val="FootnoteReference"/>
          <w:vertAlign w:val="subscript"/>
        </w:rPr>
        <w:footnoteRef/>
      </w:r>
      <w:r w:rsidRPr="00AB727D">
        <w:rPr>
          <w:vertAlign w:val="subscript"/>
        </w:rPr>
        <w:t xml:space="preserve"> Çështja “T” kundër “I”, marrë nga Komentari i KEDNJ Frowin/Puekert. </w:t>
      </w:r>
    </w:p>
  </w:footnote>
  <w:footnote w:id="2">
    <w:p w:rsidR="00B20601" w:rsidRPr="00AB727D" w:rsidRDefault="00B20601" w:rsidP="00B20601">
      <w:pPr>
        <w:pStyle w:val="FootnoteText"/>
        <w:rPr>
          <w:vertAlign w:val="subscript"/>
          <w:lang w:val="pt-PT"/>
        </w:rPr>
      </w:pPr>
      <w:r w:rsidRPr="00AB727D">
        <w:rPr>
          <w:rStyle w:val="FootnoteReference"/>
          <w:vertAlign w:val="subscript"/>
        </w:rPr>
        <w:footnoteRef/>
      </w:r>
      <w:r w:rsidRPr="00AB727D">
        <w:rPr>
          <w:vertAlign w:val="subscript"/>
          <w:lang w:val="pt-PT"/>
        </w:rPr>
        <w:t xml:space="preserve"> Artico kundër Italisë, vendim</w:t>
      </w:r>
      <w:r>
        <w:rPr>
          <w:vertAlign w:val="subscript"/>
          <w:lang w:val="pt-PT"/>
        </w:rPr>
        <w:t xml:space="preserve"> i Gjykatës së Strasburgut, 13.</w:t>
      </w:r>
      <w:r w:rsidRPr="00AB727D">
        <w:rPr>
          <w:vertAlign w:val="subscript"/>
          <w:lang w:val="pt-PT"/>
        </w:rPr>
        <w:t>5.1980</w:t>
      </w:r>
    </w:p>
  </w:footnote>
  <w:footnote w:id="3">
    <w:p w:rsidR="00B20601" w:rsidRPr="00AB727D" w:rsidRDefault="00B20601" w:rsidP="00B20601">
      <w:pPr>
        <w:pStyle w:val="FootnoteText"/>
        <w:rPr>
          <w:vertAlign w:val="subscript"/>
          <w:lang w:val="pt-PT"/>
        </w:rPr>
      </w:pPr>
      <w:r w:rsidRPr="00AB727D">
        <w:rPr>
          <w:rStyle w:val="FootnoteReference"/>
          <w:vertAlign w:val="subscript"/>
        </w:rPr>
        <w:footnoteRef/>
      </w:r>
      <w:r w:rsidRPr="00AB727D">
        <w:rPr>
          <w:vertAlign w:val="subscript"/>
          <w:lang w:val="pt-PT"/>
        </w:rPr>
        <w:t xml:space="preserve"> Vendimi i Gjykatës Kushtetuese të RSH-së, nr. 25 datë 30.7.2003, Përmbledhje vendimesh, 2003, faqe 134.</w:t>
      </w:r>
    </w:p>
  </w:footnote>
  <w:footnote w:id="4">
    <w:p w:rsidR="00B20601" w:rsidRPr="00AB727D" w:rsidRDefault="00B20601" w:rsidP="00B20601">
      <w:pPr>
        <w:pStyle w:val="FootnoteText"/>
        <w:rPr>
          <w:vertAlign w:val="subscript"/>
          <w:lang w:val="fr-FR"/>
        </w:rPr>
      </w:pPr>
      <w:r w:rsidRPr="00AB727D">
        <w:rPr>
          <w:rStyle w:val="FootnoteReference"/>
          <w:vertAlign w:val="subscript"/>
        </w:rPr>
        <w:footnoteRef/>
      </w:r>
      <w:r w:rsidRPr="00AB727D">
        <w:rPr>
          <w:vertAlign w:val="subscript"/>
          <w:lang w:val="fr-FR"/>
        </w:rPr>
        <w:t xml:space="preserve"> Frowein/Peukert, Europaische Menschenrechtskonvention-Komentar (1996) faqe 227.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3602A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0601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9B4E1-CCF3-456A-92E5-4302E634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semiHidden/>
    <w:rsid w:val="00B20601"/>
    <w:pPr>
      <w:widowControl/>
    </w:pPr>
    <w:rPr>
      <w:rFonts w:ascii="Times New Roman" w:hAnsi="Times New Roman"/>
      <w:noProof w:val="0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B206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