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7C2" w:rsidRDefault="008767C2" w:rsidP="008767C2">
      <w:pPr>
        <w:pStyle w:val="Akti"/>
      </w:pPr>
      <w:bookmarkStart w:id="0" w:name="_GoBack"/>
      <w:bookmarkEnd w:id="0"/>
      <w:r w:rsidRPr="00793614">
        <w:t>VENDIM</w:t>
      </w:r>
    </w:p>
    <w:p w:rsidR="008767C2" w:rsidRPr="00793614" w:rsidRDefault="008767C2" w:rsidP="008767C2">
      <w:pPr>
        <w:pStyle w:val="NumriData"/>
      </w:pPr>
      <w:r>
        <w:t xml:space="preserve">Nr.25, datë </w:t>
      </w:r>
      <w:r w:rsidRPr="00793614">
        <w:t>28.10.2005</w:t>
      </w:r>
    </w:p>
    <w:p w:rsidR="008767C2" w:rsidRPr="00793614" w:rsidRDefault="008767C2" w:rsidP="008767C2">
      <w:pPr>
        <w:pStyle w:val="Paragrafi"/>
      </w:pPr>
    </w:p>
    <w:p w:rsidR="008767C2" w:rsidRPr="004D513F" w:rsidRDefault="008767C2" w:rsidP="008767C2">
      <w:pPr>
        <w:pStyle w:val="Titulli"/>
        <w:rPr>
          <w:b w:val="0"/>
        </w:rPr>
      </w:pPr>
      <w:r w:rsidRPr="004D513F">
        <w:rPr>
          <w:b w:val="0"/>
        </w:rPr>
        <w:t>Në E</w:t>
      </w:r>
      <w:r>
        <w:rPr>
          <w:b w:val="0"/>
        </w:rPr>
        <w:t>MËR TË REPUBLIKËS SË SHQIPËRISË</w:t>
      </w:r>
    </w:p>
    <w:p w:rsidR="008767C2" w:rsidRDefault="008767C2" w:rsidP="008767C2">
      <w:pPr>
        <w:pStyle w:val="Paragrafi"/>
      </w:pPr>
    </w:p>
    <w:p w:rsidR="008767C2" w:rsidRPr="00280A78" w:rsidRDefault="008767C2" w:rsidP="008767C2">
      <w:pPr>
        <w:pStyle w:val="Paragrafi"/>
      </w:pPr>
      <w:r w:rsidRPr="00280A78">
        <w:t>Gjykata Kushtetuese e Republik</w:t>
      </w:r>
      <w:r>
        <w:t>ë</w:t>
      </w:r>
      <w:r w:rsidRPr="00280A78">
        <w:t>s së Shqipërisë, e p</w:t>
      </w:r>
      <w:r>
        <w:t>ë</w:t>
      </w:r>
      <w:r w:rsidRPr="00280A78">
        <w:t>rb</w:t>
      </w:r>
      <w:r>
        <w:t>ë</w:t>
      </w:r>
      <w:r w:rsidRPr="00280A78">
        <w:t>r</w:t>
      </w:r>
      <w:r>
        <w:t>ë</w:t>
      </w:r>
      <w:r w:rsidRPr="00280A78">
        <w:t xml:space="preserve"> nga:</w:t>
      </w:r>
    </w:p>
    <w:p w:rsidR="008767C2" w:rsidRDefault="008767C2" w:rsidP="008767C2">
      <w:pPr>
        <w:pStyle w:val="Paragrafi"/>
      </w:pPr>
    </w:p>
    <w:p w:rsidR="008767C2" w:rsidRPr="00793614" w:rsidRDefault="008767C2" w:rsidP="008767C2">
      <w:pPr>
        <w:pStyle w:val="Paragrafi"/>
      </w:pPr>
      <w:r>
        <w:t>Gjergji Sauli</w:t>
      </w:r>
      <w:r w:rsidRPr="00793614">
        <w:tab/>
      </w:r>
      <w:r>
        <w:tab/>
      </w:r>
      <w:r w:rsidRPr="00793614">
        <w:t>Kryetar i Gjykat</w:t>
      </w:r>
      <w:r>
        <w:t>ë</w:t>
      </w:r>
      <w:r w:rsidRPr="00793614">
        <w:t>s Kushtetuese</w:t>
      </w:r>
    </w:p>
    <w:p w:rsidR="008767C2" w:rsidRPr="00793614" w:rsidRDefault="008767C2" w:rsidP="008767C2">
      <w:pPr>
        <w:pStyle w:val="Paragrafi"/>
      </w:pPr>
      <w:r>
        <w:t>Kristofor Peçi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8767C2" w:rsidRPr="00793614" w:rsidRDefault="008767C2" w:rsidP="008767C2">
      <w:pPr>
        <w:pStyle w:val="Paragrafi"/>
      </w:pPr>
      <w:r>
        <w:t>Kujtim Puto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8767C2" w:rsidRPr="00793614" w:rsidRDefault="008767C2" w:rsidP="008767C2">
      <w:pPr>
        <w:pStyle w:val="Paragrafi"/>
      </w:pPr>
      <w:r>
        <w:t>Vjollca Meçaj</w:t>
      </w:r>
      <w:r w:rsidRPr="00793614">
        <w:tab/>
      </w:r>
      <w:r>
        <w:tab/>
      </w:r>
      <w:r w:rsidRPr="00793614">
        <w:t>Anëtar</w:t>
      </w:r>
      <w:r w:rsidRPr="00793614">
        <w:tab/>
        <w:t>e</w:t>
      </w:r>
      <w:r>
        <w:tab/>
        <w:t>“</w:t>
      </w:r>
      <w:r>
        <w:tab/>
        <w:t>“</w:t>
      </w:r>
    </w:p>
    <w:p w:rsidR="008767C2" w:rsidRPr="00793614" w:rsidRDefault="008767C2" w:rsidP="008767C2">
      <w:pPr>
        <w:pStyle w:val="Paragrafi"/>
      </w:pPr>
      <w:r>
        <w:t>Xhezair Zaganjori</w:t>
      </w:r>
      <w:r w:rsidRPr="00793614">
        <w:tab/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8767C2" w:rsidRPr="00793614" w:rsidRDefault="008767C2" w:rsidP="008767C2">
      <w:pPr>
        <w:pStyle w:val="Paragrafi"/>
      </w:pPr>
      <w:r>
        <w:t>Petrit Plloçi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8767C2" w:rsidRPr="00793614" w:rsidRDefault="008767C2" w:rsidP="008767C2">
      <w:pPr>
        <w:pStyle w:val="Paragrafi"/>
      </w:pPr>
      <w:r>
        <w:t>Sokol Sadushi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8767C2" w:rsidRPr="00793614" w:rsidRDefault="008767C2" w:rsidP="008767C2">
      <w:pPr>
        <w:pStyle w:val="Paragrafi"/>
      </w:pPr>
      <w:r>
        <w:t>Fehmi Abdiu</w:t>
      </w:r>
      <w:r w:rsidRPr="00793614">
        <w:tab/>
      </w:r>
      <w:r>
        <w:tab/>
      </w:r>
      <w:r w:rsidRPr="00793614">
        <w:t>Anëtar</w:t>
      </w:r>
      <w:r w:rsidRPr="00793614">
        <w:tab/>
        <w:t>i</w:t>
      </w:r>
      <w:r>
        <w:tab/>
        <w:t>“</w:t>
      </w:r>
      <w:r>
        <w:tab/>
        <w:t>“</w:t>
      </w:r>
    </w:p>
    <w:p w:rsidR="008767C2" w:rsidRDefault="008767C2" w:rsidP="008767C2">
      <w:pPr>
        <w:pStyle w:val="Paragrafi"/>
      </w:pPr>
    </w:p>
    <w:p w:rsidR="008767C2" w:rsidRDefault="008767C2" w:rsidP="008767C2">
      <w:pPr>
        <w:pStyle w:val="Paragrafi"/>
      </w:pPr>
      <w:r w:rsidRPr="00793614">
        <w:t>me sekret</w:t>
      </w:r>
      <w:r>
        <w:t>are Arbenka Lalica, në datë 29.6.2005, mori</w:t>
      </w:r>
      <w:r w:rsidRPr="00793614">
        <w:t xml:space="preserve"> në shqyrtim n</w:t>
      </w:r>
      <w:r>
        <w:t>ë</w:t>
      </w:r>
      <w:r w:rsidRPr="00793614">
        <w:t xml:space="preserve"> seanc</w:t>
      </w:r>
      <w:r>
        <w:t>ë</w:t>
      </w:r>
      <w:r w:rsidRPr="00793614">
        <w:t xml:space="preserve"> gjyq</w:t>
      </w:r>
      <w:r>
        <w:t>ë</w:t>
      </w:r>
      <w:r w:rsidRPr="00793614">
        <w:t>sore me dyer të hapura ç</w:t>
      </w:r>
      <w:r>
        <w:t>ë</w:t>
      </w:r>
      <w:r w:rsidRPr="00793614">
        <w:t>sh</w:t>
      </w:r>
      <w:r>
        <w:t>t</w:t>
      </w:r>
      <w:r w:rsidRPr="00793614">
        <w:t>jen nr.35 Akti, që i p</w:t>
      </w:r>
      <w:r>
        <w:t>ë</w:t>
      </w:r>
      <w:r w:rsidRPr="00793614">
        <w:t>rket:</w:t>
      </w:r>
    </w:p>
    <w:p w:rsidR="008767C2" w:rsidRDefault="008767C2" w:rsidP="008767C2">
      <w:pPr>
        <w:pStyle w:val="Paragrafi"/>
      </w:pPr>
    </w:p>
    <w:p w:rsidR="008767C2" w:rsidRPr="00793614" w:rsidRDefault="008767C2" w:rsidP="008767C2">
      <w:pPr>
        <w:pStyle w:val="Paragrafi"/>
      </w:pPr>
      <w:r>
        <w:t>KËRKUE</w:t>
      </w:r>
      <w:r w:rsidRPr="00793614">
        <w:t>S</w:t>
      </w:r>
      <w:r>
        <w:t>I</w:t>
      </w:r>
      <w:r w:rsidRPr="00793614">
        <w:t>: SHOQ</w:t>
      </w:r>
      <w:r>
        <w:t>ËRIA “EPSEM GRAND”, pë</w:t>
      </w:r>
      <w:r w:rsidRPr="00793614">
        <w:t>rfaqësuar nga Olion Kaso, me autorizim.</w:t>
      </w:r>
    </w:p>
    <w:p w:rsidR="008767C2" w:rsidRPr="00280A78" w:rsidRDefault="008767C2" w:rsidP="008767C2">
      <w:pPr>
        <w:pStyle w:val="Paragrafi"/>
        <w:rPr>
          <w:lang w:val="it-IT"/>
        </w:rPr>
      </w:pPr>
      <w:r w:rsidRPr="00280A78">
        <w:rPr>
          <w:lang w:val="it-IT"/>
        </w:rPr>
        <w:t>SUBJEKT</w:t>
      </w:r>
      <w:r>
        <w:rPr>
          <w:lang w:val="it-IT"/>
        </w:rPr>
        <w:t>I</w:t>
      </w:r>
      <w:r w:rsidRPr="00280A78">
        <w:rPr>
          <w:lang w:val="it-IT"/>
        </w:rPr>
        <w:t xml:space="preserve"> I INTERESUAR:</w:t>
      </w:r>
      <w:r w:rsidRPr="00280A78">
        <w:rPr>
          <w:lang w:val="it-IT"/>
        </w:rPr>
        <w:tab/>
        <w:t>DREJTORIA E PËRGJITHSHME E</w:t>
      </w:r>
      <w:r>
        <w:rPr>
          <w:lang w:val="it-IT"/>
        </w:rPr>
        <w:t xml:space="preserve"> DOGANAVE, </w:t>
      </w:r>
      <w:r w:rsidRPr="00280A78">
        <w:rPr>
          <w:lang w:val="it-IT"/>
        </w:rPr>
        <w:t>p</w:t>
      </w:r>
      <w:r>
        <w:rPr>
          <w:lang w:val="it-IT"/>
        </w:rPr>
        <w:t>ë</w:t>
      </w:r>
      <w:r w:rsidRPr="00280A78">
        <w:rPr>
          <w:lang w:val="it-IT"/>
        </w:rPr>
        <w:t>rfaq</w:t>
      </w:r>
      <w:r>
        <w:rPr>
          <w:lang w:val="it-IT"/>
        </w:rPr>
        <w:t xml:space="preserve">ësuar nga Avokati i Shtetit </w:t>
      </w:r>
      <w:r w:rsidRPr="00280A78">
        <w:rPr>
          <w:lang w:val="it-IT"/>
        </w:rPr>
        <w:t>Abaz Deda, me autorizim.</w:t>
      </w:r>
    </w:p>
    <w:p w:rsidR="008767C2" w:rsidRPr="00280A78" w:rsidRDefault="008767C2" w:rsidP="008767C2">
      <w:pPr>
        <w:pStyle w:val="Paragrafi"/>
        <w:rPr>
          <w:lang w:val="it-IT"/>
        </w:rPr>
      </w:pPr>
      <w:r>
        <w:rPr>
          <w:lang w:val="it-IT"/>
        </w:rPr>
        <w:t>O</w:t>
      </w:r>
      <w:r w:rsidRPr="00280A78">
        <w:rPr>
          <w:lang w:val="it-IT"/>
        </w:rPr>
        <w:t>BJEKT</w:t>
      </w:r>
      <w:r>
        <w:rPr>
          <w:lang w:val="it-IT"/>
        </w:rPr>
        <w:t xml:space="preserve">I: </w:t>
      </w:r>
      <w:r w:rsidRPr="00280A78">
        <w:rPr>
          <w:lang w:val="it-IT"/>
        </w:rPr>
        <w:t xml:space="preserve">Shfuqizimi </w:t>
      </w:r>
      <w:r>
        <w:rPr>
          <w:lang w:val="it-IT"/>
        </w:rPr>
        <w:t>i</w:t>
      </w:r>
      <w:r w:rsidRPr="00280A78">
        <w:rPr>
          <w:lang w:val="it-IT"/>
        </w:rPr>
        <w:t xml:space="preserve"> vendimit</w:t>
      </w:r>
      <w:r>
        <w:rPr>
          <w:lang w:val="it-IT"/>
        </w:rPr>
        <w:t xml:space="preserve"> nr.1446, datë 13.</w:t>
      </w:r>
      <w:r w:rsidRPr="00280A78">
        <w:rPr>
          <w:lang w:val="it-IT"/>
        </w:rPr>
        <w:t>7.2004 t</w:t>
      </w:r>
      <w:r>
        <w:rPr>
          <w:lang w:val="it-IT"/>
        </w:rPr>
        <w:t>ë</w:t>
      </w:r>
      <w:r w:rsidRPr="00280A78">
        <w:rPr>
          <w:lang w:val="it-IT"/>
        </w:rPr>
        <w:t xml:space="preserve"> Kolegjit Civil t</w:t>
      </w:r>
      <w:r>
        <w:rPr>
          <w:lang w:val="it-IT"/>
        </w:rPr>
        <w:t>ë</w:t>
      </w:r>
      <w:r w:rsidRPr="00280A78">
        <w:rPr>
          <w:lang w:val="it-IT"/>
        </w:rPr>
        <w:t xml:space="preserve"> Gjykat</w:t>
      </w:r>
      <w:r>
        <w:rPr>
          <w:lang w:val="it-IT"/>
        </w:rPr>
        <w:t>ë</w:t>
      </w:r>
      <w:r w:rsidRPr="00280A78">
        <w:rPr>
          <w:lang w:val="it-IT"/>
        </w:rPr>
        <w:t>s s</w:t>
      </w:r>
      <w:r>
        <w:rPr>
          <w:lang w:val="it-IT"/>
        </w:rPr>
        <w:t>ë Lartë,</w:t>
      </w:r>
      <w:r w:rsidRPr="00F11B36">
        <w:rPr>
          <w:lang w:val="it-IT"/>
        </w:rPr>
        <w:t xml:space="preserve"> </w:t>
      </w:r>
      <w:r w:rsidRPr="00280A78">
        <w:rPr>
          <w:lang w:val="it-IT"/>
        </w:rPr>
        <w:t>si</w:t>
      </w:r>
      <w:r>
        <w:rPr>
          <w:lang w:val="it-IT"/>
        </w:rPr>
        <w:t xml:space="preserve"> i papajtueshëm me Kushtetutën.</w:t>
      </w:r>
    </w:p>
    <w:p w:rsidR="008767C2" w:rsidRPr="00280A78" w:rsidRDefault="008767C2" w:rsidP="008767C2">
      <w:pPr>
        <w:pStyle w:val="Paragrafi"/>
        <w:rPr>
          <w:lang w:val="it-IT"/>
        </w:rPr>
      </w:pPr>
      <w:r w:rsidRPr="00280A78">
        <w:rPr>
          <w:lang w:val="it-IT"/>
        </w:rPr>
        <w:t>Kërkuesi ka parashtruar këto shkaqe p</w:t>
      </w:r>
      <w:r>
        <w:rPr>
          <w:lang w:val="it-IT"/>
        </w:rPr>
        <w:t>ë</w:t>
      </w:r>
      <w:r w:rsidRPr="00280A78">
        <w:rPr>
          <w:lang w:val="it-IT"/>
        </w:rPr>
        <w:t>r papajtueshm</w:t>
      </w:r>
      <w:r>
        <w:rPr>
          <w:lang w:val="it-IT"/>
        </w:rPr>
        <w:t>ë</w:t>
      </w:r>
      <w:r w:rsidRPr="00280A78">
        <w:rPr>
          <w:lang w:val="it-IT"/>
        </w:rPr>
        <w:t>rin</w:t>
      </w:r>
      <w:r>
        <w:rPr>
          <w:lang w:val="it-IT"/>
        </w:rPr>
        <w:t>ë</w:t>
      </w:r>
      <w:r w:rsidRPr="00280A78">
        <w:rPr>
          <w:lang w:val="it-IT"/>
        </w:rPr>
        <w:t xml:space="preserve"> me Kushtetutën të vendimit të Kolegjit Civil të Gjykat</w:t>
      </w:r>
      <w:r>
        <w:rPr>
          <w:lang w:val="it-IT"/>
        </w:rPr>
        <w:t>ë</w:t>
      </w:r>
      <w:r w:rsidRPr="00280A78">
        <w:rPr>
          <w:lang w:val="it-IT"/>
        </w:rPr>
        <w:t>s së Lartë:</w:t>
      </w:r>
    </w:p>
    <w:p w:rsidR="008767C2" w:rsidRPr="00280A78" w:rsidRDefault="008767C2" w:rsidP="008767C2">
      <w:pPr>
        <w:pStyle w:val="Paragrafi"/>
        <w:rPr>
          <w:lang w:val="it-IT"/>
        </w:rPr>
      </w:pPr>
      <w:r>
        <w:rPr>
          <w:lang w:val="it-IT"/>
        </w:rPr>
        <w:t>- Gjykimi i çështjes në Gjykatë</w:t>
      </w:r>
      <w:r w:rsidRPr="00280A78">
        <w:rPr>
          <w:lang w:val="it-IT"/>
        </w:rPr>
        <w:t xml:space="preserve">n e Lartë është zhvilluar pa dijeninë e tij, pa </w:t>
      </w:r>
      <w:r>
        <w:rPr>
          <w:lang w:val="it-IT"/>
        </w:rPr>
        <w:t>u planifikuar e pa u shpallur më parë data për zhvillimin e seancës gjyqë</w:t>
      </w:r>
      <w:r w:rsidRPr="00280A78">
        <w:rPr>
          <w:lang w:val="it-IT"/>
        </w:rPr>
        <w:t>sore, duke i mohuar të drejtën e mbrojtjes.</w:t>
      </w:r>
    </w:p>
    <w:p w:rsidR="008767C2" w:rsidRPr="00280A78" w:rsidRDefault="008767C2" w:rsidP="008767C2">
      <w:pPr>
        <w:pStyle w:val="Paragrafi"/>
        <w:ind w:firstLine="0"/>
        <w:rPr>
          <w:lang w:val="it-IT"/>
        </w:rPr>
      </w:pPr>
    </w:p>
    <w:p w:rsidR="008767C2" w:rsidRPr="00280A78" w:rsidRDefault="008767C2" w:rsidP="008767C2">
      <w:pPr>
        <w:pStyle w:val="VENDOSI"/>
      </w:pPr>
      <w:r w:rsidRPr="00280A78">
        <w:t>GJYKATA KUSHTETUESE</w:t>
      </w:r>
      <w:r>
        <w:t>,</w:t>
      </w:r>
    </w:p>
    <w:p w:rsidR="008767C2" w:rsidRPr="00280A78" w:rsidRDefault="008767C2" w:rsidP="008767C2">
      <w:pPr>
        <w:pStyle w:val="Paragrafi"/>
        <w:ind w:firstLine="0"/>
        <w:rPr>
          <w:lang w:val="it-IT"/>
        </w:rPr>
      </w:pPr>
    </w:p>
    <w:p w:rsidR="008767C2" w:rsidRPr="00280A78" w:rsidRDefault="008767C2" w:rsidP="008767C2">
      <w:pPr>
        <w:pStyle w:val="Paragrafi"/>
        <w:rPr>
          <w:lang w:val="it-IT"/>
        </w:rPr>
      </w:pPr>
      <w:r w:rsidRPr="00280A78">
        <w:rPr>
          <w:lang w:val="it-IT"/>
        </w:rPr>
        <w:t xml:space="preserve">pasi dëgjoi relatorin e </w:t>
      </w:r>
      <w:r>
        <w:rPr>
          <w:lang w:val="it-IT"/>
        </w:rPr>
        <w:t>çështjes Fehmi Abdiu, përfaqësuesit</w:t>
      </w:r>
      <w:r w:rsidRPr="00280A78">
        <w:rPr>
          <w:lang w:val="it-IT"/>
        </w:rPr>
        <w:t xml:space="preserve"> e kërkue</w:t>
      </w:r>
      <w:r>
        <w:rPr>
          <w:lang w:val="it-IT"/>
        </w:rPr>
        <w:t>sit, të subjektit të interesuar</w:t>
      </w:r>
      <w:r w:rsidRPr="00280A78">
        <w:rPr>
          <w:lang w:val="it-IT"/>
        </w:rPr>
        <w:t xml:space="preserve"> dhe shqyrtoi çështjen në tërësi,</w:t>
      </w:r>
    </w:p>
    <w:p w:rsidR="008767C2" w:rsidRPr="00280A78" w:rsidRDefault="008767C2" w:rsidP="008767C2">
      <w:pPr>
        <w:pStyle w:val="Paragrafi"/>
        <w:rPr>
          <w:lang w:val="it-IT"/>
        </w:rPr>
      </w:pPr>
    </w:p>
    <w:p w:rsidR="008767C2" w:rsidRPr="00280A78" w:rsidRDefault="008767C2" w:rsidP="008767C2">
      <w:pPr>
        <w:pStyle w:val="VENDOSI"/>
      </w:pPr>
      <w:r w:rsidRPr="00280A78">
        <w:t>VËREN</w:t>
      </w:r>
      <w:r>
        <w:t>:</w:t>
      </w:r>
    </w:p>
    <w:p w:rsidR="008767C2" w:rsidRPr="00280A78" w:rsidRDefault="008767C2" w:rsidP="008767C2">
      <w:pPr>
        <w:pStyle w:val="Paragrafi"/>
        <w:rPr>
          <w:lang w:val="it-IT"/>
        </w:rPr>
      </w:pPr>
    </w:p>
    <w:p w:rsidR="008767C2" w:rsidRPr="00280A78" w:rsidRDefault="008767C2" w:rsidP="008767C2">
      <w:pPr>
        <w:pStyle w:val="Paragrafi"/>
        <w:rPr>
          <w:lang w:val="it-IT"/>
        </w:rPr>
      </w:pPr>
      <w:r>
        <w:rPr>
          <w:lang w:val="it-IT"/>
        </w:rPr>
        <w:t>Gjykata e Rrethit Gjyqë</w:t>
      </w:r>
      <w:r w:rsidRPr="00280A78">
        <w:rPr>
          <w:lang w:val="it-IT"/>
        </w:rPr>
        <w:t>sor Tiranë</w:t>
      </w:r>
      <w:r>
        <w:rPr>
          <w:lang w:val="it-IT"/>
        </w:rPr>
        <w:t>, me vendimin nr.1865, datë 21.4.2004, në pë</w:t>
      </w:r>
      <w:r w:rsidRPr="00280A78">
        <w:rPr>
          <w:lang w:val="it-IT"/>
        </w:rPr>
        <w:t>rfundim të gjykimit të kërkesës së kërkuesit</w:t>
      </w:r>
      <w:r>
        <w:rPr>
          <w:lang w:val="it-IT"/>
        </w:rPr>
        <w:t xml:space="preserve"> me objekt detyrim për shumën 1 085 </w:t>
      </w:r>
      <w:r w:rsidRPr="00280A78">
        <w:rPr>
          <w:lang w:val="it-IT"/>
        </w:rPr>
        <w:t>616</w:t>
      </w:r>
      <w:r>
        <w:rPr>
          <w:lang w:val="it-IT"/>
        </w:rPr>
        <w:t xml:space="preserve"> lekë, ka vendosur nxjerrjen e ç</w:t>
      </w:r>
      <w:r w:rsidRPr="00280A78">
        <w:rPr>
          <w:lang w:val="it-IT"/>
        </w:rPr>
        <w:t>ështjes civile jashtë juridiksionit gjyqësor.</w:t>
      </w:r>
    </w:p>
    <w:p w:rsidR="008767C2" w:rsidRPr="00280A78" w:rsidRDefault="008767C2" w:rsidP="008767C2">
      <w:pPr>
        <w:pStyle w:val="Paragrafi"/>
        <w:rPr>
          <w:lang w:val="it-IT"/>
        </w:rPr>
      </w:pPr>
      <w:r w:rsidRPr="00280A78">
        <w:rPr>
          <w:lang w:val="it-IT"/>
        </w:rPr>
        <w:t>Kolegji Civil i Gjykatës së Lartë, mbi ankimin e kërkuesit, me vendimin nr.1446, datë 13.7.2004, ka lënë në fuqi vendimin e Gjykatës së Rrethit Gjyqësor Tiranë.</w:t>
      </w:r>
    </w:p>
    <w:p w:rsidR="008767C2" w:rsidRPr="00280A78" w:rsidRDefault="008767C2" w:rsidP="008767C2">
      <w:pPr>
        <w:pStyle w:val="Paragrafi"/>
        <w:rPr>
          <w:lang w:val="it-IT"/>
        </w:rPr>
      </w:pPr>
      <w:r w:rsidRPr="00280A78">
        <w:rPr>
          <w:lang w:val="it-IT"/>
        </w:rPr>
        <w:t>Kërkuesi, në kërkesën drejtuar Gjykatës Kushtetuese, ka kërkuar shfuqizimin e vendimit të Kolegjit Civil të Gjykatës së Lartë, sepse nuk është bërë lajmërimi për ditën e</w:t>
      </w:r>
      <w:r>
        <w:rPr>
          <w:lang w:val="it-IT"/>
        </w:rPr>
        <w:t xml:space="preserve"> orën e gjykimit të ç</w:t>
      </w:r>
      <w:r w:rsidRPr="00280A78">
        <w:rPr>
          <w:lang w:val="it-IT"/>
        </w:rPr>
        <w:t>ështjes, duke pretenduar se, në këtë mënyrë, gjykata ka zhvilluar një proces të parregullt.</w:t>
      </w:r>
    </w:p>
    <w:p w:rsidR="008767C2" w:rsidRPr="00280A78" w:rsidRDefault="008767C2" w:rsidP="008767C2">
      <w:pPr>
        <w:pStyle w:val="Paragrafi"/>
        <w:rPr>
          <w:lang w:val="it-IT"/>
        </w:rPr>
      </w:pPr>
      <w:r w:rsidRPr="00280A78">
        <w:rPr>
          <w:lang w:val="it-IT"/>
        </w:rPr>
        <w:t>Gjatë gjykimit, kërkuesi ka shtuar se edhe njoftimi i datës 29.6.2004, për gjykimin e çështjes në datën 13.7.2004, është në kundërshtim me kërk</w:t>
      </w:r>
      <w:r>
        <w:rPr>
          <w:lang w:val="it-IT"/>
        </w:rPr>
        <w:t>esat e ligjit dhe standard</w:t>
      </w:r>
      <w:r w:rsidRPr="00280A78">
        <w:rPr>
          <w:lang w:val="it-IT"/>
        </w:rPr>
        <w:t>et kushtetuese, dhe i ka mohuar të drejtën për t’u mbrojtur.</w:t>
      </w:r>
    </w:p>
    <w:p w:rsidR="008767C2" w:rsidRPr="00280A78" w:rsidRDefault="008767C2" w:rsidP="008767C2">
      <w:pPr>
        <w:pStyle w:val="Paragrafi"/>
        <w:rPr>
          <w:lang w:val="it-IT"/>
        </w:rPr>
      </w:pPr>
      <w:r>
        <w:rPr>
          <w:lang w:val="it-IT"/>
        </w:rPr>
        <w:t>Gjykata Kushtetuese</w:t>
      </w:r>
      <w:r w:rsidRPr="00280A78">
        <w:rPr>
          <w:lang w:val="it-IT"/>
        </w:rPr>
        <w:t xml:space="preserve"> konstaton se këto dy pretendime</w:t>
      </w:r>
      <w:r>
        <w:rPr>
          <w:lang w:val="it-IT"/>
        </w:rPr>
        <w:t>,</w:t>
      </w:r>
      <w:r w:rsidRPr="00280A78">
        <w:rPr>
          <w:lang w:val="it-IT"/>
        </w:rPr>
        <w:t xml:space="preserve"> edhe pse janë lidhur me një problem të vetëm, me të drejtën e mbroj</w:t>
      </w:r>
      <w:r>
        <w:rPr>
          <w:lang w:val="it-IT"/>
        </w:rPr>
        <w:t>tjes, duhen trajtuar veç nga një</w:t>
      </w:r>
      <w:r w:rsidRPr="00280A78">
        <w:rPr>
          <w:lang w:val="it-IT"/>
        </w:rPr>
        <w:t>ri-tjetri.</w:t>
      </w:r>
    </w:p>
    <w:p w:rsidR="008767C2" w:rsidRDefault="008767C2" w:rsidP="008767C2">
      <w:pPr>
        <w:pStyle w:val="Paragrafi"/>
        <w:rPr>
          <w:lang w:val="it-IT"/>
        </w:rPr>
      </w:pPr>
      <w:r>
        <w:rPr>
          <w:lang w:val="it-IT"/>
        </w:rPr>
        <w:t>Ë</w:t>
      </w:r>
      <w:r w:rsidRPr="00280A78">
        <w:rPr>
          <w:lang w:val="it-IT"/>
        </w:rPr>
        <w:t>shtë vërtetuar se</w:t>
      </w:r>
      <w:r>
        <w:rPr>
          <w:lang w:val="it-IT"/>
        </w:rPr>
        <w:t xml:space="preserve"> sekretaria e Gjykatës së Lartë</w:t>
      </w:r>
      <w:r w:rsidRPr="00280A78">
        <w:rPr>
          <w:lang w:val="it-IT"/>
        </w:rPr>
        <w:t xml:space="preserve"> në datën 9.6.2004 ka bërë shpalljet pë</w:t>
      </w:r>
      <w:r>
        <w:rPr>
          <w:lang w:val="it-IT"/>
        </w:rPr>
        <w:t>r çështjet që do të shqyrtonte Kolegji Civil në datën 13.7.2004 dhe në datën 29.6.2004</w:t>
      </w:r>
      <w:r w:rsidRPr="00280A78">
        <w:rPr>
          <w:lang w:val="it-IT"/>
        </w:rPr>
        <w:t xml:space="preserve"> ka bërë një shpallje tjetër për po atë datë.</w:t>
      </w:r>
    </w:p>
    <w:p w:rsidR="008767C2" w:rsidRPr="00280A78" w:rsidRDefault="008767C2" w:rsidP="008767C2">
      <w:pPr>
        <w:pStyle w:val="Paragrafi"/>
        <w:rPr>
          <w:lang w:val="it-IT"/>
        </w:rPr>
      </w:pPr>
    </w:p>
    <w:p w:rsidR="008767C2" w:rsidRPr="00280A78" w:rsidRDefault="008767C2" w:rsidP="008767C2">
      <w:pPr>
        <w:pStyle w:val="Paragrafi"/>
        <w:rPr>
          <w:lang w:val="it-IT"/>
        </w:rPr>
      </w:pPr>
      <w:r w:rsidRPr="00280A78">
        <w:rPr>
          <w:lang w:val="it-IT"/>
        </w:rPr>
        <w:t>Gjykata Kushtetuese çmon se kjo ka të bëjë me m</w:t>
      </w:r>
      <w:r>
        <w:rPr>
          <w:lang w:val="it-IT"/>
        </w:rPr>
        <w:t>etodën e punës së asaj zyre dhe</w:t>
      </w:r>
      <w:r w:rsidRPr="00280A78">
        <w:rPr>
          <w:lang w:val="it-IT"/>
        </w:rPr>
        <w:t xml:space="preserve"> nuk përbën shkelje në aspektin kushtetues. Fakti që</w:t>
      </w:r>
      <w:r>
        <w:rPr>
          <w:lang w:val="it-IT"/>
        </w:rPr>
        <w:t>,</w:t>
      </w:r>
      <w:r w:rsidRPr="00280A78">
        <w:rPr>
          <w:lang w:val="it-IT"/>
        </w:rPr>
        <w:t xml:space="preserve"> në shpalljet e bëra në datën 9.6.2004</w:t>
      </w:r>
      <w:r>
        <w:rPr>
          <w:lang w:val="it-IT"/>
        </w:rPr>
        <w:t>,</w:t>
      </w:r>
      <w:r w:rsidRPr="00280A78">
        <w:rPr>
          <w:lang w:val="it-IT"/>
        </w:rPr>
        <w:t xml:space="preserve"> për gjykimet që do të </w:t>
      </w:r>
      <w:r w:rsidRPr="00280A78">
        <w:rPr>
          <w:lang w:val="it-IT"/>
        </w:rPr>
        <w:lastRenderedPageBreak/>
        <w:t>zhvilloheshin në dat</w:t>
      </w:r>
      <w:r>
        <w:rPr>
          <w:lang w:val="it-IT"/>
        </w:rPr>
        <w:t>ën 13.7.2004, nuk parashikohej çështja e kërkuesit</w:t>
      </w:r>
      <w:r w:rsidRPr="00280A78">
        <w:rPr>
          <w:lang w:val="it-IT"/>
        </w:rPr>
        <w:t xml:space="preserve"> (për të cilën e kishte paraqitur vetë rekursin për në Gjykatën e Lartë), nuk e përjashtonte atë nga detyrimi për të ndjekur të gjitha njoftimet që do të bëheshin pas </w:t>
      </w:r>
      <w:r>
        <w:rPr>
          <w:lang w:val="it-IT"/>
        </w:rPr>
        <w:t>asaj date, derisa të merrte dije</w:t>
      </w:r>
      <w:r w:rsidRPr="00280A78">
        <w:rPr>
          <w:lang w:val="it-IT"/>
        </w:rPr>
        <w:t>ni për ditën e gjykimit. Kërkuesi detyrohej që të ndiqte në vazhdimësi shpalljet që bëheshin nga sekretaria e Gjykatës së Lartë dhe pas datës 9.6.2004, gjë që e bën të pabazuar pretendimin e tij se e drejta për t’u mbrojtur i është mohuar nga Gjykata e Lartë.</w:t>
      </w:r>
    </w:p>
    <w:p w:rsidR="008767C2" w:rsidRPr="00280A78" w:rsidRDefault="008767C2" w:rsidP="008767C2">
      <w:pPr>
        <w:pStyle w:val="Paragrafi"/>
        <w:rPr>
          <w:lang w:val="it-IT"/>
        </w:rPr>
      </w:pPr>
      <w:r w:rsidRPr="00280A78">
        <w:rPr>
          <w:lang w:val="it-IT"/>
        </w:rPr>
        <w:t>Gjykata Kushtetuese vlerëson se</w:t>
      </w:r>
      <w:r>
        <w:rPr>
          <w:lang w:val="it-IT"/>
        </w:rPr>
        <w:t>,</w:t>
      </w:r>
      <w:r w:rsidRPr="00280A78">
        <w:rPr>
          <w:lang w:val="it-IT"/>
        </w:rPr>
        <w:t xml:space="preserve"> për realizimin e të drejtave themelore kushtetuese, shtetasit detyrohen të përmbushin detyrimet ligjore që kanë për të ndjekur fatin e ankimit apo të rekursit të ushtruar prej tyre në marrjen dijeni për </w:t>
      </w:r>
      <w:r>
        <w:rPr>
          <w:lang w:val="it-IT"/>
        </w:rPr>
        <w:t>ditën e shqyrtimit të tyre. Pra</w:t>
      </w:r>
      <w:r w:rsidRPr="00280A78">
        <w:rPr>
          <w:lang w:val="it-IT"/>
        </w:rPr>
        <w:t xml:space="preserve"> pretendimi që gjykimi i çështjes është bërë pa u bërë më parë lajmërimi përkatës</w:t>
      </w:r>
      <w:r>
        <w:rPr>
          <w:lang w:val="it-IT"/>
        </w:rPr>
        <w:t>,</w:t>
      </w:r>
      <w:r w:rsidRPr="00280A78">
        <w:rPr>
          <w:lang w:val="it-IT"/>
        </w:rPr>
        <w:t xml:space="preserve"> nuk qëndron.</w:t>
      </w:r>
    </w:p>
    <w:p w:rsidR="008767C2" w:rsidRPr="005C5153" w:rsidRDefault="008767C2" w:rsidP="008767C2">
      <w:pPr>
        <w:pStyle w:val="Paragrafi"/>
        <w:rPr>
          <w:lang w:val="it-IT"/>
        </w:rPr>
      </w:pPr>
      <w:r w:rsidRPr="005C5153">
        <w:rPr>
          <w:lang w:val="it-IT"/>
        </w:rPr>
        <w:t>G</w:t>
      </w:r>
      <w:r>
        <w:rPr>
          <w:lang w:val="it-IT"/>
        </w:rPr>
        <w:t>jithashtu, gjatë shqyrtimit të ç</w:t>
      </w:r>
      <w:r w:rsidRPr="005C5153">
        <w:rPr>
          <w:lang w:val="it-IT"/>
        </w:rPr>
        <w:t>ështjes është konstatuar se shpallja për gjykimin e çështjes në datën 13.7.2004, është bërë në datën 29.6.2004, pra 14 ditë më parë se dita e gjykimit. Sipas paragrafit të dytë të nenit 482/2 të Kodit të Procedurës Civile</w:t>
      </w:r>
      <w:r>
        <w:rPr>
          <w:lang w:val="it-IT"/>
        </w:rPr>
        <w:t>,</w:t>
      </w:r>
      <w:r w:rsidRPr="005C5153">
        <w:rPr>
          <w:lang w:val="it-IT"/>
        </w:rPr>
        <w:t xml:space="preserve"> “... sekretaria e Gjykatës së Lartë shpall listat e shqyrtimit të rekurseve të paktën 15 ditë përpara datës së </w:t>
      </w:r>
      <w:r>
        <w:rPr>
          <w:lang w:val="it-IT"/>
        </w:rPr>
        <w:t>shqyrtimit”. Sipas përmbajtjes s</w:t>
      </w:r>
      <w:r w:rsidRPr="005C5153">
        <w:rPr>
          <w:lang w:val="it-IT"/>
        </w:rPr>
        <w:t>ë kësaj dispozite</w:t>
      </w:r>
      <w:r>
        <w:rPr>
          <w:lang w:val="it-IT"/>
        </w:rPr>
        <w:t>,</w:t>
      </w:r>
      <w:r w:rsidRPr="005C5153">
        <w:rPr>
          <w:lang w:val="it-IT"/>
        </w:rPr>
        <w:t xml:space="preserve"> në llogaritjen e afatit 15</w:t>
      </w:r>
      <w:r>
        <w:rPr>
          <w:lang w:val="it-IT"/>
        </w:rPr>
        <w:t>-</w:t>
      </w:r>
      <w:r w:rsidRPr="005C5153">
        <w:rPr>
          <w:lang w:val="it-IT"/>
        </w:rPr>
        <w:t>ditor nuk duhet marrë parasysh data e shqyrtimit</w:t>
      </w:r>
      <w:r>
        <w:rPr>
          <w:lang w:val="it-IT"/>
        </w:rPr>
        <w:t xml:space="preserve"> të çështjes. Këtë kërkesë</w:t>
      </w:r>
      <w:r w:rsidRPr="005C5153">
        <w:rPr>
          <w:lang w:val="it-IT"/>
        </w:rPr>
        <w:t xml:space="preserve"> Gjykata e Lartë nuk e ka zbatuar në mënyrë rigoroze</w:t>
      </w:r>
      <w:r>
        <w:rPr>
          <w:lang w:val="it-IT"/>
        </w:rPr>
        <w:t>, pasi duhej ta gjykonte ç</w:t>
      </w:r>
      <w:r w:rsidRPr="005C5153">
        <w:rPr>
          <w:lang w:val="it-IT"/>
        </w:rPr>
        <w:t>ështjen së paku një ditë më pas.</w:t>
      </w:r>
    </w:p>
    <w:p w:rsidR="008767C2" w:rsidRPr="005C5153" w:rsidRDefault="008767C2" w:rsidP="008767C2">
      <w:pPr>
        <w:pStyle w:val="Paragrafi"/>
        <w:rPr>
          <w:lang w:val="it-IT"/>
        </w:rPr>
      </w:pPr>
      <w:r>
        <w:rPr>
          <w:lang w:val="it-IT"/>
        </w:rPr>
        <w:t>Por</w:t>
      </w:r>
      <w:r w:rsidRPr="005C5153">
        <w:rPr>
          <w:lang w:val="it-IT"/>
        </w:rPr>
        <w:t xml:space="preserve"> Gjykata Kushtetuese çmon se shkelja e përmbajtjes së paragrafit të dytë të nenit 482/2 të Kodit të Procedurës Civile, në kushtet dhe rrethanat e kryera, nuk e bën në thelb procesin gjyqësor të parregullt, në aspektin kushtetues. Shkaqet e parashtruara nga kërkuesi nuk pajtohen me konceptin që kanë Kushtetuta e Repub</w:t>
      </w:r>
      <w:r>
        <w:rPr>
          <w:lang w:val="it-IT"/>
        </w:rPr>
        <w:t>likës së Shqipërisë, Konventa Eu</w:t>
      </w:r>
      <w:r w:rsidRPr="005C5153">
        <w:rPr>
          <w:lang w:val="it-IT"/>
        </w:rPr>
        <w:t>ropiane për të Drejtat e Njeriut</w:t>
      </w:r>
      <w:r>
        <w:rPr>
          <w:lang w:val="it-IT"/>
        </w:rPr>
        <w:t>,</w:t>
      </w:r>
      <w:r w:rsidRPr="005C5153">
        <w:rPr>
          <w:lang w:val="it-IT"/>
        </w:rPr>
        <w:t xml:space="preserve"> si dhe praktika e Gjykatës Kushtetuese për procesin e rregullt ligjor. Gjatë procesit gjyqësor që</w:t>
      </w:r>
      <w:r>
        <w:rPr>
          <w:lang w:val="it-IT"/>
        </w:rPr>
        <w:t xml:space="preserve"> zhvillohet në të gjitha shkallë</w:t>
      </w:r>
      <w:r w:rsidRPr="005C5153">
        <w:rPr>
          <w:lang w:val="it-IT"/>
        </w:rPr>
        <w:t>t e gjykimit, mund të konstatohen shkelj</w:t>
      </w:r>
      <w:r>
        <w:rPr>
          <w:lang w:val="it-IT"/>
        </w:rPr>
        <w:t>e të ndryshme, por e rëndësishme është se jo ç</w:t>
      </w:r>
      <w:r w:rsidRPr="005C5153">
        <w:rPr>
          <w:lang w:val="it-IT"/>
        </w:rPr>
        <w:t>do shkelje e ligjit mund të c</w:t>
      </w:r>
      <w:r>
        <w:rPr>
          <w:lang w:val="it-IT"/>
        </w:rPr>
        <w:t>e</w:t>
      </w:r>
      <w:r w:rsidRPr="005C5153">
        <w:rPr>
          <w:lang w:val="it-IT"/>
        </w:rPr>
        <w:t>nojë procesin e rregullt ligjor në a</w:t>
      </w:r>
      <w:r>
        <w:rPr>
          <w:lang w:val="it-IT"/>
        </w:rPr>
        <w:t>spektin kushtetues. Kjo Gjykatë</w:t>
      </w:r>
      <w:r w:rsidRPr="005C5153">
        <w:rPr>
          <w:lang w:val="it-IT"/>
        </w:rPr>
        <w:t xml:space="preserve"> në praktikën e saj për këtë problem ka pohuar se: “ndikim të drejtpërdrejtë në një proces ligjor kanë ato shkelje thelbësore</w:t>
      </w:r>
      <w:r>
        <w:rPr>
          <w:lang w:val="it-IT"/>
        </w:rPr>
        <w:t>, vërtetimi i të cilave do të ce</w:t>
      </w:r>
      <w:r w:rsidRPr="005C5153">
        <w:rPr>
          <w:lang w:val="it-IT"/>
        </w:rPr>
        <w:t>nonte të drejtat dhe liritë themelor</w:t>
      </w:r>
      <w:r>
        <w:rPr>
          <w:lang w:val="it-IT"/>
        </w:rPr>
        <w:t>e të individit dhe çdo të drejtë</w:t>
      </w:r>
      <w:r w:rsidRPr="005C5153">
        <w:rPr>
          <w:lang w:val="it-IT"/>
        </w:rPr>
        <w:t xml:space="preserve"> tjetër të njohur me Kushtetutë dhe me ligj”,</w:t>
      </w:r>
      <w:r>
        <w:rPr>
          <w:rStyle w:val="FootnoteReference"/>
        </w:rPr>
        <w:footnoteReference w:id="1"/>
      </w:r>
      <w:r w:rsidRPr="005C5153">
        <w:rPr>
          <w:lang w:val="it-IT"/>
        </w:rPr>
        <w:t xml:space="preserve"> dhe se: “Jo çdo shkelje e rregullave procedurale e bën procesin të parregullt në aspektin e shkeljes së të drejtave kushtetuese për të investuar Gjykatën Kushtetuese për zgjidhjen e tyre sa herë shfaqet prezenca e shkeljes së normave procedurale”.</w:t>
      </w:r>
      <w:r>
        <w:rPr>
          <w:rStyle w:val="FootnoteReference"/>
          <w:lang w:val="it-IT"/>
        </w:rPr>
        <w:footnoteReference w:id="2"/>
      </w:r>
    </w:p>
    <w:p w:rsidR="008767C2" w:rsidRPr="005C5153" w:rsidRDefault="008767C2" w:rsidP="008767C2">
      <w:pPr>
        <w:pStyle w:val="Paragrafi"/>
        <w:rPr>
          <w:lang w:val="it-IT"/>
        </w:rPr>
      </w:pPr>
      <w:r w:rsidRPr="005C5153">
        <w:rPr>
          <w:lang w:val="it-IT"/>
        </w:rPr>
        <w:t>Sa më lart, Gjykata Kushtetuese çmon se kërkesa e kërkuesit duhet të rrëzohet si e pabazuar në aspektin kushtetues.</w:t>
      </w:r>
    </w:p>
    <w:p w:rsidR="008767C2" w:rsidRDefault="008767C2" w:rsidP="008767C2">
      <w:pPr>
        <w:pStyle w:val="VENDOSI"/>
      </w:pPr>
    </w:p>
    <w:p w:rsidR="008767C2" w:rsidRPr="005C5153" w:rsidRDefault="008767C2" w:rsidP="008767C2">
      <w:pPr>
        <w:pStyle w:val="VENDOSI"/>
      </w:pPr>
      <w:r w:rsidRPr="005C5153">
        <w:t>PËR KËTO ARSYE</w:t>
      </w:r>
      <w:r>
        <w:t>,</w:t>
      </w:r>
    </w:p>
    <w:p w:rsidR="008767C2" w:rsidRDefault="008767C2" w:rsidP="008767C2">
      <w:pPr>
        <w:pStyle w:val="Paragrafi"/>
        <w:rPr>
          <w:lang w:val="it-IT"/>
        </w:rPr>
      </w:pPr>
    </w:p>
    <w:p w:rsidR="008767C2" w:rsidRPr="005C5153" w:rsidRDefault="008767C2" w:rsidP="008767C2">
      <w:pPr>
        <w:pStyle w:val="Paragrafi"/>
        <w:rPr>
          <w:lang w:val="it-IT"/>
        </w:rPr>
      </w:pPr>
      <w:r w:rsidRPr="005C5153">
        <w:rPr>
          <w:lang w:val="it-IT"/>
        </w:rPr>
        <w:t>Gjykata Kushtetuese e Republikës së Shqipërisë, në mbështetje të neneve 72 e vijues të li</w:t>
      </w:r>
      <w:r>
        <w:rPr>
          <w:lang w:val="it-IT"/>
        </w:rPr>
        <w:t>gjit nr.8577, datë 10.2.2000 “Pë</w:t>
      </w:r>
      <w:r w:rsidRPr="005C5153">
        <w:rPr>
          <w:lang w:val="it-IT"/>
        </w:rPr>
        <w:t>r organizimin dhe funksionimin e Gjykatës Kushtetuese të Republikës së Shqipërisë”, njëzëri,</w:t>
      </w:r>
    </w:p>
    <w:p w:rsidR="008767C2" w:rsidRPr="005C5153" w:rsidRDefault="008767C2" w:rsidP="008767C2">
      <w:pPr>
        <w:pStyle w:val="Paragrafi"/>
        <w:rPr>
          <w:lang w:val="it-IT"/>
        </w:rPr>
      </w:pPr>
    </w:p>
    <w:p w:rsidR="008767C2" w:rsidRPr="005C5153" w:rsidRDefault="008767C2" w:rsidP="008767C2">
      <w:pPr>
        <w:pStyle w:val="VENDOSI"/>
      </w:pPr>
      <w:r w:rsidRPr="005C5153">
        <w:t>VENDOSI</w:t>
      </w:r>
      <w:r>
        <w:t>:</w:t>
      </w:r>
    </w:p>
    <w:p w:rsidR="008767C2" w:rsidRPr="005C5153" w:rsidRDefault="008767C2" w:rsidP="008767C2">
      <w:pPr>
        <w:pStyle w:val="Paragrafi"/>
        <w:rPr>
          <w:lang w:val="it-IT"/>
        </w:rPr>
      </w:pPr>
    </w:p>
    <w:p w:rsidR="008767C2" w:rsidRPr="005C5153" w:rsidRDefault="008767C2" w:rsidP="008767C2">
      <w:pPr>
        <w:pStyle w:val="Paragrafi"/>
        <w:rPr>
          <w:lang w:val="it-IT"/>
        </w:rPr>
      </w:pPr>
      <w:r w:rsidRPr="005C5153">
        <w:rPr>
          <w:lang w:val="it-IT"/>
        </w:rPr>
        <w:t>- Rrëzimin e kërkesës.</w:t>
      </w:r>
    </w:p>
    <w:p w:rsidR="008767C2" w:rsidRPr="005C5153" w:rsidRDefault="008767C2" w:rsidP="008767C2">
      <w:pPr>
        <w:pStyle w:val="Paragrafi"/>
        <w:rPr>
          <w:lang w:val="it-IT"/>
        </w:rPr>
      </w:pPr>
      <w:r>
        <w:rPr>
          <w:lang w:val="it-IT"/>
        </w:rPr>
        <w:t>- Ky vendim është pë</w:t>
      </w:r>
      <w:r w:rsidRPr="005C5153">
        <w:rPr>
          <w:lang w:val="it-IT"/>
        </w:rPr>
        <w:t>rfundimtar, i formës së prerë dhe hyn në fuqi ditën e botimit në Fletoren Zyrtare.</w:t>
      </w:r>
    </w:p>
    <w:p w:rsidR="008767C2" w:rsidRPr="005C5153" w:rsidRDefault="008767C2" w:rsidP="008767C2">
      <w:pPr>
        <w:pStyle w:val="Paragrafi"/>
        <w:rPr>
          <w:lang w:val="it-IT"/>
        </w:rPr>
      </w:pPr>
    </w:p>
    <w:p w:rsidR="008767C2" w:rsidRDefault="008767C2" w:rsidP="008767C2">
      <w:pPr>
        <w:pStyle w:val="Paragrafi"/>
        <w:rPr>
          <w:lang w:val="it-IT"/>
        </w:rPr>
      </w:pPr>
    </w:p>
    <w:p w:rsidR="008767C2" w:rsidRDefault="008767C2" w:rsidP="008767C2">
      <w:pPr>
        <w:pStyle w:val="Paragrafi"/>
        <w:rPr>
          <w:lang w:val="it-IT"/>
        </w:rPr>
      </w:pPr>
    </w:p>
    <w:p w:rsidR="008767C2" w:rsidRDefault="008767C2" w:rsidP="008767C2">
      <w:pPr>
        <w:pStyle w:val="Paragrafi"/>
        <w:rPr>
          <w:lang w:val="it-IT"/>
        </w:rPr>
      </w:pPr>
    </w:p>
    <w:sectPr w:rsidR="008767C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0616A">
      <w:r>
        <w:separator/>
      </w:r>
    </w:p>
  </w:endnote>
  <w:endnote w:type="continuationSeparator" w:id="0">
    <w:p w:rsidR="00000000" w:rsidRDefault="00806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0616A">
      <w:r>
        <w:separator/>
      </w:r>
    </w:p>
  </w:footnote>
  <w:footnote w:type="continuationSeparator" w:id="0">
    <w:p w:rsidR="00000000" w:rsidRDefault="0080616A">
      <w:r>
        <w:continuationSeparator/>
      </w:r>
    </w:p>
  </w:footnote>
  <w:footnote w:id="1">
    <w:p w:rsidR="008767C2" w:rsidRPr="00280A78" w:rsidRDefault="008767C2" w:rsidP="008767C2">
      <w:pPr>
        <w:pStyle w:val="Paragrafi"/>
      </w:pPr>
      <w:r>
        <w:rPr>
          <w:rStyle w:val="FootnoteReference"/>
        </w:rPr>
        <w:footnoteRef/>
      </w:r>
      <w:r>
        <w:t xml:space="preserve"> </w:t>
      </w:r>
      <w:r w:rsidRPr="00793614">
        <w:t>Vendimi nr</w:t>
      </w:r>
      <w:r>
        <w:t>.7, datë 28.</w:t>
      </w:r>
      <w:r w:rsidRPr="00793614">
        <w:t>2.2000 i Gjykat</w:t>
      </w:r>
      <w:r>
        <w:t>ë</w:t>
      </w:r>
      <w:r w:rsidRPr="00793614">
        <w:t>s Kushtetuese</w:t>
      </w:r>
      <w:r>
        <w:t>.</w:t>
      </w:r>
    </w:p>
  </w:footnote>
  <w:footnote w:id="2">
    <w:p w:rsidR="008767C2" w:rsidRDefault="008767C2" w:rsidP="008767C2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793614">
        <w:t>Vendimi nr</w:t>
      </w:r>
      <w:r>
        <w:t>.222, datë 6.</w:t>
      </w:r>
      <w:r w:rsidRPr="00793614">
        <w:t>6.2002 i Gjykat</w:t>
      </w:r>
      <w:r>
        <w:t>ë</w:t>
      </w:r>
      <w:r w:rsidRPr="00793614">
        <w:t>s Kushtetuese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616A"/>
    <w:rsid w:val="008072B9"/>
    <w:rsid w:val="00841EC5"/>
    <w:rsid w:val="008521B4"/>
    <w:rsid w:val="008656D4"/>
    <w:rsid w:val="00872000"/>
    <w:rsid w:val="008767C2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577F6E-956D-43B9-B4FF-689C10DE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767C2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semiHidden/>
    <w:rsid w:val="008767C2"/>
    <w:pPr>
      <w:widowControl/>
    </w:pPr>
    <w:rPr>
      <w:rFonts w:ascii="Times New Roman" w:eastAsia="MS Mincho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8767C2"/>
    <w:rPr>
      <w:vertAlign w:val="superscript"/>
    </w:rPr>
  </w:style>
  <w:style w:type="character" w:customStyle="1" w:styleId="NumriDataChar">
    <w:name w:val="Numri_Data Char"/>
    <w:basedOn w:val="DefaultParagraphFont"/>
    <w:link w:val="NumriData"/>
    <w:rsid w:val="008767C2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