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709" w:rsidRDefault="00F11709" w:rsidP="00F11709">
      <w:pPr>
        <w:pStyle w:val="Akti"/>
      </w:pPr>
      <w:bookmarkStart w:id="0" w:name="_GoBack"/>
      <w:bookmarkEnd w:id="0"/>
      <w:r>
        <w:t>VENDI</w:t>
      </w:r>
      <w:r w:rsidRPr="0096671E">
        <w:t>M</w:t>
      </w:r>
    </w:p>
    <w:p w:rsidR="00F11709" w:rsidRPr="0096671E" w:rsidRDefault="00F11709" w:rsidP="00F11709">
      <w:pPr>
        <w:pStyle w:val="NumriData"/>
      </w:pPr>
      <w:r>
        <w:t>Nr.32, datë 2.12.2005</w:t>
      </w:r>
    </w:p>
    <w:p w:rsidR="00F11709" w:rsidRDefault="00F11709" w:rsidP="00F11709">
      <w:pPr>
        <w:pStyle w:val="Paragrafi"/>
      </w:pPr>
    </w:p>
    <w:p w:rsidR="00F11709" w:rsidRPr="0096671E" w:rsidRDefault="00F11709" w:rsidP="00F11709">
      <w:pPr>
        <w:pStyle w:val="TitulliTitull"/>
      </w:pPr>
      <w:r>
        <w:t>NË EMËR TË REPUBLIKËS SË SHQIPËRISË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 w:rsidRPr="0096671E">
        <w:t>Gjykata Kushtetuese e Republikës së Shqipërisë, e përbërë nga: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>
        <w:t>Gjergj Sauli</w:t>
      </w:r>
      <w:r w:rsidRPr="0096671E">
        <w:tab/>
      </w:r>
      <w:r w:rsidRPr="0096671E">
        <w:tab/>
        <w:t xml:space="preserve">Kryetar  i  Gjykatës Kushtetuese </w:t>
      </w:r>
    </w:p>
    <w:p w:rsidR="00F11709" w:rsidRPr="0096671E" w:rsidRDefault="00F11709" w:rsidP="00F11709">
      <w:pPr>
        <w:pStyle w:val="Paragrafi"/>
      </w:pPr>
      <w:r>
        <w:t>Alfred Karamuço</w:t>
      </w:r>
      <w:r w:rsidRPr="0096671E">
        <w:tab/>
        <w:t>Anëtar   i</w:t>
      </w:r>
      <w:r w:rsidRPr="0096671E">
        <w:tab/>
        <w:t xml:space="preserve">“          “   </w:t>
      </w:r>
    </w:p>
    <w:p w:rsidR="00F11709" w:rsidRPr="0096671E" w:rsidRDefault="00F11709" w:rsidP="00F11709">
      <w:pPr>
        <w:pStyle w:val="Paragrafi"/>
      </w:pPr>
      <w:r>
        <w:t>Kristofor Peçi</w:t>
      </w:r>
      <w:r>
        <w:tab/>
      </w:r>
      <w:r>
        <w:tab/>
        <w:t xml:space="preserve">Anëtar   i         </w:t>
      </w:r>
      <w:r w:rsidRPr="0096671E">
        <w:t xml:space="preserve">“          “ </w:t>
      </w:r>
    </w:p>
    <w:p w:rsidR="00F11709" w:rsidRPr="0096671E" w:rsidRDefault="00F11709" w:rsidP="00F11709">
      <w:pPr>
        <w:pStyle w:val="Paragrafi"/>
      </w:pPr>
      <w:r>
        <w:t>Kujtim Puto</w:t>
      </w:r>
      <w:r w:rsidRPr="0096671E">
        <w:tab/>
      </w:r>
      <w:r w:rsidRPr="0096671E">
        <w:tab/>
        <w:t>Anëtar   i</w:t>
      </w:r>
      <w:r w:rsidRPr="0096671E">
        <w:tab/>
        <w:t>“          “</w:t>
      </w:r>
    </w:p>
    <w:p w:rsidR="00F11709" w:rsidRPr="0096671E" w:rsidRDefault="00F11709" w:rsidP="00F11709">
      <w:pPr>
        <w:pStyle w:val="Paragrafi"/>
      </w:pPr>
      <w:r>
        <w:t>Vjollca Meçaj</w:t>
      </w:r>
      <w:r w:rsidRPr="0096671E">
        <w:tab/>
      </w:r>
      <w:r w:rsidRPr="0096671E">
        <w:tab/>
        <w:t>Anëtare e</w:t>
      </w:r>
      <w:r w:rsidRPr="0096671E">
        <w:tab/>
        <w:t>“          “</w:t>
      </w:r>
    </w:p>
    <w:p w:rsidR="00F11709" w:rsidRPr="0096671E" w:rsidRDefault="00F11709" w:rsidP="00F11709">
      <w:pPr>
        <w:pStyle w:val="Paragrafi"/>
      </w:pPr>
      <w:r>
        <w:t>Xhezair Zaganjori</w:t>
      </w:r>
      <w:r w:rsidRPr="0096671E">
        <w:tab/>
        <w:t>Anëtar   i</w:t>
      </w:r>
      <w:r w:rsidRPr="0096671E">
        <w:tab/>
        <w:t xml:space="preserve">“          “    </w:t>
      </w:r>
    </w:p>
    <w:p w:rsidR="00F11709" w:rsidRPr="0096671E" w:rsidRDefault="00F11709" w:rsidP="00F11709">
      <w:pPr>
        <w:pStyle w:val="Paragrafi"/>
      </w:pPr>
      <w:r>
        <w:t>Petrit Plloçi</w:t>
      </w:r>
      <w:r w:rsidRPr="0096671E">
        <w:tab/>
      </w:r>
      <w:r w:rsidRPr="0096671E">
        <w:tab/>
        <w:t>Anëtar   i</w:t>
      </w:r>
      <w:r w:rsidRPr="0096671E">
        <w:tab/>
        <w:t xml:space="preserve">“          “  </w:t>
      </w:r>
    </w:p>
    <w:p w:rsidR="00F11709" w:rsidRPr="0096671E" w:rsidRDefault="00F11709" w:rsidP="00F11709">
      <w:pPr>
        <w:pStyle w:val="Paragrafi"/>
      </w:pPr>
      <w:r>
        <w:t>Sokol Sadushi</w:t>
      </w:r>
      <w:r w:rsidRPr="0096671E">
        <w:tab/>
      </w:r>
      <w:r>
        <w:tab/>
      </w:r>
      <w:r w:rsidRPr="0096671E">
        <w:t>Anëtar   i</w:t>
      </w:r>
      <w:r w:rsidRPr="0096671E">
        <w:tab/>
        <w:t>“          “</w:t>
      </w:r>
    </w:p>
    <w:p w:rsidR="00F11709" w:rsidRPr="0096671E" w:rsidRDefault="00F11709" w:rsidP="00F11709">
      <w:pPr>
        <w:pStyle w:val="Paragrafi"/>
      </w:pPr>
      <w:r>
        <w:t>Fehmi Abdiu</w:t>
      </w:r>
      <w:r w:rsidRPr="0096671E">
        <w:tab/>
      </w:r>
      <w:r w:rsidRPr="0096671E">
        <w:tab/>
        <w:t>Anëtar   i</w:t>
      </w:r>
      <w:r w:rsidRPr="0096671E">
        <w:tab/>
        <w:t>“          “</w:t>
      </w:r>
    </w:p>
    <w:p w:rsidR="00F11709" w:rsidRPr="0096671E" w:rsidRDefault="00F11709" w:rsidP="00F11709">
      <w:pPr>
        <w:pStyle w:val="Paragrafi"/>
      </w:pPr>
    </w:p>
    <w:p w:rsidR="00F11709" w:rsidRDefault="00F11709" w:rsidP="00F11709">
      <w:pPr>
        <w:pStyle w:val="Paragrafi"/>
      </w:pPr>
      <w:r w:rsidRPr="0096671E">
        <w:t>me sekretare Arbenka Lalica, në datë 14.07.2005, mori në shqyrtim në seancë gjyqësore me dyer të hapura çështjen nr.36 Akti</w:t>
      </w:r>
      <w:r>
        <w:t>,</w:t>
      </w:r>
      <w:r w:rsidRPr="0096671E">
        <w:t xml:space="preserve"> që i përket: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>
        <w:t xml:space="preserve">KËRKUESI: </w:t>
      </w:r>
      <w:r w:rsidRPr="0096671E">
        <w:t xml:space="preserve">KUJTIM GJILANI (SPAHIU), përfaqësuar nga avokat Agim Hoxha, me prokurë.  </w:t>
      </w:r>
    </w:p>
    <w:p w:rsidR="00F11709" w:rsidRPr="0096671E" w:rsidRDefault="00F11709" w:rsidP="00F11709">
      <w:pPr>
        <w:pStyle w:val="Paragrafi"/>
      </w:pPr>
      <w:r>
        <w:t>SUBJEKTE TË</w:t>
      </w:r>
      <w:r w:rsidRPr="0096671E">
        <w:t xml:space="preserve"> INTERESUARA:</w:t>
      </w:r>
      <w:r w:rsidRPr="0096671E">
        <w:tab/>
      </w:r>
    </w:p>
    <w:p w:rsidR="00F11709" w:rsidRPr="0096671E" w:rsidRDefault="00F11709" w:rsidP="00F11709">
      <w:pPr>
        <w:pStyle w:val="Paragrafi"/>
      </w:pPr>
      <w:r w:rsidRPr="0096671E">
        <w:t>1. BASHKIA D</w:t>
      </w:r>
      <w:r>
        <w:t>URRË</w:t>
      </w:r>
      <w:r w:rsidRPr="0096671E">
        <w:t>S, në mungesë.</w:t>
      </w:r>
    </w:p>
    <w:p w:rsidR="00F11709" w:rsidRPr="0096671E" w:rsidRDefault="00F11709" w:rsidP="00F11709">
      <w:pPr>
        <w:pStyle w:val="Paragrafi"/>
      </w:pPr>
      <w:r>
        <w:t>2. TRASHËGIMTARË</w:t>
      </w:r>
      <w:r w:rsidRPr="0096671E">
        <w:t>T E ZANA DHE SELAMI SPAHIUT, përfaqësuar nga avokat Ilia Kona, me deklarim.</w:t>
      </w:r>
      <w:r w:rsidRPr="0096671E">
        <w:tab/>
      </w:r>
    </w:p>
    <w:p w:rsidR="00F11709" w:rsidRPr="0096671E" w:rsidRDefault="00F11709" w:rsidP="00F11709">
      <w:pPr>
        <w:pStyle w:val="Paragrafi"/>
      </w:pPr>
      <w:r>
        <w:t xml:space="preserve">OBJEKTI: </w:t>
      </w:r>
      <w:r w:rsidRPr="0096671E">
        <w:t>Shfuqizimi i vendimit nr.341, datë 12.02.2004 të Koleg</w:t>
      </w:r>
      <w:r>
        <w:t>jit Civil të Gjykatës së Lartë,</w:t>
      </w:r>
      <w:r w:rsidRPr="0056614A">
        <w:t xml:space="preserve"> </w:t>
      </w:r>
      <w:r w:rsidRPr="0096671E">
        <w:t>si antikushtetues</w:t>
      </w:r>
      <w:r>
        <w:t>.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 w:rsidRPr="0096671E">
        <w:t>Kërkuesi ka kërkuar shfuqizimin e vendimit të lartpërmendur, duke pretenduar për zhvillim të një procesi të parregullt ligjor në këto aspekte:</w:t>
      </w:r>
    </w:p>
    <w:p w:rsidR="00F11709" w:rsidRPr="0096671E" w:rsidRDefault="00F11709" w:rsidP="00F11709">
      <w:pPr>
        <w:pStyle w:val="Paragrafi"/>
      </w:pPr>
      <w:r w:rsidRPr="0096671E">
        <w:t>- Ko</w:t>
      </w:r>
      <w:r>
        <w:t>legji Civil i Gjykatës së Lartë</w:t>
      </w:r>
      <w:r w:rsidRPr="0096671E">
        <w:t xml:space="preserve"> ka vepruar në kundërshtim me ligjin, pasi për të njëjtat rrethana e fakte është shprehur krejt ndryshe n</w:t>
      </w:r>
      <w:r>
        <w:t>ga sa pranohet në vendimin e Kolegjeve të Bashkuara. Në këtë mënyrë, K</w:t>
      </w:r>
      <w:r w:rsidRPr="0096671E">
        <w:t>olegji ka vepruar në kundërshtim me përmbajtjen e nenit 486 të Kodit të Procedurës Civile, sipas të cilit: “Udhëzimet dhe konkluzionet e Gjykatës së Lartë, janë të detyrueshme për gjykatën që rishqyrton çështjen” dhe të nenit 493/2 të këtij Kodi</w:t>
      </w:r>
      <w:r>
        <w:t>,</w:t>
      </w:r>
      <w:r w:rsidRPr="0096671E">
        <w:t xml:space="preserve"> sipas të cilit: “Detyrat e lëna nga Gjykata e Lartë janë të detyrueshme për g</w:t>
      </w:r>
      <w:r>
        <w:t>jykatën që rishqyrton çështjen”.</w:t>
      </w:r>
    </w:p>
    <w:p w:rsidR="00F11709" w:rsidRPr="0096671E" w:rsidRDefault="00F11709" w:rsidP="00F11709">
      <w:pPr>
        <w:pStyle w:val="Paragrafi"/>
      </w:pPr>
      <w:r>
        <w:t>- Kolegji C</w:t>
      </w:r>
      <w:r w:rsidRPr="0096671E">
        <w:t>ivil, në kundërshtim me detyrat e tij funksionale e ligjore, i ka vlerësuar prov</w:t>
      </w:r>
      <w:r>
        <w:t>at krejt ndryshe nga sa i kishte</w:t>
      </w:r>
      <w:r w:rsidRPr="0096671E">
        <w:t xml:space="preserve"> vlerësuar gjy</w:t>
      </w:r>
      <w:r>
        <w:t>kata e apelit. Në këtë mënyrë, K</w:t>
      </w:r>
      <w:r w:rsidRPr="0096671E">
        <w:t xml:space="preserve">olegji ka mbajtur një qëndrim që bie ndesh dhe me praktikën </w:t>
      </w:r>
      <w:r>
        <w:t>unifikuese të Gjykatës së Lartë.</w:t>
      </w:r>
    </w:p>
    <w:p w:rsidR="00F11709" w:rsidRDefault="00F11709" w:rsidP="00F11709">
      <w:pPr>
        <w:pStyle w:val="Paragrafi"/>
      </w:pPr>
      <w:r w:rsidRPr="0096671E">
        <w:t>-  Gjykata e Lartë e ka kaluar çështjen për gjykim duke vepruar në kundërshtim me përmbajtjen e nenit 472 të Kodit të Procedurës Civile.</w:t>
      </w:r>
    </w:p>
    <w:p w:rsidR="00F11709" w:rsidRDefault="00F11709" w:rsidP="00F11709">
      <w:pPr>
        <w:pStyle w:val="Paragrafi"/>
        <w:ind w:firstLine="0"/>
      </w:pPr>
    </w:p>
    <w:p w:rsidR="00F11709" w:rsidRDefault="00F11709" w:rsidP="00F11709">
      <w:pPr>
        <w:pStyle w:val="Institucioni"/>
      </w:pPr>
      <w:r w:rsidRPr="0096671E">
        <w:t>GJYKATA KUSHTETUESE,</w:t>
      </w:r>
    </w:p>
    <w:p w:rsidR="00F11709" w:rsidRPr="0096671E" w:rsidRDefault="00F11709" w:rsidP="00F11709">
      <w:pPr>
        <w:pStyle w:val="Paragrafi"/>
      </w:pPr>
    </w:p>
    <w:p w:rsidR="00F11709" w:rsidRDefault="00F11709" w:rsidP="00F11709">
      <w:pPr>
        <w:pStyle w:val="Paragrafi"/>
      </w:pPr>
      <w:r w:rsidRPr="0096671E">
        <w:t>pasi dëgjoi relatorin e çështjes</w:t>
      </w:r>
      <w:r>
        <w:t>,</w:t>
      </w:r>
      <w:r w:rsidRPr="0096671E">
        <w:t xml:space="preserve"> Fehmi Abdiu, përfaqësuesit e kërkuesit, të subjekteve të interesuara dhe shqyrtoi çështjen në tërësi,</w:t>
      </w:r>
    </w:p>
    <w:p w:rsidR="00F11709" w:rsidRPr="0096671E" w:rsidRDefault="00F11709" w:rsidP="00F11709">
      <w:pPr>
        <w:pStyle w:val="Paragrafi"/>
      </w:pPr>
    </w:p>
    <w:p w:rsidR="00F11709" w:rsidRDefault="00F11709" w:rsidP="00F11709">
      <w:pPr>
        <w:pStyle w:val="VENDOSI"/>
      </w:pPr>
      <w:r>
        <w:t>VËRE</w:t>
      </w:r>
      <w:r w:rsidRPr="0096671E">
        <w:t>N: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 w:rsidRPr="0096671E">
        <w:t>Gjykata e Rrethit Durrës, me vendimin nr.339, datë 17.02.1997,</w:t>
      </w:r>
      <w:r>
        <w:t xml:space="preserve"> ka vendosur rrëzimin e kërkesëpadisë s</w:t>
      </w:r>
      <w:r w:rsidRPr="0096671E">
        <w:t>ë paraqitur nga kërkuesi. Ky vendim është lënë në fuqi nga Gjykata e Apelit Durrës dhe Kolegji Civil i Gjykatës së Kasacionit.</w:t>
      </w:r>
    </w:p>
    <w:p w:rsidR="00F11709" w:rsidRPr="0096671E" w:rsidRDefault="00F11709" w:rsidP="00F11709">
      <w:pPr>
        <w:pStyle w:val="Paragrafi"/>
      </w:pPr>
      <w:r w:rsidRPr="0096671E">
        <w:t>Kolegjet e Bashkuara të Gjykatës së Lartë, me vendimin nr.6</w:t>
      </w:r>
      <w:r>
        <w:t>,</w:t>
      </w:r>
      <w:r w:rsidRPr="0096671E">
        <w:t xml:space="preserve"> datë 18.01.2002, kanë vendosur prishjen e vendimeve nr.2770, datë 19.11.2997 të Gjykatës së Apelit Durrës dhe nr.747, datë </w:t>
      </w:r>
      <w:r w:rsidRPr="0096671E">
        <w:lastRenderedPageBreak/>
        <w:t>06.05.1998 të Kolegjit Civil të Gjykatës së Kasacionit</w:t>
      </w:r>
      <w:r>
        <w:t>,</w:t>
      </w:r>
      <w:r w:rsidRPr="0096671E">
        <w:t xml:space="preserve"> dërgimin e çështjes për rishqyrtim në Gjykatën e Apelit Durrës.</w:t>
      </w:r>
    </w:p>
    <w:p w:rsidR="00F11709" w:rsidRPr="0096671E" w:rsidRDefault="00F11709" w:rsidP="00F11709">
      <w:pPr>
        <w:pStyle w:val="Paragrafi"/>
      </w:pPr>
      <w:r w:rsidRPr="0096671E">
        <w:t>Gjykata e Apelit Durrës, në rishqyrtim, me vendimin nr.503, datë 17.10.2002, ka pranuar kërkesën e kërkuesit.</w:t>
      </w:r>
    </w:p>
    <w:p w:rsidR="00F11709" w:rsidRPr="0096671E" w:rsidRDefault="00F11709" w:rsidP="00F11709">
      <w:pPr>
        <w:pStyle w:val="Paragrafi"/>
      </w:pPr>
      <w:r w:rsidRPr="0096671E">
        <w:t>Mbi ankimin e subjektit të interesuar, Ko</w:t>
      </w:r>
      <w:r>
        <w:t>legji Civil i Gjykatës së Lartë</w:t>
      </w:r>
      <w:r w:rsidRPr="0096671E">
        <w:t xml:space="preserve"> ka prishur vendimin nr.503, datë 17.10.2002 të Gjykatës së Apelit Durrës dhe ka lënë në fuqi vendimin nr.339, datë 17.02.1997 të Gjykatës së Rrethit Durrës.</w:t>
      </w:r>
    </w:p>
    <w:p w:rsidR="00F11709" w:rsidRPr="0096671E" w:rsidRDefault="00F11709" w:rsidP="00F11709">
      <w:pPr>
        <w:pStyle w:val="Paragrafi"/>
      </w:pPr>
      <w:r>
        <w:t>Sipas kërkuesit, K</w:t>
      </w:r>
      <w:r w:rsidRPr="0096671E">
        <w:t>olegji ka mbajtur qëndrim të kundërt me atë të Kolegjeve të</w:t>
      </w:r>
      <w:r>
        <w:t xml:space="preserve"> Bashkuara të Gjykatës së Lartë</w:t>
      </w:r>
      <w:r w:rsidRPr="0096671E">
        <w:t xml:space="preserve"> si përsa i përket problemeve ligjore për zgjidhjen e konfliktit</w:t>
      </w:r>
      <w:r>
        <w:t>,</w:t>
      </w:r>
      <w:r w:rsidRPr="0096671E">
        <w:t xml:space="preserve"> ashtu dhe mënyrës së vlerësimit të provave të paraqitura nga palët gjatë rigjykimit të çështjes.</w:t>
      </w:r>
    </w:p>
    <w:p w:rsidR="00F11709" w:rsidRDefault="00F11709" w:rsidP="00F11709">
      <w:pPr>
        <w:pStyle w:val="Paragrafi"/>
      </w:pPr>
      <w:r w:rsidRPr="0096671E">
        <w:t>Gjykata Kushtetuese në lidhje me këtë pretendim e çmon të nevojshme të analizojë një aspekt të veçantë të kontrollit kushtetues që ajo ushtron ndaj vendimeve të gjykatave me juridiksion të zakonshëm. Kontrolli kushtetues ndaj vendimeve të gjykatave është i kufizuar vetëm në funksion të mbrojtjes të së drejtës kushtetuese të çdo individi për një proces të rreg</w:t>
      </w:r>
      <w:r>
        <w:t>ullt ligjor, pasi të jenë shter</w:t>
      </w:r>
      <w:r w:rsidRPr="0096671E">
        <w:t>u</w:t>
      </w:r>
      <w:r>
        <w:t>a</w:t>
      </w:r>
      <w:r w:rsidRPr="0096671E">
        <w:t>r të gjitha mjetet juridike për mbrojtjen e tyre.</w:t>
      </w:r>
    </w:p>
    <w:p w:rsidR="00F11709" w:rsidRDefault="00F11709" w:rsidP="00F11709">
      <w:pPr>
        <w:pStyle w:val="Paragrafi"/>
      </w:pPr>
    </w:p>
    <w:p w:rsidR="00F11709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 w:rsidRPr="0096671E">
        <w:t>Rreth konceptit të proces</w:t>
      </w:r>
      <w:r>
        <w:t>it të rregullt ligjor, Gjykata K</w:t>
      </w:r>
      <w:r w:rsidRPr="0096671E">
        <w:t>ushtetuese ka krijuar tashmë një praktikë të konsoliduar</w:t>
      </w:r>
      <w:r>
        <w:t>a, sipas s</w:t>
      </w:r>
      <w:r w:rsidRPr="0096671E">
        <w:t>ë cilës problemet e zbatimit të ligjit e të interpretimit të tij, sa kohë që nuk shoqëro</w:t>
      </w:r>
      <w:r>
        <w:t>hen me ce</w:t>
      </w:r>
      <w:r w:rsidRPr="0096671E">
        <w:t xml:space="preserve">nimin e të drejtave themelore kushtetuese, nuk përbëjnë juridiksion kushtetues. Pra, si rregull, mënyra e të kuptuarit dhe </w:t>
      </w:r>
      <w:r>
        <w:t xml:space="preserve">e </w:t>
      </w:r>
      <w:r w:rsidRPr="0096671E">
        <w:t>të zbatuarit të ligjit është atribut i gjykatës me juridiksion të zakonshëm. Duke qenë kështu, pretendimi i kërkuesit, përsa kohë ka të bëjë me mënyrën e zbatimit të ligjit konkret, nuk mund të pranohet.</w:t>
      </w:r>
    </w:p>
    <w:p w:rsidR="00F11709" w:rsidRPr="0096671E" w:rsidRDefault="00F11709" w:rsidP="00F11709">
      <w:pPr>
        <w:pStyle w:val="Paragrafi"/>
      </w:pPr>
      <w:r w:rsidRPr="0096671E">
        <w:t>Nuk mund të merret parasysh për pranimin e kërkesës as pretendimi tje</w:t>
      </w:r>
      <w:r>
        <w:t>tër, sipas të cilit vendimi i Kolegjit C</w:t>
      </w:r>
      <w:r w:rsidRPr="0096671E">
        <w:t xml:space="preserve">ivil është antikushtetues se ka bërë një vlerësim të ndryshëm të provave nga Kolegjet e Bashkuara të Gjykatës së Lartë dhe nga gjykata e apelit që e ka rigjykuar çështjen. </w:t>
      </w:r>
    </w:p>
    <w:p w:rsidR="00F11709" w:rsidRPr="0096671E" w:rsidRDefault="00F11709" w:rsidP="00F11709">
      <w:pPr>
        <w:pStyle w:val="Paragrafi"/>
      </w:pPr>
      <w:r w:rsidRPr="0096671E">
        <w:t>Duke prishur vendi</w:t>
      </w:r>
      <w:r>
        <w:t>min e Gjykatës së Apelit Durrës</w:t>
      </w:r>
      <w:r w:rsidRPr="0096671E">
        <w:t xml:space="preserve"> e duke lënë në fuqi atë të Gjykatës së Rrethit Durrës, Kolegji Civil i Gjykatës së Lartë, sipas vlerësimit të saj, ka vepruar</w:t>
      </w:r>
      <w:r>
        <w:t xml:space="preserve"> konform nenit 485</w:t>
      </w:r>
      <w:r w:rsidRPr="0096671E">
        <w:t xml:space="preserve"> shkronja “b” të Kodi</w:t>
      </w:r>
      <w:r>
        <w:t>t të Procedurës Civile, prandaj</w:t>
      </w:r>
      <w:r w:rsidRPr="0096671E">
        <w:t xml:space="preserve"> Gjykata Kushtetuese çmon se ajo nuk duhet të vihet në pozitat e një gjykate superiore të sistemit të drejtësisë. Në fakt, Gjykata Kushtetuese nuk vlerëson a</w:t>
      </w:r>
      <w:r>
        <w:t>spektin e ligjshmërisë</w:t>
      </w:r>
      <w:r w:rsidRPr="0096671E">
        <w:t xml:space="preserve"> kur ajo nuk është e lidhur konkretisht me kushtetutshmërinë e procesit gjyqësor. </w:t>
      </w:r>
    </w:p>
    <w:p w:rsidR="00F11709" w:rsidRPr="0096671E" w:rsidRDefault="00F11709" w:rsidP="00F11709">
      <w:pPr>
        <w:pStyle w:val="Paragrafi"/>
      </w:pPr>
      <w:r w:rsidRPr="0096671E">
        <w:t>Veç kësaj, sipas nenit 141 të Kushtetutës, Gjykata e Lartë ka funksion fillestar dhe rishikues. Për njësimin e praktikës gjyqësore ose për ndryshimin e saj</w:t>
      </w:r>
      <w:r>
        <w:t>,</w:t>
      </w:r>
      <w:r w:rsidRPr="0096671E">
        <w:t xml:space="preserve"> ajo ka të drejtë të t</w:t>
      </w:r>
      <w:r>
        <w:t>ërheqë për shqyrtim në Kolegjet e B</w:t>
      </w:r>
      <w:r w:rsidRPr="0096671E">
        <w:t>ashkuara çështje të caktuara gjyqësore.</w:t>
      </w:r>
    </w:p>
    <w:p w:rsidR="00F11709" w:rsidRPr="0096671E" w:rsidRDefault="00F11709" w:rsidP="00F11709">
      <w:pPr>
        <w:pStyle w:val="Paragrafi"/>
      </w:pPr>
      <w:r w:rsidRPr="0096671E">
        <w:t>Në veprimtarinë e gjykatave nd</w:t>
      </w:r>
      <w:r>
        <w:t>eshen edhe qëndrime të ndryshme</w:t>
      </w:r>
      <w:r w:rsidRPr="0096671E">
        <w:t xml:space="preserve"> rreth kuptimit të ligjit, të cilat duhen evituar, prandaj për të arritur këtë, Gjykata e La</w:t>
      </w:r>
      <w:r>
        <w:t>rtë</w:t>
      </w:r>
      <w:r w:rsidRPr="0096671E">
        <w:t xml:space="preserve"> ndjek nga afër veprimtarinë e tyre në rrugën e zakonshme të shqyrtimit të rekurseve</w:t>
      </w:r>
      <w:r>
        <w:t>;</w:t>
      </w:r>
      <w:r w:rsidRPr="0096671E">
        <w:t xml:space="preserve"> e sa herë që ajo konstat</w:t>
      </w:r>
      <w:r>
        <w:t>on qëndrime të ndryshme ligjore</w:t>
      </w:r>
      <w:r w:rsidRPr="0096671E">
        <w:t xml:space="preserve"> për të njëjtin problem, në zbatim të kësaj detyre, ndërhyn nëpërmjet vendimeve unifikuese. Vendimi unifikues nuk ka aq rëndësi për zgjidhjen e çështjes konkrete se sa për t’</w:t>
      </w:r>
      <w:r>
        <w:t>i dhënë ligjit kuptimin uniform</w:t>
      </w:r>
      <w:r w:rsidRPr="0096671E">
        <w:t xml:space="preserve"> të tij.</w:t>
      </w:r>
    </w:p>
    <w:p w:rsidR="00F11709" w:rsidRPr="0096671E" w:rsidRDefault="00F11709" w:rsidP="00F11709">
      <w:pPr>
        <w:pStyle w:val="Paragrafi"/>
      </w:pPr>
      <w:r w:rsidRPr="0096671E">
        <w:t>Në këtë këndvështrim, Gjykata Kushtetuese arrin në përfundimin se pranimi ose jo i pretendimeve të kërkuesit duhet parë i lidhur ngushtë edhe me kompetencat e asaj gjykate.</w:t>
      </w:r>
    </w:p>
    <w:p w:rsidR="00F11709" w:rsidRPr="0096671E" w:rsidRDefault="00F11709" w:rsidP="00F11709">
      <w:pPr>
        <w:pStyle w:val="Paragrafi"/>
      </w:pPr>
      <w:r w:rsidRPr="0096671E">
        <w:t>Gjykata Kushtetuese e çmon të nevojshme ta trajtojë këtë problem në lidhje edhe m</w:t>
      </w:r>
      <w:r>
        <w:t>e një parimin tjetër kushtetues:</w:t>
      </w:r>
      <w:r w:rsidRPr="0096671E">
        <w:t xml:space="preserve"> të pavarësisë së gjyqtarit në vendimmarrje. Sipas këtij parimi</w:t>
      </w:r>
      <w:r>
        <w:t>,</w:t>
      </w:r>
      <w:r w:rsidRPr="0096671E">
        <w:t xml:space="preserve"> edhe në rishqyrtim, gjykata e mbështet vendimin e saj në ligj, në kritere objektive e në prova, të cilat merren mbi bazën e vlerësimit të vetë gjyqtarëve</w:t>
      </w:r>
      <w:r>
        <w:t>,</w:t>
      </w:r>
      <w:r w:rsidRPr="0096671E">
        <w:t xml:space="preserve"> që janë të pavarur në përmbushjen e detyrës së tyre funksionale.</w:t>
      </w:r>
    </w:p>
    <w:p w:rsidR="00F11709" w:rsidRPr="0096671E" w:rsidRDefault="00F11709" w:rsidP="00F11709">
      <w:pPr>
        <w:pStyle w:val="Paragrafi"/>
      </w:pPr>
      <w:r w:rsidRPr="0096671E">
        <w:t xml:space="preserve">Në rast se ndodhemi para një vendimi gjyqësor të mbështetur mbi shkelje, ai mund të riparohet nëpërmjet apelimit e rishikimit nga instancat gjyqësore që kanë të drejtë të riparojnë shkeljet e ndodhura. Kjo zgjidhje, e cila i shërben parimit të sigurisë juridike, ka si element të tij edhe moskrijimin e kushteve të tilla që mund të bëjnë të vështirë përfundimin e procesit gjyqësor ose, siç </w:t>
      </w:r>
      <w:r w:rsidRPr="0096671E">
        <w:lastRenderedPageBreak/>
        <w:t>quhet ndryshe, një sistem drejtësie pa fund.</w:t>
      </w:r>
      <w:r w:rsidRPr="00FD3516">
        <w:rPr>
          <w:vertAlign w:val="superscript"/>
        </w:rPr>
        <w:footnoteReference w:id="1"/>
      </w:r>
    </w:p>
    <w:p w:rsidR="00F11709" w:rsidRPr="0096671E" w:rsidRDefault="00F11709" w:rsidP="00F11709">
      <w:pPr>
        <w:pStyle w:val="Paragrafi"/>
      </w:pPr>
      <w:r w:rsidRPr="0096671E">
        <w:t>Edhe pretendimi tjetër se Kolegji Civil i Gjykatës së Lartë ka shqyrtuar</w:t>
      </w:r>
      <w:r>
        <w:t xml:space="preserve"> në seancë gjyqësore një rekurs</w:t>
      </w:r>
      <w:r w:rsidRPr="0096671E">
        <w:t xml:space="preserve"> që</w:t>
      </w:r>
      <w:r>
        <w:t>,</w:t>
      </w:r>
      <w:r w:rsidRPr="0096671E">
        <w:t xml:space="preserve"> sipas kërkuesit, është në kundërshtim me praktikën unifikuese të Gjykatës së Lartë, nuk qëndron. E drejta për të vlerësuar nëse rekursi përmban ose jo shkaqe nga ato të parashikuara nga neni 472 i Kodit të Procedurës Civile, i përket Kolegjit Civil të Gjykatës së Lartë, i cili</w:t>
      </w:r>
      <w:r>
        <w:t>,</w:t>
      </w:r>
      <w:r w:rsidRPr="0096671E">
        <w:t xml:space="preserve"> në dhomë të këshillimit, vendos për pranimin ose jo të rekursit, sipas nenit 480 të Kodit të Procedurës Civile. Ky proces seleksionimi që zhvillon Ko</w:t>
      </w:r>
      <w:r>
        <w:t>legji Civil i Gjykatës së Lartë</w:t>
      </w:r>
      <w:r w:rsidRPr="0096671E">
        <w:t xml:space="preserve"> është një çështje që ligji e ka lënë në vlerësim të tij dhe për rrjedhojë Gjykata Kushtetuese nuk mund ta bëjë objekt të shqyrtimit të</w:t>
      </w:r>
      <w:r>
        <w:t xml:space="preserve"> saj nëse vlerësimi i bërë nga K</w:t>
      </w:r>
      <w:r w:rsidRPr="0096671E">
        <w:t>olegji është ose jo në përp</w:t>
      </w:r>
      <w:r>
        <w:t>uthje me ligjin procedural, pra</w:t>
      </w:r>
      <w:r w:rsidRPr="0096671E">
        <w:t xml:space="preserve"> nëse çështja është kaluar me ose pa të drejtë në seancë gjyqësore, përsa kohë nuk konstaton se nga ky qëndrim preket një e drejtë kushtetuese.</w:t>
      </w:r>
    </w:p>
    <w:p w:rsidR="00F11709" w:rsidRPr="0096671E" w:rsidRDefault="00F11709" w:rsidP="00F11709">
      <w:pPr>
        <w:pStyle w:val="Paragrafi"/>
      </w:pPr>
      <w:r w:rsidRPr="0096671E">
        <w:t>Për të gjitha këto arsye, Gjykata Kushtetuese çmon se procesi gjyqësor i zhvilluar nga Ko</w:t>
      </w:r>
      <w:r>
        <w:t>legji Civil i Gjykatës së Lartë</w:t>
      </w:r>
      <w:r w:rsidRPr="0096671E">
        <w:t xml:space="preserve"> nuk përmban element</w:t>
      </w:r>
      <w:r>
        <w:t>ë antikushtetutshmërie, prandaj</w:t>
      </w:r>
      <w:r w:rsidRPr="0096671E">
        <w:t xml:space="preserve"> kërkesa e kërkuesit duhet rrëzuar si e pabazuar.</w:t>
      </w:r>
    </w:p>
    <w:p w:rsidR="00F11709" w:rsidRPr="0096671E" w:rsidRDefault="00F11709" w:rsidP="00F11709">
      <w:pPr>
        <w:pStyle w:val="Paragrafi"/>
      </w:pPr>
    </w:p>
    <w:p w:rsidR="00F11709" w:rsidRDefault="00F11709" w:rsidP="00F11709">
      <w:pPr>
        <w:pStyle w:val="VENDOSI"/>
      </w:pPr>
      <w:r>
        <w:t>PËR KËTO ARSYE,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 w:rsidRPr="0096671E">
        <w:t xml:space="preserve">Gjykata Kushtetuese e Republikës së Shqipërisë, në bazë në neneve 72 e vijues të ligjit nr.8577, datë 10.02.2000 “Për organizimin dhe funksionimin e Gjykatës Kushtetuese të Republikës së Shqipërisë”, njëzëri, </w:t>
      </w:r>
    </w:p>
    <w:p w:rsidR="00F11709" w:rsidRPr="0096671E" w:rsidRDefault="00F11709" w:rsidP="00F11709">
      <w:pPr>
        <w:pStyle w:val="Paragrafi"/>
      </w:pPr>
    </w:p>
    <w:p w:rsidR="00F11709" w:rsidRDefault="00F11709" w:rsidP="00F11709">
      <w:pPr>
        <w:pStyle w:val="VENDOSI"/>
      </w:pPr>
      <w:r>
        <w:t>VENDOS</w:t>
      </w:r>
      <w:r w:rsidRPr="0096671E">
        <w:t>I:</w:t>
      </w:r>
    </w:p>
    <w:p w:rsidR="00F11709" w:rsidRPr="0096671E" w:rsidRDefault="00F11709" w:rsidP="00F11709">
      <w:pPr>
        <w:pStyle w:val="Paragrafi"/>
      </w:pPr>
    </w:p>
    <w:p w:rsidR="00F11709" w:rsidRPr="0096671E" w:rsidRDefault="00F11709" w:rsidP="00F11709">
      <w:pPr>
        <w:pStyle w:val="Paragrafi"/>
      </w:pPr>
      <w:r w:rsidRPr="0096671E">
        <w:t xml:space="preserve">- Rrëzimin e kërkesës. </w:t>
      </w:r>
    </w:p>
    <w:p w:rsidR="00F11709" w:rsidRDefault="00F11709" w:rsidP="00F11709">
      <w:pPr>
        <w:pStyle w:val="Paragrafi"/>
      </w:pPr>
      <w:r w:rsidRPr="0096671E">
        <w:t xml:space="preserve">- Ky vendim është përfundimtar, i formës së prerë dhe hyn në fuqi ditën e botimit në Fletoren Zyrtare. </w:t>
      </w:r>
    </w:p>
    <w:p w:rsidR="00F11709" w:rsidRDefault="00F11709" w:rsidP="00F11709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55D3D">
      <w:r>
        <w:separator/>
      </w:r>
    </w:p>
  </w:endnote>
  <w:endnote w:type="continuationSeparator" w:id="0">
    <w:p w:rsidR="00000000" w:rsidRDefault="0055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55D3D">
      <w:r>
        <w:separator/>
      </w:r>
    </w:p>
  </w:footnote>
  <w:footnote w:type="continuationSeparator" w:id="0">
    <w:p w:rsidR="00000000" w:rsidRDefault="00555D3D">
      <w:r>
        <w:continuationSeparator/>
      </w:r>
    </w:p>
  </w:footnote>
  <w:footnote w:id="1">
    <w:p w:rsidR="00F11709" w:rsidRDefault="00F11709" w:rsidP="00F11709">
      <w:pPr>
        <w:pStyle w:val="FootnoteText"/>
        <w:rPr>
          <w:lang w:val="sq-AL"/>
        </w:rPr>
      </w:pPr>
      <w:r>
        <w:rPr>
          <w:rStyle w:val="FootnoteReference"/>
          <w:lang w:val="sq-AL"/>
        </w:rPr>
        <w:footnoteRef/>
      </w:r>
      <w:r>
        <w:rPr>
          <w:lang w:val="sq-AL"/>
        </w:rPr>
        <w:t xml:space="preserve"> Vendime të Gjykatës Kushtetuese Gjermane, B Verf GE.49,148 “164”, 87, 48, “65”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5D3D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170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5E3E1-DDFC-44F1-B6D4-7786C34B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FootnoteReference">
    <w:name w:val="footnote reference"/>
    <w:basedOn w:val="DefaultParagraphFont"/>
    <w:semiHidden/>
    <w:rsid w:val="00F11709"/>
    <w:rPr>
      <w:vertAlign w:val="superscript"/>
    </w:rPr>
  </w:style>
  <w:style w:type="paragraph" w:styleId="FootnoteText">
    <w:name w:val="footnote text"/>
    <w:basedOn w:val="Normal"/>
    <w:semiHidden/>
    <w:rsid w:val="00F11709"/>
    <w:rPr>
      <w:rFonts w:eastAsia="MS Mincho"/>
      <w:sz w:val="20"/>
      <w:szCs w:val="20"/>
      <w:lang w:val="en-US"/>
    </w:rPr>
  </w:style>
  <w:style w:type="character" w:customStyle="1" w:styleId="VENDOSIChar">
    <w:name w:val="VENDOSI Char"/>
    <w:basedOn w:val="DefaultParagraphFont"/>
    <w:link w:val="VENDOSI"/>
    <w:rsid w:val="00F1170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