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31D" w:rsidRPr="00A6692D" w:rsidRDefault="0055631D" w:rsidP="0055631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6692D">
        <w:rPr>
          <w:sz w:val="21"/>
          <w:szCs w:val="21"/>
        </w:rPr>
        <w:t>VENDIM</w:t>
      </w:r>
    </w:p>
    <w:p w:rsidR="0055631D" w:rsidRPr="00A6692D" w:rsidRDefault="0055631D" w:rsidP="0055631D">
      <w:pPr>
        <w:pStyle w:val="NumriData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Nr.33, datë 8.12.2005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</w:p>
    <w:p w:rsidR="0055631D" w:rsidRPr="00A6692D" w:rsidRDefault="0055631D" w:rsidP="0055631D">
      <w:pPr>
        <w:pStyle w:val="Titulli"/>
        <w:keepNext w:val="0"/>
        <w:rPr>
          <w:b w:val="0"/>
          <w:sz w:val="21"/>
          <w:szCs w:val="21"/>
        </w:rPr>
      </w:pPr>
      <w:r w:rsidRPr="00A6692D">
        <w:rPr>
          <w:b w:val="0"/>
          <w:sz w:val="21"/>
          <w:szCs w:val="21"/>
        </w:rPr>
        <w:t>NË EMËR TË REPUBLIKËS SË SHQIPËRISË</w:t>
      </w:r>
    </w:p>
    <w:p w:rsidR="0055631D" w:rsidRPr="00203619" w:rsidRDefault="0055631D" w:rsidP="0055631D">
      <w:pPr>
        <w:pStyle w:val="Paragrafi"/>
        <w:rPr>
          <w:sz w:val="16"/>
          <w:szCs w:val="21"/>
        </w:rPr>
      </w:pP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Gjykata Kushtetu</w:t>
      </w:r>
      <w:r>
        <w:rPr>
          <w:sz w:val="21"/>
          <w:szCs w:val="21"/>
        </w:rPr>
        <w:t>e</w:t>
      </w:r>
      <w:r w:rsidRPr="00A6692D">
        <w:rPr>
          <w:sz w:val="21"/>
          <w:szCs w:val="21"/>
        </w:rPr>
        <w:t>se e Republikës së Shqipërisë e përbërë nga:</w:t>
      </w:r>
    </w:p>
    <w:p w:rsidR="0055631D" w:rsidRPr="00203619" w:rsidRDefault="0055631D" w:rsidP="0055631D">
      <w:pPr>
        <w:pStyle w:val="Paragrafi"/>
        <w:rPr>
          <w:sz w:val="14"/>
          <w:szCs w:val="21"/>
        </w:rPr>
      </w:pP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Gjergj  Sauli</w:t>
      </w:r>
      <w:r w:rsidRPr="00A6692D">
        <w:rPr>
          <w:sz w:val="21"/>
          <w:szCs w:val="21"/>
        </w:rPr>
        <w:tab/>
      </w:r>
      <w:r w:rsidRPr="00A6692D">
        <w:rPr>
          <w:sz w:val="21"/>
          <w:szCs w:val="21"/>
        </w:rPr>
        <w:tab/>
        <w:t>Kryetar  i Gjykatës Kushtetuese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Alfred  Karamuço</w:t>
      </w:r>
      <w:r w:rsidRPr="00A6692D">
        <w:rPr>
          <w:sz w:val="21"/>
          <w:szCs w:val="21"/>
        </w:rPr>
        <w:tab/>
        <w:t>Anëtar   i</w:t>
      </w:r>
      <w:r w:rsidRPr="00A6692D">
        <w:rPr>
          <w:sz w:val="21"/>
          <w:szCs w:val="21"/>
        </w:rPr>
        <w:tab/>
        <w:t>“</w:t>
      </w:r>
      <w:r w:rsidRPr="00A6692D">
        <w:rPr>
          <w:sz w:val="21"/>
          <w:szCs w:val="21"/>
        </w:rPr>
        <w:tab/>
        <w:t>“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Fehmi Abdiu</w:t>
      </w:r>
      <w:r w:rsidRPr="00A6692D">
        <w:rPr>
          <w:sz w:val="21"/>
          <w:szCs w:val="21"/>
        </w:rPr>
        <w:tab/>
      </w:r>
      <w:r w:rsidRPr="00A6692D">
        <w:rPr>
          <w:sz w:val="21"/>
          <w:szCs w:val="21"/>
        </w:rPr>
        <w:tab/>
        <w:t>Anëtar   i</w:t>
      </w:r>
      <w:r w:rsidRPr="00A6692D">
        <w:rPr>
          <w:sz w:val="21"/>
          <w:szCs w:val="21"/>
        </w:rPr>
        <w:tab/>
        <w:t>“</w:t>
      </w:r>
      <w:r w:rsidRPr="00A6692D">
        <w:rPr>
          <w:sz w:val="21"/>
          <w:szCs w:val="21"/>
        </w:rPr>
        <w:tab/>
        <w:t>“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Kristofor Peçi</w:t>
      </w:r>
      <w:r w:rsidRPr="00A6692D">
        <w:rPr>
          <w:sz w:val="21"/>
          <w:szCs w:val="21"/>
        </w:rPr>
        <w:tab/>
      </w:r>
      <w:r w:rsidRPr="00A6692D">
        <w:rPr>
          <w:sz w:val="21"/>
          <w:szCs w:val="21"/>
        </w:rPr>
        <w:tab/>
        <w:t>Anëtar   i</w:t>
      </w:r>
      <w:r w:rsidRPr="00A6692D">
        <w:rPr>
          <w:sz w:val="21"/>
          <w:szCs w:val="21"/>
        </w:rPr>
        <w:tab/>
        <w:t>“</w:t>
      </w:r>
      <w:r w:rsidRPr="00A6692D">
        <w:rPr>
          <w:sz w:val="21"/>
          <w:szCs w:val="21"/>
        </w:rPr>
        <w:tab/>
        <w:t>“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Kujtim  Puto</w:t>
      </w:r>
      <w:r w:rsidRPr="00A6692D">
        <w:rPr>
          <w:sz w:val="21"/>
          <w:szCs w:val="21"/>
        </w:rPr>
        <w:tab/>
      </w:r>
      <w:r w:rsidRPr="00A6692D">
        <w:rPr>
          <w:sz w:val="21"/>
          <w:szCs w:val="21"/>
        </w:rPr>
        <w:tab/>
        <w:t>Anëtar   i</w:t>
      </w:r>
      <w:r w:rsidRPr="00A6692D">
        <w:rPr>
          <w:sz w:val="21"/>
          <w:szCs w:val="21"/>
        </w:rPr>
        <w:tab/>
        <w:t>“</w:t>
      </w:r>
      <w:r w:rsidRPr="00A6692D">
        <w:rPr>
          <w:sz w:val="21"/>
          <w:szCs w:val="21"/>
        </w:rPr>
        <w:tab/>
        <w:t>“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Vjollca Meçaj</w:t>
      </w:r>
      <w:r w:rsidRPr="00A6692D">
        <w:rPr>
          <w:sz w:val="21"/>
          <w:szCs w:val="21"/>
        </w:rPr>
        <w:tab/>
      </w:r>
      <w:r w:rsidRPr="00A6692D">
        <w:rPr>
          <w:sz w:val="21"/>
          <w:szCs w:val="21"/>
        </w:rPr>
        <w:tab/>
        <w:t>Anëtare e</w:t>
      </w:r>
      <w:r w:rsidRPr="00A6692D">
        <w:rPr>
          <w:sz w:val="21"/>
          <w:szCs w:val="21"/>
        </w:rPr>
        <w:tab/>
        <w:t>“</w:t>
      </w:r>
      <w:r w:rsidRPr="00A6692D">
        <w:rPr>
          <w:sz w:val="21"/>
          <w:szCs w:val="21"/>
        </w:rPr>
        <w:tab/>
        <w:t>“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Petrit  Plloçi</w:t>
      </w:r>
      <w:r w:rsidRPr="00A6692D">
        <w:rPr>
          <w:sz w:val="21"/>
          <w:szCs w:val="21"/>
        </w:rPr>
        <w:tab/>
      </w:r>
      <w:r w:rsidRPr="00A6692D">
        <w:rPr>
          <w:sz w:val="21"/>
          <w:szCs w:val="21"/>
        </w:rPr>
        <w:tab/>
        <w:t>Anëtar   i</w:t>
      </w:r>
      <w:r w:rsidRPr="00A6692D">
        <w:rPr>
          <w:sz w:val="21"/>
          <w:szCs w:val="21"/>
        </w:rPr>
        <w:tab/>
        <w:t>“</w:t>
      </w:r>
      <w:r w:rsidRPr="00A6692D">
        <w:rPr>
          <w:sz w:val="21"/>
          <w:szCs w:val="21"/>
        </w:rPr>
        <w:tab/>
        <w:t>“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Sokol  Sadushi,</w:t>
      </w:r>
      <w:r w:rsidRPr="00A6692D">
        <w:rPr>
          <w:sz w:val="21"/>
          <w:szCs w:val="21"/>
        </w:rPr>
        <w:tab/>
      </w:r>
      <w:r w:rsidRPr="00A6692D">
        <w:rPr>
          <w:sz w:val="21"/>
          <w:szCs w:val="21"/>
        </w:rPr>
        <w:tab/>
        <w:t>Anëtar   i</w:t>
      </w:r>
      <w:r w:rsidRPr="00A6692D">
        <w:rPr>
          <w:sz w:val="21"/>
          <w:szCs w:val="21"/>
        </w:rPr>
        <w:tab/>
        <w:t>“</w:t>
      </w:r>
      <w:r w:rsidRPr="00A6692D">
        <w:rPr>
          <w:sz w:val="21"/>
          <w:szCs w:val="21"/>
        </w:rPr>
        <w:tab/>
        <w:t>“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Xhezair Zaganjori</w:t>
      </w:r>
      <w:r w:rsidRPr="00A6692D">
        <w:rPr>
          <w:sz w:val="21"/>
          <w:szCs w:val="21"/>
        </w:rPr>
        <w:tab/>
        <w:t>Anëtar   i</w:t>
      </w:r>
      <w:r w:rsidRPr="00A6692D">
        <w:rPr>
          <w:sz w:val="21"/>
          <w:szCs w:val="21"/>
        </w:rPr>
        <w:tab/>
        <w:t>“</w:t>
      </w:r>
      <w:r w:rsidRPr="00A6692D">
        <w:rPr>
          <w:sz w:val="21"/>
          <w:szCs w:val="21"/>
        </w:rPr>
        <w:tab/>
        <w:t>“</w:t>
      </w:r>
    </w:p>
    <w:p w:rsidR="0055631D" w:rsidRPr="00203619" w:rsidRDefault="0055631D" w:rsidP="0055631D">
      <w:pPr>
        <w:pStyle w:val="Paragrafi"/>
        <w:rPr>
          <w:sz w:val="14"/>
          <w:szCs w:val="21"/>
        </w:rPr>
      </w:pP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me sekretare Arbenk</w:t>
      </w:r>
      <w:r>
        <w:rPr>
          <w:sz w:val="21"/>
          <w:szCs w:val="21"/>
        </w:rPr>
        <w:t xml:space="preserve">a Lalica, në datat 19.09.2005, 4.10.2005 dhe </w:t>
      </w:r>
      <w:r w:rsidRPr="00A6692D">
        <w:rPr>
          <w:sz w:val="21"/>
          <w:szCs w:val="21"/>
        </w:rPr>
        <w:t>7.11.2005, mori në shqyrtim në seancë gjyqësore me dyer të hapura çështjen me nr.37 Akti, që i përket: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KËRKUES: KUJTIM SULAJ, përfaqësuar nga avokat Avni Shehu, me prokurë.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SUBJEKTE TË</w:t>
      </w:r>
      <w:r w:rsidRPr="00A6692D">
        <w:rPr>
          <w:sz w:val="21"/>
          <w:szCs w:val="21"/>
        </w:rPr>
        <w:t xml:space="preserve"> INTERESUARA:  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1. SHAQO NOVRUZI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2. PAVLINA NOVRUZI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3. NERTILA E JONILA NOVRUZI, në mungesë.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4. RIZA HICKA, në mungesë.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5. LUÇIJE MOZALI, në mungesë.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6. DOROTEA ZOTO, në mungesë.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7. MARIE ZORBA, në mungesë.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8. MUHAMET BAWAZER, në mungesë.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9. NDËRMARRJA KOMUNALE BANESA TIRANË, në mungesë.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 w:rsidRPr="00A6692D">
        <w:rPr>
          <w:sz w:val="21"/>
          <w:szCs w:val="21"/>
        </w:rPr>
        <w:t xml:space="preserve">KOMISIONI I KTHIMIT DHE </w:t>
      </w:r>
      <w:r>
        <w:rPr>
          <w:sz w:val="21"/>
          <w:szCs w:val="21"/>
        </w:rPr>
        <w:t xml:space="preserve">I </w:t>
      </w:r>
      <w:r w:rsidRPr="00A6692D">
        <w:rPr>
          <w:sz w:val="21"/>
          <w:szCs w:val="21"/>
        </w:rPr>
        <w:t>KOMPENSIMIT TË PRONAVE PRANË QARKUT TIRANË, në mungesë.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OBJEKTI: Shfuqizimi i vendimit nr.1404, datë 6.07.2004 të Kole</w:t>
      </w:r>
      <w:r>
        <w:rPr>
          <w:sz w:val="21"/>
          <w:szCs w:val="21"/>
        </w:rPr>
        <w:t xml:space="preserve">gjit Civil të Gjykatës së Lartë, </w:t>
      </w:r>
      <w:r w:rsidRPr="00A6692D">
        <w:rPr>
          <w:sz w:val="21"/>
          <w:szCs w:val="21"/>
        </w:rPr>
        <w:t>si i papajtueshëm me Kushtetutën</w:t>
      </w:r>
      <w:r>
        <w:rPr>
          <w:sz w:val="21"/>
          <w:szCs w:val="21"/>
        </w:rPr>
        <w:t>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BAZA LIGJORE: Nenet 42 pika 2, 131/f, 134/g dhe 142 pika 2</w:t>
      </w:r>
      <w:r>
        <w:rPr>
          <w:sz w:val="21"/>
          <w:szCs w:val="21"/>
        </w:rPr>
        <w:t xml:space="preserve"> të Kushtetutës së  Republikës t</w:t>
      </w:r>
      <w:r w:rsidRPr="00A6692D">
        <w:rPr>
          <w:sz w:val="21"/>
          <w:szCs w:val="21"/>
        </w:rPr>
        <w:t>ë Shqipërisë</w:t>
      </w:r>
      <w:r>
        <w:rPr>
          <w:sz w:val="21"/>
          <w:szCs w:val="21"/>
        </w:rPr>
        <w:t>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Kërkuesi ka paraqitur përpara Gjykatës Kushtetuese këto shkaqe kryesore: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- Ka kontradi</w:t>
      </w:r>
      <w:r>
        <w:rPr>
          <w:sz w:val="21"/>
          <w:szCs w:val="21"/>
        </w:rPr>
        <w:t>ktë të hapur ndërmjet pjesës ar</w:t>
      </w:r>
      <w:r w:rsidRPr="00A6692D">
        <w:rPr>
          <w:sz w:val="21"/>
          <w:szCs w:val="21"/>
        </w:rPr>
        <w:t>syetuese dhe urdhëruese të këtij vendimi. Në fund të pjesës arsyetuese deklarohet se: “Për rrethanat e çështjes, vendimi i gjykatës së apelit duhet të lihet në fuqi si i bazuar në ligj”. Megjithatë, në pjesën urdhëruese të vendimit theksohet se duhet prishur vendimi i gjykatës së apelit dhe duhet lënë në fuqi vendimi i Gjyk</w:t>
      </w:r>
      <w:r>
        <w:rPr>
          <w:sz w:val="21"/>
          <w:szCs w:val="21"/>
        </w:rPr>
        <w:t>atës së Rrethit Gjyqësor Tiranë.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- Gjykimi i çështjes në Kolegjin Civil të Gjykatës së Lartë është bërë pa praninë e kërkuesit.</w:t>
      </w:r>
    </w:p>
    <w:p w:rsidR="0055631D" w:rsidRPr="00A6692D" w:rsidRDefault="0055631D" w:rsidP="0055631D">
      <w:pPr>
        <w:pStyle w:val="Paragrafi"/>
        <w:ind w:firstLine="0"/>
        <w:rPr>
          <w:sz w:val="21"/>
          <w:szCs w:val="21"/>
        </w:rPr>
      </w:pPr>
    </w:p>
    <w:p w:rsidR="0055631D" w:rsidRPr="00A6692D" w:rsidRDefault="0055631D" w:rsidP="0055631D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GJYKATA KUSHTETUESE,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pasi dëgjoi relatorin e çështjes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Xhezair Zaganjori, përfaqësuesin e kërkuesit, subjektet e interesuara, dhe shqyrtoi çështjen në tërësi,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</w:p>
    <w:p w:rsidR="0055631D" w:rsidRPr="00A6692D" w:rsidRDefault="0055631D" w:rsidP="0055631D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VËREN: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Me padinë drejtuar Gjykatës së Rrethit Gjyqësor Tiranë, kërkuesi ka kërkuar pavlefshmërinë e kontratës së shitblerjes së banesës të lidhur ndërmjet Ndërmarrjes Komunale Banesa dhe subjektit të interesuar Shaqo Novruzi, etj. Subjek</w:t>
      </w:r>
      <w:r>
        <w:rPr>
          <w:sz w:val="21"/>
          <w:szCs w:val="21"/>
        </w:rPr>
        <w:t>tet e interesuara Shaqo Novruzi etj.</w:t>
      </w:r>
      <w:r w:rsidRPr="00A6692D">
        <w:rPr>
          <w:sz w:val="21"/>
          <w:szCs w:val="21"/>
        </w:rPr>
        <w:t xml:space="preserve"> me kundërpadi kanë kërkuar anulimin e vendimit të Komisionit të Kthimit dhe Kompensimit të Pronave nr.61, datë 29.05.1995, me të cilin shtëpia objekt konflikti u jepej motrave Luçije Mozali, Dorotea Zoto dhe Marie Zorba, si trashëgimtare të vetme (ligjore) t</w:t>
      </w:r>
      <w:r>
        <w:rPr>
          <w:sz w:val="21"/>
          <w:szCs w:val="21"/>
        </w:rPr>
        <w:t>ë të ndjerit</w:t>
      </w:r>
      <w:r w:rsidRPr="00A6692D">
        <w:rPr>
          <w:sz w:val="21"/>
          <w:szCs w:val="21"/>
        </w:rPr>
        <w:t xml:space="preserve"> Guljelm Luka.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Gj</w:t>
      </w:r>
      <w:r>
        <w:rPr>
          <w:sz w:val="21"/>
          <w:szCs w:val="21"/>
        </w:rPr>
        <w:t>ykata e Rrethit Gjyqësor Tiranë</w:t>
      </w:r>
      <w:r w:rsidRPr="00A6692D">
        <w:rPr>
          <w:sz w:val="21"/>
          <w:szCs w:val="21"/>
        </w:rPr>
        <w:t xml:space="preserve"> ka vendosur rrëzimin e padisë dhe pranimin e kundër</w:t>
      </w:r>
      <w:r>
        <w:rPr>
          <w:sz w:val="21"/>
          <w:szCs w:val="21"/>
        </w:rPr>
        <w:t xml:space="preserve">padisë. </w:t>
      </w:r>
      <w:r>
        <w:rPr>
          <w:sz w:val="21"/>
          <w:szCs w:val="21"/>
        </w:rPr>
        <w:lastRenderedPageBreak/>
        <w:t>Gjykata e Apelit Tiranë</w:t>
      </w:r>
      <w:r w:rsidRPr="00A6692D">
        <w:rPr>
          <w:sz w:val="21"/>
          <w:szCs w:val="21"/>
        </w:rPr>
        <w:t xml:space="preserve"> ka pranuar padinë dhe </w:t>
      </w:r>
      <w:r>
        <w:rPr>
          <w:sz w:val="21"/>
          <w:szCs w:val="21"/>
        </w:rPr>
        <w:t xml:space="preserve">ka </w:t>
      </w:r>
      <w:r w:rsidRPr="00A6692D">
        <w:rPr>
          <w:sz w:val="21"/>
          <w:szCs w:val="21"/>
        </w:rPr>
        <w:t xml:space="preserve">rrëzuar kundërpadinë. Kolegji Civil i Gjykatës së Lartë, bazuar në nenin 485/c të Kodit të Procedurës Civile, ka vendosur prishjen e vendimit të gjykatës së apelit dhe lënien në fuqi të vendimit të Gjykatës së Rrethit Gjyqësor Tiranë.  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Në kërkesën drejtuar Gjykatës Kushtetuese, kërkuesi pretendon se pikërisht vendimi i Kolegjit Civil të Gjyk</w:t>
      </w:r>
      <w:r>
        <w:rPr>
          <w:sz w:val="21"/>
          <w:szCs w:val="21"/>
        </w:rPr>
        <w:t>atës së Lartë</w:t>
      </w:r>
      <w:r w:rsidRPr="00A6692D">
        <w:rPr>
          <w:sz w:val="21"/>
          <w:szCs w:val="21"/>
        </w:rPr>
        <w:t xml:space="preserve">  ka cenuar të drejtën e tij kushtetuese për një proces të rregullt ligjor.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Gjykata Kusht</w:t>
      </w:r>
      <w:r>
        <w:rPr>
          <w:sz w:val="21"/>
          <w:szCs w:val="21"/>
        </w:rPr>
        <w:t>etuese vlerëson se në këtë rast</w:t>
      </w:r>
      <w:r w:rsidRPr="00A6692D">
        <w:rPr>
          <w:sz w:val="21"/>
          <w:szCs w:val="21"/>
        </w:rPr>
        <w:t xml:space="preserve"> kemi të bëjmë me gjykimin kushtetues të një ankese individuale, pretendimet e së cilës duhet të analizohen në kuadër të standardeve apo elementeve përbërës</w:t>
      </w:r>
      <w:r>
        <w:rPr>
          <w:sz w:val="21"/>
          <w:szCs w:val="21"/>
        </w:rPr>
        <w:t>e</w:t>
      </w:r>
      <w:r w:rsidRPr="00A6692D">
        <w:rPr>
          <w:sz w:val="21"/>
          <w:szCs w:val="21"/>
        </w:rPr>
        <w:t xml:space="preserve"> të procesit të rregullt ligjor në kuptim të neneve 42 dhe 131/</w:t>
      </w:r>
      <w:r>
        <w:rPr>
          <w:sz w:val="21"/>
          <w:szCs w:val="21"/>
        </w:rPr>
        <w:t>f të Kushtetutës së Republikës t</w:t>
      </w:r>
      <w:r w:rsidRPr="00A6692D">
        <w:rPr>
          <w:sz w:val="21"/>
          <w:szCs w:val="21"/>
        </w:rPr>
        <w:t xml:space="preserve">ë Shqipërisë, si dhe të nenit 6 të Konventës Europiane të të Drejtave të Njeriut. Nga ana tjetër, ajo e quan të nevojshme të ritheksojë se në </w:t>
      </w:r>
      <w:r>
        <w:rPr>
          <w:sz w:val="21"/>
          <w:szCs w:val="21"/>
        </w:rPr>
        <w:t>këtë kuadër</w:t>
      </w:r>
      <w:r w:rsidRPr="00A6692D">
        <w:rPr>
          <w:sz w:val="21"/>
          <w:szCs w:val="21"/>
        </w:rPr>
        <w:t xml:space="preserve"> mund të trajtojë edhe probleme të interpretimit dhe zbatimit të ligjit, nëse shkelja që pretendohet, cenon një të drejtë kushtetuese themelore. 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Lidhur me pretendimin e parë të kërkuesit, Gjykata Kushtetuese ka parasysh se vendimet gjyqësore që japin gjykatat e të gjitha niveleve në përfundim të gjykimit, përbëjnë aktin procedural kryesor të të gjithë procesit gjyqësor. Ato përmbledhin dhe finalizojnë përfundimisht qëndrimet që mban gjykata lidhur me çështjen në gjykim.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Në nenin 142/1 të Kushtetutës së Republikës të Shqipërisë deklarohet qartë shprehimisht detyrimi i gjykatave për të arsyetuar çdo vendim gjyqësor që jepet prej tyre. Kodi i Procedurës Civile përcakton rregulla të sakta për formën dhe përmbajtjen e vendimeve gjyqësore. Nenet 306-309 të këtij Kodi bëjnë fjalë për mënyrën e dhënies së vendimit, si dhe for</w:t>
      </w:r>
      <w:r>
        <w:rPr>
          <w:sz w:val="21"/>
          <w:szCs w:val="21"/>
        </w:rPr>
        <w:t>mën e tij. Më tej, në nenin 310</w:t>
      </w:r>
      <w:r w:rsidRPr="00A6692D">
        <w:rPr>
          <w:sz w:val="21"/>
          <w:szCs w:val="21"/>
        </w:rPr>
        <w:t xml:space="preserve"> jepet përmbajtja e vendimit të gjykatës. Sipas kësaj dispozite, ky vendim duhet të përmbajë pjesën hyrëse, pjesën përshkruese-arsyetuese dhe pjesën urdhëruese. Nga ana tjetër, sipas nenit 126 të Kodit të Procedurës Civile, vendimi përfundimtar, si dhe vendimet që i japin fund procesit gjyqësor civil, të parashikuara nga neni 127 i këtij Kodi (vendimet jopërfundimtare), “…duhet të përmbajnë bazën ligjore mbi të cilën bazohet zgjidhja e mosmarrëveshjes, … dhe mënyrën e zgjidhjes së saj”.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Gjykata Europiane e të Drejtave të Njeriut, duke iu referuar procesit të drejtë, garantuar në nenin 6 të Konventës Europiane të të Drejtave të Njeriut, ka theksuar se: “Shtetet gëzojnë liri të konsiderueshme në përzgjedhjen e mjeteve të përshtatshme, të cilat do të garantonin që sistemi i tyre juridik të jetë në përputhje me kërkesat e nenit 6 të Konventës. Megjithatë, gjykatat kombëtare duhet të tregojnë me qartësi të mjaftueshme arsyet mbi të cilat mbështetet vendimi i tyre.”</w:t>
      </w:r>
      <w:r w:rsidRPr="00A6692D">
        <w:rPr>
          <w:sz w:val="21"/>
          <w:szCs w:val="21"/>
          <w:vertAlign w:val="superscript"/>
        </w:rPr>
        <w:footnoteReference w:id="1"/>
      </w:r>
      <w:r w:rsidRPr="00A6692D">
        <w:rPr>
          <w:sz w:val="21"/>
          <w:szCs w:val="21"/>
        </w:rPr>
        <w:t xml:space="preserve"> 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Nga sa sipër, </w:t>
      </w:r>
      <w:smartTag w:uri="urn:schemas-microsoft-com:office:smarttags" w:element="State">
        <w:smartTag w:uri="urn:schemas-microsoft-com:office:smarttags" w:element="place">
          <w:r w:rsidRPr="00A6692D">
            <w:rPr>
              <w:sz w:val="21"/>
              <w:szCs w:val="21"/>
            </w:rPr>
            <w:t>del</w:t>
          </w:r>
        </w:smartTag>
      </w:smartTag>
      <w:r w:rsidRPr="00A6692D">
        <w:rPr>
          <w:sz w:val="21"/>
          <w:szCs w:val="21"/>
        </w:rPr>
        <w:t xml:space="preserve"> qartë se vendimi gjyqësor në çdo rast duhet të jetë logjik, i rregullt në formë dhe i qartë në përmbajtje. Në tërësinë e tij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ai duhet konsideruar si një unitet, në të cilin pjesët përbërëse janë të lidhura ngushtësisht mes tyre. Ato duhet të jenë në shërbim dhe funksion të njëra-tjetrës. Argumentet e pjesës arsyetuese duhet të jenë të bazuara dhe të lidhura logjikish, duke respektuar rregullat dhe ligjet e mendimit të drejtë. Ato duhet të formojnë një përmbajtje koherente brenda vendimit, i cili përjashton çdo kundërthënie apo kontradiksion të hapur ose të fshehtë. Këto argumente duhet të jenë gjithashtu të mjaftueshme për të mbështetur dhe pranuar pjesën urdhëruese. Konkluzionet e pjesës arsyetuese duhet të bazohen jo vetëm në aktet ligjore, por edhe në parimet dhe rregullat që karakterizojnë mendimin e shëndoshë e logjik. “E drejta është rregull, dhe e drejta e dhënë logjikisht është e drejtë shumë e mirë”, ka thënë Aristoteli.</w:t>
      </w:r>
      <w:r w:rsidRPr="00A6692D">
        <w:rPr>
          <w:sz w:val="21"/>
          <w:szCs w:val="21"/>
          <w:vertAlign w:val="superscript"/>
        </w:rPr>
        <w:footnoteReference w:id="2"/>
      </w:r>
      <w:r w:rsidRPr="00A6692D">
        <w:rPr>
          <w:sz w:val="21"/>
          <w:szCs w:val="21"/>
        </w:rPr>
        <w:t xml:space="preserve">  Një arsyetim i saktë i vendimit është një mënyrë e sigurt që gjeneron legjitimitet në sytë e të interesuarve. Ky efekt do të jetë akoma më i madh nëse palët do ta përjetojnë këtë vendim si pasojë normale e një procesi të rregullt, në të gjithë komponentët e tij.</w:t>
      </w:r>
      <w:r w:rsidRPr="00A6692D">
        <w:rPr>
          <w:sz w:val="21"/>
          <w:szCs w:val="21"/>
          <w:vertAlign w:val="superscript"/>
        </w:rPr>
        <w:footnoteReference w:id="3"/>
      </w:r>
      <w:r w:rsidRPr="00A6692D">
        <w:rPr>
          <w:sz w:val="21"/>
          <w:szCs w:val="21"/>
          <w:vertAlign w:val="superscript"/>
        </w:rPr>
        <w:t xml:space="preserve"> 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Nga ana tjetër, pjesa urdhëruese e vendimit të gjykatës duhet të jetë rezultat i natyrshëm i përfundimeve të arritura në pjesën arsyetuese. Ajo është sintezë e këtyre përfundimeve dhe si e tillë, në asnjë rast, nuk mund të jetë në kundërshtim me to. Vendimi që përmban ose lejon kontradiktën logjike, cenon rëndë dhënien e drejtësisë. Ai nuk mund të jetë i kuptueshëm dhe bindës dhe për pasojë nuk mund të zbatohet në praktikë. Një vendim i plotë dhe i kuptueshëm pasohet logjikisht edhe me vetë forcimin e sistemit gjyqësor. Ai kontribuon në shprehjen dhe thellimin e vlerave shoqërore që transmetohen përmes normave ligjore”.</w:t>
      </w:r>
      <w:r w:rsidRPr="00A6692D">
        <w:rPr>
          <w:sz w:val="21"/>
          <w:szCs w:val="21"/>
          <w:vertAlign w:val="superscript"/>
        </w:rPr>
        <w:footnoteReference w:id="4"/>
      </w:r>
      <w:r w:rsidRPr="00A6692D">
        <w:rPr>
          <w:sz w:val="21"/>
          <w:szCs w:val="21"/>
          <w:vertAlign w:val="superscript"/>
        </w:rPr>
        <w:t xml:space="preserve"> 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Nga dosja gjyqësore rezulton se ka mospërputhje të dukshme ndërmjet pjesës arsyetuese dhe pjesës urdhëruese të vendi</w:t>
      </w:r>
      <w:r>
        <w:rPr>
          <w:sz w:val="21"/>
          <w:szCs w:val="21"/>
        </w:rPr>
        <w:t xml:space="preserve">mit nr.1404, datë </w:t>
      </w:r>
      <w:r w:rsidRPr="00A6692D">
        <w:rPr>
          <w:sz w:val="21"/>
          <w:szCs w:val="21"/>
        </w:rPr>
        <w:t>6.07.2004, të dhënë për këtë çështje nga Kolegji Civil i Gjykatës së Lartë. Në pjesën arsyetuese nuk gjendet asn</w:t>
      </w:r>
      <w:r>
        <w:rPr>
          <w:sz w:val="21"/>
          <w:szCs w:val="21"/>
        </w:rPr>
        <w:t>jë vlerësim pozitiv apo negativ</w:t>
      </w:r>
      <w:r w:rsidRPr="00A6692D">
        <w:rPr>
          <w:sz w:val="21"/>
          <w:szCs w:val="21"/>
        </w:rPr>
        <w:t xml:space="preserve"> lidhur me shkaqet e parashtruara nga subjektet e interesuara në rekursin drejtuar Gjykatës së Lartë. Aty vetëm citohen kryesisht </w:t>
      </w:r>
      <w:r w:rsidRPr="00A6692D">
        <w:rPr>
          <w:sz w:val="21"/>
          <w:szCs w:val="21"/>
        </w:rPr>
        <w:lastRenderedPageBreak/>
        <w:t>disa prej fakteve të pranuara në vendimin e dhënë për këtë çështje nga gjykata e apelit dhe në fund të kësaj pjese të vendimit deklarohet shprehimisht se: “Për rrethanat e mësipërme, vendimi i gjykatës së apelit duhet të lihet në fuqi si i bazuar në ligj”.  Megjithatë, në pjesën urdhëruese theksohet se Kolegji Civil i Gjykatës së Lartë vendosi: “Prishjen e vendimit… të gjykatës së apelit dhe lënien në fuqi të vendimit ... të Gjykatës së Shkallës së Parë Tiranë”.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Shihet qartë se një vendim i tillë, në tërësinë e tij, është alogjik, i pakuptueshëm e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për rrjedhojë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i pazbatueshëm në praktikë. Pikërisht për këtë arsye, kërkuesi dhe subjektet e interesuara, me pretendime të ndryshme përsa i përket pjesës që duhej ndryshuar, kanë kërkuar më pas k</w:t>
      </w:r>
      <w:r>
        <w:rPr>
          <w:sz w:val="21"/>
          <w:szCs w:val="21"/>
        </w:rPr>
        <w:t>orrigjimin e këtij vendimi. Por</w:t>
      </w:r>
      <w:r w:rsidRPr="00A6692D">
        <w:rPr>
          <w:sz w:val="21"/>
          <w:szCs w:val="21"/>
        </w:rPr>
        <w:t xml:space="preserve"> Kolegji Civil i Gjykatës së Lartë, me vendimin nr.1401/1</w:t>
      </w:r>
      <w:r>
        <w:rPr>
          <w:sz w:val="21"/>
          <w:szCs w:val="21"/>
        </w:rPr>
        <w:t>, datë 17.01.2005</w:t>
      </w:r>
      <w:r w:rsidRPr="00A6692D">
        <w:rPr>
          <w:sz w:val="21"/>
          <w:szCs w:val="21"/>
        </w:rPr>
        <w:t xml:space="preserve"> të marrë në Dhomën e Këshillimit, ka vendosur mospranimin e të dyja kërkesave, me arsyetimin se në rastin konkret nuk kemi të bëjmë me: “... gabim material në kuptim të nenit 492 të Kodit të Procedurës Civile”. Për këtë arsye, e vetmja mundësi për goditjen e vendimit nr.1404, datë 06.07.2004 të Kolegjit Civil të Gjykatës së Lartë mbetej paraqitja e kërkesës në Gjykatën Kushtetuese, me pretendimin e drejtë se, në këtë rast, kemi të bëjmë me proces të parregullt në kuptimin kushtetues.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Përsa më sipër, Gjykata Kushtetuese vlerëson se vendimi që kundërshtohet nga kërkuesi nuk i plotëson standardet që kërkon procesi i rregullt ligjor në kuptimin kushtetues, prandaj duhet të shfuqizohet si i papajtueshëm me Kushtetutën e Republikës së Shqipërisë.   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Përsa i përket pretendimit të dytë të kërkuesit, Gjykata Kushtetuese çmon se ai është i pabazuar. Nga dosja gjyqësore rezulton se njoftimi i rekursit të paraqitur nga subjektet e interesuara dhe shpallja e ditës së gjykimit të kësaj çështjeje në Kolegjin Civil të Gjykatës së Lartë, janë bërë në përputhje të plotë me dispozitat respektive të Kodit të Procedurës Civile.</w:t>
      </w:r>
    </w:p>
    <w:p w:rsidR="0055631D" w:rsidRDefault="0055631D" w:rsidP="0055631D">
      <w:pPr>
        <w:pStyle w:val="Paragrafi"/>
        <w:rPr>
          <w:sz w:val="21"/>
          <w:szCs w:val="21"/>
        </w:rPr>
      </w:pPr>
    </w:p>
    <w:p w:rsidR="0055631D" w:rsidRDefault="0055631D" w:rsidP="0055631D">
      <w:pPr>
        <w:pStyle w:val="Paragrafi"/>
        <w:rPr>
          <w:sz w:val="21"/>
          <w:szCs w:val="21"/>
        </w:rPr>
      </w:pPr>
    </w:p>
    <w:p w:rsidR="0055631D" w:rsidRDefault="0055631D" w:rsidP="0055631D">
      <w:pPr>
        <w:pStyle w:val="Paragrafi"/>
        <w:rPr>
          <w:sz w:val="21"/>
          <w:szCs w:val="21"/>
        </w:rPr>
      </w:pPr>
    </w:p>
    <w:p w:rsidR="0055631D" w:rsidRDefault="0055631D" w:rsidP="0055631D">
      <w:pPr>
        <w:pStyle w:val="Paragrafi"/>
        <w:rPr>
          <w:sz w:val="21"/>
          <w:szCs w:val="21"/>
        </w:rPr>
      </w:pPr>
    </w:p>
    <w:p w:rsidR="0055631D" w:rsidRPr="00A6692D" w:rsidRDefault="0055631D" w:rsidP="0055631D">
      <w:pPr>
        <w:pStyle w:val="Paragrafi"/>
        <w:rPr>
          <w:sz w:val="21"/>
          <w:szCs w:val="21"/>
        </w:rPr>
      </w:pPr>
    </w:p>
    <w:p w:rsidR="0055631D" w:rsidRPr="00A6692D" w:rsidRDefault="0055631D" w:rsidP="0055631D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PëR KëTO ARSYE,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Gjykata Kushtetuese e Republikës së Shqipërisë, në mbështetje të neneve 72 e vijues të ligjit nr.8577, datë 10.02.2000 “Për organizimin dhe funksionimin e Gjykatës Kushtetuese të Republikës së Shqipërisë”, njëzëri,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</w:p>
    <w:p w:rsidR="0055631D" w:rsidRPr="00A6692D" w:rsidRDefault="0055631D" w:rsidP="0055631D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 E N D O S I: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- Shfuqizimin si të papajtushëm me Kushtet</w:t>
      </w:r>
      <w:r>
        <w:rPr>
          <w:sz w:val="21"/>
          <w:szCs w:val="21"/>
        </w:rPr>
        <w:t xml:space="preserve">utën të vendimit nr.1404, datë </w:t>
      </w:r>
      <w:r w:rsidRPr="00A6692D">
        <w:rPr>
          <w:sz w:val="21"/>
          <w:szCs w:val="21"/>
        </w:rPr>
        <w:t>6.07.2004 të Kolegjit Civil të Gjykatës së Lartë.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- Dërgimin e çështjes për rishqyrtim në Kolegjin Civil të Gjykatës së Lartë.</w:t>
      </w:r>
    </w:p>
    <w:p w:rsidR="0055631D" w:rsidRPr="00A6692D" w:rsidRDefault="0055631D" w:rsidP="0055631D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 - Ky vendim është përfundimtar, i formës së prerë dhe hyn në fuqi ditën e botimit në Fletoren Zyrtare.</w:t>
      </w:r>
    </w:p>
    <w:p w:rsidR="0055631D" w:rsidRDefault="0055631D" w:rsidP="0055631D">
      <w:pPr>
        <w:pStyle w:val="Paragrafi"/>
        <w:rPr>
          <w:sz w:val="21"/>
          <w:szCs w:val="21"/>
        </w:rPr>
      </w:pPr>
    </w:p>
    <w:p w:rsidR="0055631D" w:rsidRPr="00A6692D" w:rsidRDefault="0055631D" w:rsidP="0055631D">
      <w:pPr>
        <w:pStyle w:val="Paragrafi"/>
        <w:rPr>
          <w:sz w:val="21"/>
          <w:szCs w:val="21"/>
        </w:rPr>
      </w:pPr>
    </w:p>
    <w:sectPr w:rsidR="0055631D" w:rsidRPr="00A6692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15767">
      <w:r>
        <w:separator/>
      </w:r>
    </w:p>
  </w:endnote>
  <w:endnote w:type="continuationSeparator" w:id="0">
    <w:p w:rsidR="00000000" w:rsidRDefault="0051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15767">
      <w:r>
        <w:separator/>
      </w:r>
    </w:p>
  </w:footnote>
  <w:footnote w:type="continuationSeparator" w:id="0">
    <w:p w:rsidR="00000000" w:rsidRDefault="00515767">
      <w:r>
        <w:continuationSeparator/>
      </w:r>
    </w:p>
  </w:footnote>
  <w:footnote w:id="1">
    <w:p w:rsidR="0055631D" w:rsidRPr="00C87DE6" w:rsidRDefault="0055631D" w:rsidP="0055631D">
      <w:pPr>
        <w:pStyle w:val="FootnoteText"/>
      </w:pPr>
      <w:r w:rsidRPr="00C87DE6">
        <w:rPr>
          <w:rStyle w:val="FootnoteReference"/>
        </w:rPr>
        <w:footnoteRef/>
      </w:r>
      <w:r w:rsidRPr="00C87DE6">
        <w:t>.Çështja Haxhianastasiu kundër Greqisë, Apl. 12945, dt.16.12.1992</w:t>
      </w:r>
      <w:r>
        <w:t>,</w:t>
      </w:r>
      <w:r w:rsidRPr="00C87DE6">
        <w:t xml:space="preserve"> si dhe çështja Balani kundër Spanjës, Apl. 18064/91, dt.9.12. 1994</w:t>
      </w:r>
    </w:p>
  </w:footnote>
  <w:footnote w:id="2">
    <w:p w:rsidR="0055631D" w:rsidRPr="00C87DE6" w:rsidRDefault="0055631D" w:rsidP="0055631D">
      <w:pPr>
        <w:pStyle w:val="FootnoteText"/>
      </w:pPr>
      <w:r w:rsidRPr="00C87DE6">
        <w:rPr>
          <w:rStyle w:val="FootnoteReference"/>
        </w:rPr>
        <w:footnoteRef/>
      </w:r>
      <w:r w:rsidRPr="00C87DE6">
        <w:t xml:space="preserve">. Aristoteli: Politika, Libri i </w:t>
      </w:r>
      <w:r>
        <w:t>s</w:t>
      </w:r>
      <w:r w:rsidRPr="00C87DE6">
        <w:t>htatë, fq. 180, Botimet Plejad 2003 – Tiranë.</w:t>
      </w:r>
    </w:p>
  </w:footnote>
  <w:footnote w:id="3">
    <w:p w:rsidR="0055631D" w:rsidRPr="00C87DE6" w:rsidRDefault="0055631D" w:rsidP="0055631D">
      <w:pPr>
        <w:pStyle w:val="FootnoteText"/>
      </w:pPr>
      <w:r w:rsidRPr="00C87DE6">
        <w:rPr>
          <w:rStyle w:val="FootnoteReference"/>
        </w:rPr>
        <w:footnoteRef/>
      </w:r>
      <w:r w:rsidRPr="00C87DE6">
        <w:t>. Shih Chistoph Engel “Inconsistency in Law:</w:t>
      </w:r>
      <w:r>
        <w:t xml:space="preserve"> </w:t>
      </w:r>
      <w:r w:rsidRPr="00C87DE6">
        <w:t xml:space="preserve">In </w:t>
      </w:r>
      <w:r>
        <w:t xml:space="preserve">search of a balanced norm”. </w:t>
      </w:r>
      <w:smartTag w:uri="urn:schemas-microsoft-com:office:smarttags" w:element="City">
        <w:smartTag w:uri="urn:schemas-microsoft-com:office:smarttags" w:element="place">
          <w:r>
            <w:t>Bonn</w:t>
          </w:r>
        </w:smartTag>
      </w:smartTag>
      <w:r>
        <w:t>, d</w:t>
      </w:r>
      <w:r w:rsidRPr="00C87DE6">
        <w:t>hjetor 2004, fq.3</w:t>
      </w:r>
    </w:p>
  </w:footnote>
  <w:footnote w:id="4">
    <w:p w:rsidR="0055631D" w:rsidRPr="00C87DE6" w:rsidRDefault="0055631D" w:rsidP="0055631D">
      <w:pPr>
        <w:pStyle w:val="FootnoteText"/>
      </w:pPr>
      <w:r w:rsidRPr="00C87DE6">
        <w:rPr>
          <w:rStyle w:val="FootnoteReference"/>
        </w:rPr>
        <w:footnoteRef/>
      </w:r>
      <w:r w:rsidRPr="00C87DE6">
        <w:t xml:space="preserve">. </w:t>
      </w:r>
      <w:smartTag w:uri="urn:schemas-microsoft-com:office:smarttags" w:element="place">
        <w:r w:rsidRPr="00C87DE6">
          <w:t>Po</w:t>
        </w:r>
      </w:smartTag>
      <w:r w:rsidRPr="00C87DE6">
        <w:t xml:space="preserve"> aty.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5767"/>
    <w:rsid w:val="00543147"/>
    <w:rsid w:val="00544065"/>
    <w:rsid w:val="00545117"/>
    <w:rsid w:val="0055631D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E17526-1CA5-400B-9F5E-D8D34B0F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FootnoteReference">
    <w:name w:val="footnote reference"/>
    <w:basedOn w:val="DefaultParagraphFont"/>
    <w:semiHidden/>
    <w:rsid w:val="0055631D"/>
    <w:rPr>
      <w:vertAlign w:val="superscript"/>
    </w:rPr>
  </w:style>
  <w:style w:type="paragraph" w:styleId="FootnoteText">
    <w:name w:val="footnote text"/>
    <w:basedOn w:val="Normal"/>
    <w:semiHidden/>
    <w:rsid w:val="0055631D"/>
    <w:pPr>
      <w:widowControl/>
    </w:pPr>
    <w:rPr>
      <w:rFonts w:ascii="Times New Roman" w:hAnsi="Times New Roman"/>
      <w:sz w:val="20"/>
      <w:szCs w:val="20"/>
      <w:lang w:val="en-US"/>
    </w:rPr>
  </w:style>
  <w:style w:type="character" w:customStyle="1" w:styleId="TitulliChar">
    <w:name w:val="Titulli Char"/>
    <w:basedOn w:val="DefaultParagraphFont"/>
    <w:link w:val="Titulli"/>
    <w:rsid w:val="0055631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