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22D" w:rsidRDefault="001D722D" w:rsidP="001D722D">
      <w:pPr>
        <w:pStyle w:val="Titulli"/>
        <w:keepNext w:val="0"/>
      </w:pPr>
      <w:bookmarkStart w:id="0" w:name="_GoBack"/>
      <w:bookmarkEnd w:id="0"/>
      <w:r>
        <w:t>VENDI</w:t>
      </w:r>
      <w:r w:rsidRPr="00E35CC1">
        <w:t>M</w:t>
      </w:r>
    </w:p>
    <w:p w:rsidR="001D722D" w:rsidRPr="00E35CC1" w:rsidRDefault="001D722D" w:rsidP="001D722D">
      <w:pPr>
        <w:pStyle w:val="NumriData"/>
        <w:keepNext w:val="0"/>
      </w:pPr>
      <w:r>
        <w:t>Nr.15, datë 25.</w:t>
      </w:r>
      <w:r w:rsidRPr="00E35CC1">
        <w:t>5.2006</w:t>
      </w:r>
    </w:p>
    <w:p w:rsidR="001D722D" w:rsidRPr="00B2124C" w:rsidRDefault="001D722D" w:rsidP="001D722D">
      <w:pPr>
        <w:pStyle w:val="Paragrafi"/>
        <w:ind w:firstLine="0"/>
        <w:rPr>
          <w:lang w:val="en-GB"/>
        </w:rPr>
      </w:pPr>
    </w:p>
    <w:p w:rsidR="001D722D" w:rsidRPr="001D722D" w:rsidRDefault="001D722D" w:rsidP="001D722D">
      <w:pPr>
        <w:pStyle w:val="Titulli"/>
        <w:rPr>
          <w:b w:val="0"/>
        </w:rPr>
      </w:pPr>
      <w:r w:rsidRPr="001D722D">
        <w:rPr>
          <w:b w:val="0"/>
        </w:rPr>
        <w:t>NË EMËR TË REPUBLIKËS SË SHQIPËRISË</w:t>
      </w:r>
    </w:p>
    <w:p w:rsidR="001D722D" w:rsidRPr="00E35CC1" w:rsidRDefault="001D722D" w:rsidP="001D722D">
      <w:pPr>
        <w:pStyle w:val="Paragrafi"/>
      </w:pPr>
    </w:p>
    <w:p w:rsidR="001D722D" w:rsidRPr="00E35CC1" w:rsidRDefault="001D722D" w:rsidP="001D722D">
      <w:pPr>
        <w:pStyle w:val="Paragrafi"/>
      </w:pPr>
      <w:r w:rsidRPr="00E35CC1">
        <w:t>Gjykata Kushtetuese e Republikës së Shqipërisë, e përbërë nga:</w:t>
      </w:r>
    </w:p>
    <w:p w:rsidR="001D722D" w:rsidRPr="00E35CC1" w:rsidRDefault="001D722D" w:rsidP="001D722D">
      <w:pPr>
        <w:pStyle w:val="Paragrafi"/>
      </w:pPr>
    </w:p>
    <w:p w:rsidR="001D722D" w:rsidRPr="00E35CC1" w:rsidRDefault="001D722D" w:rsidP="001D722D">
      <w:pPr>
        <w:pStyle w:val="Paragrafi"/>
      </w:pPr>
      <w:r>
        <w:t>Gjergj Sauli</w:t>
      </w:r>
      <w:r w:rsidRPr="00E35CC1">
        <w:tab/>
      </w:r>
      <w:r w:rsidRPr="00E35CC1">
        <w:tab/>
      </w:r>
      <w:r w:rsidRPr="00E35CC1">
        <w:tab/>
        <w:t>Kryetar  i Gjykatës Kushtetuese</w:t>
      </w:r>
    </w:p>
    <w:p w:rsidR="001D722D" w:rsidRPr="00E35CC1" w:rsidRDefault="001D722D" w:rsidP="001D722D">
      <w:pPr>
        <w:pStyle w:val="Paragrafi"/>
      </w:pPr>
      <w:r>
        <w:t>Alfred Karamuço</w:t>
      </w:r>
      <w:r w:rsidRPr="00E35CC1">
        <w:tab/>
      </w:r>
      <w:r w:rsidRPr="00E35CC1">
        <w:tab/>
        <w:t xml:space="preserve">Anëtar   i </w:t>
      </w:r>
      <w:r w:rsidRPr="00E35CC1">
        <w:tab/>
        <w:t>“</w:t>
      </w:r>
      <w:r w:rsidRPr="00E35CC1">
        <w:tab/>
        <w:t>“</w:t>
      </w:r>
    </w:p>
    <w:p w:rsidR="001D722D" w:rsidRPr="00E35CC1" w:rsidRDefault="001D722D" w:rsidP="001D722D">
      <w:pPr>
        <w:pStyle w:val="Paragrafi"/>
      </w:pPr>
      <w:r>
        <w:t>Fehmi Abdiu</w:t>
      </w:r>
      <w:r w:rsidRPr="00E35CC1">
        <w:tab/>
      </w:r>
      <w:r w:rsidRPr="00E35CC1">
        <w:tab/>
      </w:r>
      <w:r w:rsidRPr="00E35CC1">
        <w:tab/>
        <w:t>Anëtar   i</w:t>
      </w:r>
      <w:r w:rsidRPr="00E35CC1">
        <w:tab/>
        <w:t>“</w:t>
      </w:r>
      <w:r w:rsidRPr="00E35CC1">
        <w:tab/>
        <w:t>“</w:t>
      </w:r>
    </w:p>
    <w:p w:rsidR="001D722D" w:rsidRPr="00E35CC1" w:rsidRDefault="001D722D" w:rsidP="001D722D">
      <w:pPr>
        <w:pStyle w:val="Paragrafi"/>
      </w:pPr>
      <w:r>
        <w:t>Kristofor Peçi</w:t>
      </w:r>
      <w:r w:rsidRPr="00E35CC1">
        <w:tab/>
      </w:r>
      <w:r w:rsidRPr="00E35CC1">
        <w:tab/>
      </w:r>
      <w:r w:rsidRPr="00E35CC1">
        <w:tab/>
        <w:t>Anëtar   i</w:t>
      </w:r>
      <w:r w:rsidRPr="00E35CC1">
        <w:tab/>
        <w:t>“</w:t>
      </w:r>
      <w:r w:rsidRPr="00E35CC1">
        <w:tab/>
        <w:t>“</w:t>
      </w:r>
    </w:p>
    <w:p w:rsidR="001D722D" w:rsidRPr="00E35CC1" w:rsidRDefault="001D722D" w:rsidP="001D722D">
      <w:pPr>
        <w:pStyle w:val="Paragrafi"/>
      </w:pPr>
      <w:r>
        <w:t>Kujtim Puto</w:t>
      </w:r>
      <w:r w:rsidRPr="00E35CC1">
        <w:tab/>
      </w:r>
      <w:r w:rsidRPr="00E35CC1">
        <w:tab/>
      </w:r>
      <w:r w:rsidRPr="00E35CC1">
        <w:tab/>
        <w:t xml:space="preserve">Anëtar   i </w:t>
      </w:r>
      <w:r w:rsidRPr="00E35CC1">
        <w:tab/>
        <w:t>“</w:t>
      </w:r>
      <w:r w:rsidRPr="00E35CC1">
        <w:tab/>
        <w:t>“</w:t>
      </w:r>
    </w:p>
    <w:p w:rsidR="001D722D" w:rsidRPr="00E35CC1" w:rsidRDefault="001D722D" w:rsidP="001D722D">
      <w:pPr>
        <w:pStyle w:val="Paragrafi"/>
      </w:pPr>
      <w:r>
        <w:t>Xhezair Zaganjori</w:t>
      </w:r>
      <w:r w:rsidRPr="00E35CC1">
        <w:t xml:space="preserve">   </w:t>
      </w:r>
      <w:r w:rsidRPr="00E35CC1">
        <w:tab/>
      </w:r>
      <w:r w:rsidRPr="00E35CC1">
        <w:tab/>
        <w:t xml:space="preserve">Anëtar   i </w:t>
      </w:r>
      <w:r w:rsidRPr="00E35CC1">
        <w:tab/>
        <w:t>“</w:t>
      </w:r>
      <w:r w:rsidRPr="00E35CC1">
        <w:tab/>
        <w:t xml:space="preserve">“ </w:t>
      </w:r>
    </w:p>
    <w:p w:rsidR="001D722D" w:rsidRPr="00E35CC1" w:rsidRDefault="001D722D" w:rsidP="001D722D">
      <w:pPr>
        <w:pStyle w:val="Paragrafi"/>
      </w:pPr>
      <w:r>
        <w:t>Petrit Plloçi</w:t>
      </w:r>
      <w:r w:rsidRPr="00E35CC1">
        <w:tab/>
      </w:r>
      <w:r w:rsidRPr="00E35CC1">
        <w:tab/>
      </w:r>
      <w:r w:rsidRPr="00E35CC1">
        <w:tab/>
        <w:t xml:space="preserve">Anëtar   i </w:t>
      </w:r>
      <w:r w:rsidRPr="00E35CC1">
        <w:tab/>
        <w:t>“</w:t>
      </w:r>
      <w:r w:rsidRPr="00E35CC1">
        <w:tab/>
        <w:t xml:space="preserve">“ </w:t>
      </w:r>
    </w:p>
    <w:p w:rsidR="001D722D" w:rsidRPr="00E35CC1" w:rsidRDefault="001D722D" w:rsidP="001D722D">
      <w:pPr>
        <w:pStyle w:val="Paragrafi"/>
      </w:pPr>
      <w:r>
        <w:t>Vjollca Meçaj</w:t>
      </w:r>
      <w:r w:rsidRPr="00E35CC1">
        <w:tab/>
      </w:r>
      <w:r w:rsidRPr="00E35CC1">
        <w:tab/>
      </w:r>
      <w:r w:rsidRPr="00E35CC1">
        <w:tab/>
        <w:t>Anëtare e</w:t>
      </w:r>
      <w:r w:rsidRPr="00E35CC1">
        <w:tab/>
        <w:t>“</w:t>
      </w:r>
      <w:r w:rsidRPr="00E35CC1">
        <w:tab/>
        <w:t>“</w:t>
      </w:r>
    </w:p>
    <w:p w:rsidR="001D722D" w:rsidRPr="00E35CC1" w:rsidRDefault="001D722D" w:rsidP="001D722D">
      <w:pPr>
        <w:pStyle w:val="Paragrafi"/>
      </w:pPr>
    </w:p>
    <w:p w:rsidR="001D722D" w:rsidRDefault="001D722D" w:rsidP="001D722D">
      <w:pPr>
        <w:pStyle w:val="Paragrafi"/>
      </w:pPr>
      <w:r w:rsidRPr="00E35CC1">
        <w:t xml:space="preserve">me sekretare Arbenka Lalica, në datat 28.02.2006 dhe 27.03.2006, mori në shqyrtim në seancë gjyqësore me dyer të hapura çështjen me nr.18 Akti që i përket: </w:t>
      </w:r>
    </w:p>
    <w:p w:rsidR="001D722D" w:rsidRPr="00E35CC1" w:rsidRDefault="001D722D" w:rsidP="001D722D">
      <w:pPr>
        <w:pStyle w:val="Paragrafi"/>
      </w:pPr>
    </w:p>
    <w:p w:rsidR="001D722D" w:rsidRDefault="001D722D" w:rsidP="001D722D">
      <w:pPr>
        <w:pStyle w:val="Paragrafi"/>
      </w:pPr>
      <w:r>
        <w:t>KËRKUE</w:t>
      </w:r>
      <w:r w:rsidRPr="00E35CC1">
        <w:t>S:</w:t>
      </w:r>
      <w:r>
        <w:t xml:space="preserve"> </w:t>
      </w:r>
      <w:r w:rsidRPr="00E35CC1">
        <w:t>NURIE NEOTOLEMI (KOCULI), përfaqësuar nga avokat Fatmir Gjika, me prokurë.</w:t>
      </w:r>
    </w:p>
    <w:p w:rsidR="001D722D" w:rsidRPr="00E35CC1" w:rsidRDefault="001D722D" w:rsidP="001D722D">
      <w:pPr>
        <w:pStyle w:val="Paragrafi"/>
      </w:pPr>
      <w:r>
        <w:t>SUBJEKTE TË</w:t>
      </w:r>
      <w:r w:rsidRPr="00E35CC1">
        <w:t xml:space="preserve"> INTERESUARA:</w:t>
      </w:r>
      <w:r w:rsidRPr="00E35CC1">
        <w:tab/>
      </w:r>
    </w:p>
    <w:p w:rsidR="001D722D" w:rsidRPr="00E35CC1" w:rsidRDefault="001D722D" w:rsidP="001D722D">
      <w:pPr>
        <w:pStyle w:val="Paragrafi"/>
      </w:pPr>
      <w:r w:rsidRPr="00E35CC1">
        <w:t>LUAN E ZIJA MALAJ, përfaqësuar nga avokat Vangjel Kosta, me prokurë.</w:t>
      </w:r>
    </w:p>
    <w:p w:rsidR="001D722D" w:rsidRPr="00E35CC1" w:rsidRDefault="001D722D" w:rsidP="001D722D">
      <w:pPr>
        <w:pStyle w:val="Paragrafi"/>
      </w:pPr>
      <w:r w:rsidRPr="00E35CC1">
        <w:t>KASTRIOT MALAJ</w:t>
      </w:r>
    </w:p>
    <w:p w:rsidR="001D722D" w:rsidRPr="00E35CC1" w:rsidRDefault="001D722D" w:rsidP="001D722D">
      <w:pPr>
        <w:pStyle w:val="Paragrafi"/>
      </w:pPr>
      <w:r>
        <w:rPr>
          <w:rFonts w:eastAsia="MS Mincho"/>
        </w:rPr>
        <w:t>SHPË</w:t>
      </w:r>
      <w:r w:rsidRPr="00E35CC1">
        <w:rPr>
          <w:rFonts w:eastAsia="MS Mincho"/>
        </w:rPr>
        <w:t>TIM, EVELINA E BUKURIE KACULI, në mungesë</w:t>
      </w:r>
      <w:r w:rsidRPr="00E35CC1">
        <w:t>.</w:t>
      </w:r>
    </w:p>
    <w:p w:rsidR="001D722D" w:rsidRPr="00E35CC1" w:rsidRDefault="001D722D" w:rsidP="001D722D">
      <w:pPr>
        <w:pStyle w:val="Paragrafi"/>
      </w:pPr>
      <w:r w:rsidRPr="00E35CC1">
        <w:t>KOMISI</w:t>
      </w:r>
      <w:r>
        <w:t>ONI I KTHIMIT DHE KOMPENSIMIT TË PRONAVE, DEGA VLORË</w:t>
      </w:r>
      <w:r w:rsidRPr="00E35CC1">
        <w:t>, në mungesë.</w:t>
      </w:r>
    </w:p>
    <w:p w:rsidR="001D722D" w:rsidRPr="00E35CC1" w:rsidRDefault="001D722D" w:rsidP="001D722D">
      <w:pPr>
        <w:pStyle w:val="Paragrafi"/>
      </w:pPr>
      <w:r>
        <w:t xml:space="preserve">OBJEKTI: </w:t>
      </w:r>
      <w:r w:rsidRPr="00E35CC1">
        <w:t>Shfuqizimi si antikushtetues i vendimit nr.96, datë 21.01.2004 të Kolegjit Civil të Gjykatës së Lartë.</w:t>
      </w:r>
    </w:p>
    <w:p w:rsidR="001D722D" w:rsidRPr="00E35CC1" w:rsidRDefault="001D722D" w:rsidP="001D722D">
      <w:pPr>
        <w:pStyle w:val="Paragrafi"/>
      </w:pPr>
      <w:r w:rsidRPr="006E6DA7">
        <w:rPr>
          <w:b/>
          <w:i/>
        </w:rPr>
        <w:t>Kërkuesja,</w:t>
      </w:r>
      <w:r w:rsidRPr="00E35CC1">
        <w:t xml:space="preserve"> për shfuqizimin si antikushtetues të vendimit të lartpërmendur</w:t>
      </w:r>
      <w:r>
        <w:t>,</w:t>
      </w:r>
      <w:r w:rsidRPr="00E35CC1">
        <w:t xml:space="preserve"> ka parashtruar si shkak mosvënien në dijeni për rekursin drejtuar Gjykatës së Lartë dhe datën e shqyrtimit të tij.</w:t>
      </w:r>
    </w:p>
    <w:p w:rsidR="001D722D" w:rsidRPr="00E35CC1" w:rsidRDefault="001D722D" w:rsidP="001D722D">
      <w:pPr>
        <w:pStyle w:val="Paragrafi"/>
      </w:pPr>
    </w:p>
    <w:p w:rsidR="001D722D" w:rsidRDefault="001D722D" w:rsidP="001D722D">
      <w:pPr>
        <w:pStyle w:val="Institucioni"/>
        <w:keepNext w:val="0"/>
      </w:pPr>
      <w:r w:rsidRPr="00E35CC1">
        <w:t>GJYKATA KUSHTETUESE,</w:t>
      </w:r>
    </w:p>
    <w:p w:rsidR="001D722D" w:rsidRPr="00E35CC1" w:rsidRDefault="001D722D" w:rsidP="001D722D">
      <w:pPr>
        <w:pStyle w:val="Paragrafi"/>
      </w:pPr>
    </w:p>
    <w:p w:rsidR="001D722D" w:rsidRDefault="001D722D" w:rsidP="001D722D">
      <w:pPr>
        <w:pStyle w:val="Paragrafi"/>
      </w:pPr>
      <w:r w:rsidRPr="00E35CC1">
        <w:t>pasi dëgjoi relatoren e çështjes Vjollca Meçaj, përfaqësuesin e kërkueses që u shpreh për pranimin e kërkesës, përfaqësuesit e subjekteve të interesuara</w:t>
      </w:r>
      <w:r>
        <w:t xml:space="preserve"> që kërkuan rrëzimin e kërkesës dhe bisedoi çështjen në tërësi,</w:t>
      </w:r>
    </w:p>
    <w:p w:rsidR="001D722D" w:rsidRPr="00E35CC1" w:rsidRDefault="001D722D" w:rsidP="001D722D">
      <w:pPr>
        <w:pStyle w:val="Paragrafi"/>
        <w:rPr>
          <w:rFonts w:eastAsia="MS Mincho"/>
        </w:rPr>
      </w:pPr>
    </w:p>
    <w:p w:rsidR="001D722D" w:rsidRDefault="001D722D" w:rsidP="001D722D">
      <w:pPr>
        <w:pStyle w:val="VENDOSI"/>
        <w:keepNext w:val="0"/>
      </w:pPr>
      <w:r>
        <w:t>VËRE</w:t>
      </w:r>
      <w:r w:rsidRPr="00E35CC1">
        <w:t>N:</w:t>
      </w:r>
    </w:p>
    <w:p w:rsidR="001D722D" w:rsidRPr="00E35CC1" w:rsidRDefault="001D722D" w:rsidP="001D722D">
      <w:pPr>
        <w:pStyle w:val="Paragrafi"/>
      </w:pPr>
    </w:p>
    <w:p w:rsidR="001D722D" w:rsidRPr="00E35CC1" w:rsidRDefault="001D722D" w:rsidP="001D722D">
      <w:pPr>
        <w:pStyle w:val="Paragrafi"/>
      </w:pPr>
      <w:r w:rsidRPr="00E35CC1">
        <w:t>Gjykata e Rrethit Vlorë, me vendimin nr.980, datë 21.04.1995</w:t>
      </w:r>
      <w:r>
        <w:t>,</w:t>
      </w:r>
      <w:r w:rsidRPr="00E35CC1">
        <w:t xml:space="preserve"> ka vendosur detyrimin e të paditurve </w:t>
      </w:r>
      <w:r>
        <w:t>të njohin bashkëpronarë paditësi</w:t>
      </w:r>
      <w:r w:rsidRPr="00E35CC1">
        <w:t>t mbi dy godina dykatëshe, me përbërje dhomash dhe kufij të përcaktuar saktë në atë vendim, si dhe rrëzimin e padisë përsa i përket ndërtesës së emërtuar “</w:t>
      </w:r>
      <w:smartTag w:uri="urn:schemas-microsoft-com:office:smarttags" w:element="City">
        <w:smartTag w:uri="urn:schemas-microsoft-com:office:smarttags" w:element="place">
          <w:r w:rsidRPr="00E35CC1">
            <w:t>Vila</w:t>
          </w:r>
        </w:smartTag>
      </w:smartTag>
      <w:r w:rsidRPr="00E35CC1">
        <w:t xml:space="preserve"> nr.3”. </w:t>
      </w:r>
    </w:p>
    <w:p w:rsidR="001D722D" w:rsidRDefault="001D722D" w:rsidP="001D722D">
      <w:pPr>
        <w:pStyle w:val="Paragrafi"/>
      </w:pPr>
      <w:r w:rsidRPr="00E35CC1">
        <w:t>Vendim</w:t>
      </w:r>
      <w:r>
        <w:t>i,</w:t>
      </w:r>
      <w:r w:rsidRPr="00E35CC1">
        <w:t xml:space="preserve"> pasi ka marrë fo</w:t>
      </w:r>
      <w:r>
        <w:t>rmë të prerë, është rishqyrtuar</w:t>
      </w:r>
      <w:r w:rsidRPr="00E35CC1">
        <w:t xml:space="preserve"> mbi bazën e kërkesës së të paditurve. Pas rishqyrtimit, Gjykata e Rrethit Gjyqësor Vlorë, me vendimin nr.113, datë 29.01.2002, ka vendosur lënien në fuqi të vendimit nr.980, datë 24.01.1995 të Gjykatës së Rrethit Vlorë. Gjykata e Apelit Vlorë e ka ndryshuar këtë vendim dhe </w:t>
      </w:r>
      <w:r>
        <w:t xml:space="preserve">e </w:t>
      </w:r>
      <w:r w:rsidRPr="00E35CC1">
        <w:t>ka rrëzuar padinë si të pabazuar. Ndërsa Kolegji Civil i Gjykatës së Lartë, me vendimin nr.96, datë 08.01.2004, ka prishur vendimin e Gjykatës së Apelit Vlorë dhe ka lënë në fuqi vendimin nr.113, datë 29.01.2002 të Gjykatës së Rrethit Gjyqësor Vlorë.</w:t>
      </w:r>
    </w:p>
    <w:p w:rsidR="001D722D" w:rsidRDefault="001D722D" w:rsidP="001D722D">
      <w:pPr>
        <w:pStyle w:val="Paragrafi"/>
      </w:pPr>
    </w:p>
    <w:p w:rsidR="001D722D" w:rsidRPr="00E35CC1" w:rsidRDefault="001D722D" w:rsidP="001D722D">
      <w:pPr>
        <w:pStyle w:val="Paragrafi"/>
      </w:pPr>
    </w:p>
    <w:p w:rsidR="001D722D" w:rsidRPr="00E35CC1" w:rsidRDefault="001D722D" w:rsidP="001D722D">
      <w:pPr>
        <w:pStyle w:val="Paragrafi"/>
      </w:pPr>
      <w:r>
        <w:t>Kërkuesja</w:t>
      </w:r>
      <w:r w:rsidRPr="00E35CC1">
        <w:t xml:space="preserve"> Nurie Neotolemi (Koculi), duke iu drejtuar Gjykatës Kushtetuese</w:t>
      </w:r>
      <w:r>
        <w:t>,</w:t>
      </w:r>
      <w:r w:rsidRPr="00E35CC1">
        <w:t xml:space="preserve"> </w:t>
      </w:r>
      <w:r>
        <w:t>ka pretenduar vetëm antikushtet</w:t>
      </w:r>
      <w:r w:rsidRPr="00E35CC1">
        <w:t>ushmërinë e vendimit nr.96, datë 08.01.2004 të Kolegjit Civil të Gjykatës së Lartë. Ajo parashtron se antikushtetutsh</w:t>
      </w:r>
      <w:r>
        <w:t>mëria qëndron në faktin se asaj</w:t>
      </w:r>
      <w:r w:rsidRPr="00E35CC1">
        <w:t xml:space="preserve"> nuk i është komunikuar rekursi i </w:t>
      </w:r>
      <w:r w:rsidRPr="00E35CC1">
        <w:lastRenderedPageBreak/>
        <w:t>paraqitur në gjykatë nga pala paditëse</w:t>
      </w:r>
      <w:r>
        <w:t>,</w:t>
      </w:r>
      <w:r w:rsidRPr="00E35CC1">
        <w:t xml:space="preserve"> si dhe data e shqyrtimit të ti</w:t>
      </w:r>
      <w:r>
        <w:t>j, duke i mohuar në këtë mënyrë</w:t>
      </w:r>
      <w:r w:rsidRPr="00E35CC1">
        <w:t xml:space="preserve"> të drejtën e pjesëmarrjes në një proces gjyqësor ku ishte palë. Ajo pretendon se</w:t>
      </w:r>
      <w:r>
        <w:t>,</w:t>
      </w:r>
      <w:r w:rsidRPr="00E35CC1">
        <w:t xml:space="preserve"> si pasojë, janë shkelur standardet kushtetuese që kanë të bëjnë me procesin e rregullt ligjor, të parashikuar nga neni 42 i Kushtetutës.</w:t>
      </w:r>
    </w:p>
    <w:p w:rsidR="001D722D" w:rsidRPr="00E35CC1" w:rsidRDefault="001D722D" w:rsidP="001D722D">
      <w:pPr>
        <w:pStyle w:val="Paragrafi"/>
      </w:pPr>
      <w:r w:rsidRPr="00E35CC1">
        <w:t>Gjykata Kushtetuese vlerëson se parimi që lidhet me detyrimin e palës për të provuar pretendimet e ngritura gjatë një procesi gjyqësor civil (barra e provës)</w:t>
      </w:r>
      <w:r w:rsidRPr="00841D56">
        <w:rPr>
          <w:vertAlign w:val="superscript"/>
        </w:rPr>
        <w:footnoteReference w:id="1"/>
      </w:r>
      <w:r w:rsidRPr="00E35CC1">
        <w:t xml:space="preserve">, e ndjek palën edhe përpara Gjykatës Kushtetuese, kur ajo parashtron pretendimet e saj lidhur me standardet kushtetuese të gjykimit të zhvilluar nga gjykatat e zakonshme. </w:t>
      </w:r>
    </w:p>
    <w:p w:rsidR="001D722D" w:rsidRPr="00E35CC1" w:rsidRDefault="001D722D" w:rsidP="001D722D">
      <w:pPr>
        <w:pStyle w:val="Paragrafi"/>
      </w:pPr>
      <w:r w:rsidRPr="00E35CC1">
        <w:t>Duke e vlerësuar kërkesën nga kjo pikëpamje, konstatohet se kërkuesja Nurie Neotolemi (Koculi) nuk arriti ta provojë pretendimin e saj gjatë shqyrtimit të çështjes në seancën e zhvilluar në Gjykatën Kushtetuese, ndonëse ligjërisht e mbartëte këtë detyrim. Për pasojë, kjo Gjykatë nuk mundi të vërte</w:t>
      </w:r>
      <w:r>
        <w:t>tojë se kërkuesja nuk kishte pas</w:t>
      </w:r>
      <w:r w:rsidRPr="00E35CC1">
        <w:t>ur dijeni për paraqitjen e rekursit nga pala tjetër kundërshtare, prandaj kërkesa duhet rrëzuar.</w:t>
      </w:r>
    </w:p>
    <w:p w:rsidR="001D722D" w:rsidRDefault="001D722D" w:rsidP="001D722D">
      <w:pPr>
        <w:pStyle w:val="Paragrafi"/>
        <w:ind w:firstLine="0"/>
      </w:pPr>
    </w:p>
    <w:p w:rsidR="001D722D" w:rsidRDefault="001D722D" w:rsidP="001D722D">
      <w:pPr>
        <w:pStyle w:val="VENDOSI"/>
        <w:keepNext w:val="0"/>
      </w:pPr>
      <w:r w:rsidRPr="00E35CC1">
        <w:t>PËR KËTO ARSYE</w:t>
      </w:r>
      <w:r>
        <w:t>,</w:t>
      </w:r>
    </w:p>
    <w:p w:rsidR="001D722D" w:rsidRPr="00E35CC1" w:rsidRDefault="001D722D" w:rsidP="001D722D">
      <w:pPr>
        <w:pStyle w:val="Paragrafi"/>
      </w:pPr>
    </w:p>
    <w:p w:rsidR="001D722D" w:rsidRPr="00E35CC1" w:rsidRDefault="001D722D" w:rsidP="001D722D">
      <w:pPr>
        <w:pStyle w:val="Paragrafi"/>
        <w:rPr>
          <w:rFonts w:eastAsia="MS Mincho"/>
        </w:rPr>
      </w:pPr>
      <w:r w:rsidRPr="00E35CC1">
        <w:t>Gjykata Kushtetuese e Republikës së Shqipërisë, në mbështetje të neneve 72 e 77 të ligjit nr.8577, datë 10.02.2000 “Për organizimin dhe funksionimin e Gjykatës Kushtetuese të Republikës së Shqipërisë”,  me shumicë votash,</w:t>
      </w:r>
    </w:p>
    <w:p w:rsidR="001D722D" w:rsidRPr="00E35CC1" w:rsidRDefault="001D722D" w:rsidP="001D722D">
      <w:pPr>
        <w:pStyle w:val="Paragrafi"/>
      </w:pPr>
    </w:p>
    <w:p w:rsidR="001D722D" w:rsidRDefault="001D722D" w:rsidP="001D722D">
      <w:pPr>
        <w:pStyle w:val="VENDOSI"/>
        <w:keepNext w:val="0"/>
      </w:pPr>
      <w:r>
        <w:t>VENDOS</w:t>
      </w:r>
      <w:r w:rsidRPr="00E35CC1">
        <w:t>I:</w:t>
      </w:r>
    </w:p>
    <w:p w:rsidR="001D722D" w:rsidRPr="00E35CC1" w:rsidRDefault="001D722D" w:rsidP="001D722D">
      <w:pPr>
        <w:pStyle w:val="Paragrafi"/>
      </w:pPr>
    </w:p>
    <w:p w:rsidR="001D722D" w:rsidRPr="00E35CC1" w:rsidRDefault="001D722D" w:rsidP="001D722D">
      <w:pPr>
        <w:pStyle w:val="Paragrafi"/>
      </w:pPr>
      <w:r w:rsidRPr="00E35CC1">
        <w:t>- Rrëzimin e kërkesës.</w:t>
      </w:r>
    </w:p>
    <w:p w:rsidR="001D722D" w:rsidRPr="00E35CC1" w:rsidRDefault="001D722D" w:rsidP="001D722D">
      <w:pPr>
        <w:pStyle w:val="Paragrafi"/>
      </w:pPr>
      <w:r w:rsidRPr="00E35CC1">
        <w:t>- Ky vendim është përfundimtar, i formës së prerë dhe hyn në fuqi me botimin në Fletoren Zyrtare.</w:t>
      </w:r>
    </w:p>
    <w:p w:rsidR="001D722D" w:rsidRPr="00E35CC1" w:rsidRDefault="001D722D" w:rsidP="001D722D">
      <w:pPr>
        <w:pStyle w:val="Paragrafi"/>
      </w:pPr>
    </w:p>
    <w:p w:rsidR="001D722D" w:rsidRPr="00E35CC1" w:rsidRDefault="001D722D" w:rsidP="001D722D">
      <w:pPr>
        <w:pStyle w:val="Paragrafi"/>
      </w:pPr>
    </w:p>
    <w:p w:rsidR="001D722D" w:rsidRPr="0003729B" w:rsidRDefault="001D722D" w:rsidP="001D722D">
      <w:pPr>
        <w:pStyle w:val="TitulliTitull"/>
        <w:keepNext w:val="0"/>
      </w:pPr>
      <w:r>
        <w:t>MENDIMI I PAKICË</w:t>
      </w:r>
      <w:r w:rsidRPr="0003729B">
        <w:t>S</w:t>
      </w:r>
    </w:p>
    <w:p w:rsidR="001D722D" w:rsidRPr="0003729B" w:rsidRDefault="001D722D" w:rsidP="001D722D">
      <w:pPr>
        <w:pStyle w:val="Paragrafi"/>
      </w:pPr>
    </w:p>
    <w:p w:rsidR="001D722D" w:rsidRPr="0003729B" w:rsidRDefault="001D722D" w:rsidP="001D722D">
      <w:pPr>
        <w:pStyle w:val="Paragrafi"/>
      </w:pPr>
      <w:r w:rsidRPr="0003729B">
        <w:t>Jam kundër mendimit të shumicës që ka vendosur rrëzimin e kërkesës së kërkueses.</w:t>
      </w:r>
    </w:p>
    <w:p w:rsidR="001D722D" w:rsidRPr="0003729B" w:rsidRDefault="001D722D" w:rsidP="001D722D">
      <w:pPr>
        <w:pStyle w:val="Paragrafi"/>
      </w:pPr>
      <w:r w:rsidRPr="0003729B">
        <w:t>Kërkuesja Nurie Neotolemi (Koculi) në kërkesën drejtuar Gjykatës Kushtetuese dhe në seancë ka pretenduar se i është mohuar e drejta e mbrojtjes pranë Gjyka</w:t>
      </w:r>
      <w:r>
        <w:t>tës së Lartë, nuk ka pas</w:t>
      </w:r>
      <w:r w:rsidRPr="0003729B">
        <w:t>ur dijeni për datën e shqyrtimit të çështjes, sepse nuk i është komunikuar rekursi i ushtruar nga subjektet e interesuara para Gjykatës së Lartë. Këtë pretendim e ka lidhur me faktin se nuk ka marrë kopjen e rekursit dhe as dijeni p</w:t>
      </w:r>
      <w:r>
        <w:t>ër të, prandaj nuk ka pas</w:t>
      </w:r>
      <w:r w:rsidRPr="0003729B">
        <w:t>ur mundësi për të ndjekur gjykimin e çështjes pranë Gjykatës së Lartë.</w:t>
      </w:r>
    </w:p>
    <w:p w:rsidR="001D722D" w:rsidRPr="0003729B" w:rsidRDefault="001D722D" w:rsidP="001D722D">
      <w:pPr>
        <w:pStyle w:val="Paragrafi"/>
      </w:pPr>
      <w:r w:rsidRPr="0003729B">
        <w:t xml:space="preserve">Rekursi është ushtruar nga pala që nuk ka </w:t>
      </w:r>
      <w:r>
        <w:t>fituar gjatë gjykimit dhe ka pas</w:t>
      </w:r>
      <w:r w:rsidRPr="0003729B">
        <w:t>ur interesa të kundërta me kërkuesen.</w:t>
      </w:r>
    </w:p>
    <w:p w:rsidR="001D722D" w:rsidRPr="0003729B" w:rsidRDefault="001D722D" w:rsidP="001D722D">
      <w:pPr>
        <w:pStyle w:val="Paragrafi"/>
      </w:pPr>
      <w:r w:rsidRPr="0003729B">
        <w:t>Sipas dispozitave të Kodit të Procedurës Civile, njoftimi i rekur</w:t>
      </w:r>
      <w:r>
        <w:t>sit të bërë kundër vendimit të G</w:t>
      </w:r>
      <w:r w:rsidRPr="0003729B">
        <w:t>jykatës së shkallës së parë dhe të apelit është detyrim ligjor i gjykatës. Neni 472 i Kodit të Procedurës Civile, që e njeh rekursin si mjet ankimi, nënkupton detyrimin e gjykatës për të zbatuar urdhërimet e nenit 447 të saj, sipas të cilit, ankimi u njoftohet palëve sipas rregullave të parashikuara në nenet 130 e 130 të këtij Kodi. Këto të fundit, përcaktojnë rregullat rigoroze që e detyrojnë gjykatën për të përmbushur këtë detyrim ligjor duke ia dorëzuar një kopje të tij personit që përcaktohet si marrës ose duke e bërë atë në vendbanimin ose në vendqëndrimin e tij. Për çështjen në shqyrtim, gjykata nuk e ka përmbushur këtë detyim ligjor që është i lidhur me një standard kushtetues, me të drejtën e mbrojtjes. Kjo shkelje e ligjit ka ndikuar në prekjen e të drejtave të palëve që s’kanë qenë të pranishëm, sepse nuk u është dhënë mundësia që të realizojnë këtë të drejtë.</w:t>
      </w:r>
    </w:p>
    <w:p w:rsidR="001D722D" w:rsidRPr="0003729B" w:rsidRDefault="001D722D" w:rsidP="001D722D">
      <w:pPr>
        <w:pStyle w:val="Paragrafi"/>
      </w:pPr>
      <w:r w:rsidRPr="0003729B">
        <w:t>Gjatë gjykimit të çështjes është provuar se kërkueses nuk i është komunikuar rekursi i paraqitur para Gjykatës së Lartë e, si r</w:t>
      </w:r>
      <w:r>
        <w:t>rjedhojë e kësaj, ajo nuk ka pas</w:t>
      </w:r>
      <w:r w:rsidRPr="0003729B">
        <w:t>ur dijeni për datën e gjyk</w:t>
      </w:r>
      <w:r>
        <w:t>imit të çështjes e as nuk ka pas</w:t>
      </w:r>
      <w:r w:rsidRPr="0003729B">
        <w:t xml:space="preserve">ur mundësi të mbrohet. Veç kësaj, gjykimi i çështjes në atë gjykatë është zhvilluar në mungesë të kërkueses pa u verifikuar nëse kërkuesja ka marrë kopjen e rekursit të </w:t>
      </w:r>
      <w:r w:rsidRPr="0003729B">
        <w:lastRenderedPageBreak/>
        <w:t>paraqitur nga subjekti i interesuar.</w:t>
      </w:r>
    </w:p>
    <w:p w:rsidR="001D722D" w:rsidRPr="0003729B" w:rsidRDefault="001D722D" w:rsidP="001D722D">
      <w:pPr>
        <w:pStyle w:val="Paragrafi"/>
      </w:pPr>
      <w:r w:rsidRPr="0003729B">
        <w:t>Pavarësisht nga sa ka rezultuar, shumica ka rrëzuar kërkesën e saj duke arsyetuar se ajo nuk ka vërtetuar pretendimin e saj kryesor që lidhet me moskomunikimin e rekursit. Ky qëndrim mendoj se është i gabuar. Në rastin konkre</w:t>
      </w:r>
      <w:r>
        <w:t>t, në aktet gjyqësore nuk ka pas</w:t>
      </w:r>
      <w:r w:rsidRPr="0003729B">
        <w:t>ur asnjë provë që të vërtetonte të kundërtën e asaj që ka pretenduar ajo. Sipas kërkesave të ligjit dhe praktikës gjyqësore, prova që vërteton nëse është komunikuar ankimi është njoftimi që bën gjykata, një kopje e të cilit bashkëngjitet në aktet gjyqësore. Ky akt mungon dhe veç kësaj me asnjë provë tjetër nuk është provuar e kundërta e këtij pretendimi.</w:t>
      </w:r>
    </w:p>
    <w:p w:rsidR="001D722D" w:rsidRPr="0003729B" w:rsidRDefault="001D722D" w:rsidP="001D722D">
      <w:pPr>
        <w:pStyle w:val="Paragrafi"/>
      </w:pPr>
      <w:r w:rsidRPr="0003729B">
        <w:t>Për këtë problem, Gjykata Kushtetuese ka krijuar një praktikë të konsoliduar, dhe ka pranuar se mosnjoftimi i rekursit dhe si rrjedhojë e tij, mospasja dijeni për gjykimin në Gjykatën e Lartë e mosrealizimi i mbrojtjes për këtë shkak, e bëjnë procesin gjyqësor të parregullt në aspektin kushtetues. Arsyetimi i shumicës që rrëzon kërkesën e kërkueses duke iu referuar nenit 12 të Kodit të Procedurës Civile më duket i gabuar. Përmbajtja e kësaj dispozite ka të bëjë me barën e provës si një detyrim për palën që pretendon një të drejtë në lidhje me thelbin e kërkesës që kërkon gjatë gjykimit e si e tillë ajo nuk ka asnjë analogji me detyrimet ligjore që ka gjykata për të zhvilluar një proces të rregullt për të cilin duhet të përmbushë shumë detyrime ligjore.</w:t>
      </w:r>
    </w:p>
    <w:p w:rsidR="001D722D" w:rsidRDefault="001D722D" w:rsidP="001D722D">
      <w:pPr>
        <w:pStyle w:val="Paragrafi"/>
      </w:pPr>
      <w:r w:rsidRPr="0003729B">
        <w:t>Në këto rrethana, Gjykata Kushtetuese duhej të pranonte kërkesën dhe të shpallte si të papajtu</w:t>
      </w:r>
      <w:r>
        <w:t>e</w:t>
      </w:r>
      <w:r w:rsidRPr="0003729B">
        <w:t>shëm me Kushtetutën vendimin që është bërë objekt kontrolli.</w:t>
      </w:r>
    </w:p>
    <w:p w:rsidR="001D722D" w:rsidRPr="0003729B" w:rsidRDefault="001D722D" w:rsidP="001D722D">
      <w:pPr>
        <w:pStyle w:val="Paragrafi"/>
      </w:pPr>
    </w:p>
    <w:p w:rsidR="001D722D" w:rsidRDefault="001D722D" w:rsidP="001D722D">
      <w:pPr>
        <w:pStyle w:val="Autoriteti"/>
        <w:keepNext w:val="0"/>
      </w:pPr>
      <w:r>
        <w:t>ANËTA</w:t>
      </w:r>
      <w:r w:rsidRPr="0003729B">
        <w:t>R</w:t>
      </w:r>
    </w:p>
    <w:p w:rsidR="001D722D" w:rsidRPr="0003729B" w:rsidRDefault="001D722D" w:rsidP="001D722D">
      <w:pPr>
        <w:pStyle w:val="AutoritetiEmer"/>
      </w:pPr>
      <w:r>
        <w:t>F. Abdiu</w:t>
      </w:r>
    </w:p>
    <w:p w:rsidR="001D722D" w:rsidRDefault="001D722D" w:rsidP="001D722D">
      <w:pPr>
        <w:pStyle w:val="Paragrafi"/>
        <w:rPr>
          <w:lang w:val="it-IT"/>
        </w:rPr>
      </w:pPr>
    </w:p>
    <w:p w:rsidR="001D722D" w:rsidRDefault="001D722D" w:rsidP="001D722D">
      <w:pPr>
        <w:pStyle w:val="Paragrafi"/>
        <w:rPr>
          <w:lang w:val="it-IT"/>
        </w:rPr>
      </w:pPr>
    </w:p>
    <w:p w:rsidR="001D722D" w:rsidRDefault="001D722D" w:rsidP="001D722D">
      <w:pPr>
        <w:pStyle w:val="Paragrafi"/>
      </w:pPr>
    </w:p>
    <w:p w:rsidR="001D722D" w:rsidRDefault="001D722D" w:rsidP="001D722D">
      <w:pPr>
        <w:pStyle w:val="Paragrafi"/>
      </w:pPr>
    </w:p>
    <w:p w:rsidR="001D722D" w:rsidRDefault="001D722D" w:rsidP="001D722D">
      <w:pPr>
        <w:pStyle w:val="Paragrafi"/>
      </w:pPr>
    </w:p>
    <w:p w:rsidR="001D722D" w:rsidRDefault="001D722D" w:rsidP="001D722D">
      <w:pPr>
        <w:pStyle w:val="Paragrafi"/>
      </w:pPr>
    </w:p>
    <w:p w:rsidR="001D722D" w:rsidRDefault="001D722D" w:rsidP="001D722D">
      <w:pPr>
        <w:pStyle w:val="Paragrafi"/>
      </w:pPr>
    </w:p>
    <w:p w:rsidR="001D722D" w:rsidRDefault="001D722D" w:rsidP="001D722D">
      <w:pPr>
        <w:pStyle w:val="Paragrafi"/>
      </w:pPr>
    </w:p>
    <w:p w:rsidR="001D722D" w:rsidRDefault="001D722D" w:rsidP="001D722D">
      <w:pPr>
        <w:pStyle w:val="Figure"/>
      </w:pPr>
    </w:p>
    <w:p w:rsidR="001D722D" w:rsidRPr="003E17C0" w:rsidRDefault="001D722D" w:rsidP="001D722D">
      <w:pPr>
        <w:pStyle w:val="Paragrafi"/>
        <w:rPr>
          <w:lang w:val="it-IT"/>
        </w:rPr>
      </w:pPr>
    </w:p>
    <w:p w:rsidR="001D722D" w:rsidRPr="00EE7208" w:rsidRDefault="001D722D" w:rsidP="001D722D">
      <w:pPr>
        <w:pStyle w:val="Paragrafi"/>
      </w:pPr>
    </w:p>
    <w:p w:rsidR="001D722D" w:rsidRPr="00EE7208" w:rsidRDefault="001D722D" w:rsidP="001D722D">
      <w:pPr>
        <w:pStyle w:val="Paragrafi"/>
      </w:pPr>
    </w:p>
    <w:p w:rsidR="001D722D" w:rsidRPr="00853FA6" w:rsidRDefault="001D722D" w:rsidP="001D722D">
      <w:pPr>
        <w:pStyle w:val="Paragrafi"/>
      </w:pPr>
    </w:p>
    <w:p w:rsidR="001D722D" w:rsidRPr="00853FA6" w:rsidRDefault="001D722D" w:rsidP="001D722D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1D722D">
      <w:footerReference w:type="even" r:id="rId6"/>
      <w:footerReference w:type="default" r:id="rId7"/>
      <w:pgSz w:w="11899" w:h="16838" w:code="9"/>
      <w:pgMar w:top="1418" w:right="1418" w:bottom="1418" w:left="1418" w:header="1304" w:footer="1134" w:gutter="0"/>
      <w:pgNumType w:start="1627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7212F">
      <w:r>
        <w:separator/>
      </w:r>
    </w:p>
  </w:endnote>
  <w:endnote w:type="continuationSeparator" w:id="0">
    <w:p w:rsidR="00000000" w:rsidRDefault="00072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22D" w:rsidRDefault="001D722D" w:rsidP="001D722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D722D" w:rsidRDefault="001D722D" w:rsidP="001D722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22D" w:rsidRPr="00E73FB1" w:rsidRDefault="001D722D" w:rsidP="001D722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73FB1">
      <w:rPr>
        <w:rStyle w:val="PageNumber"/>
        <w:rFonts w:ascii="CG Times" w:hAnsi="CG Times"/>
        <w:sz w:val="22"/>
        <w:szCs w:val="22"/>
      </w:rPr>
      <w:fldChar w:fldCharType="begin"/>
    </w:r>
    <w:r w:rsidRPr="00E73FB1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73FB1">
      <w:rPr>
        <w:rStyle w:val="PageNumber"/>
        <w:rFonts w:ascii="CG Times" w:hAnsi="CG Times"/>
        <w:sz w:val="22"/>
        <w:szCs w:val="22"/>
      </w:rPr>
      <w:fldChar w:fldCharType="separate"/>
    </w:r>
    <w:r w:rsidR="0007212F">
      <w:rPr>
        <w:rStyle w:val="PageNumber"/>
        <w:rFonts w:ascii="CG Times" w:hAnsi="CG Times"/>
        <w:noProof/>
        <w:sz w:val="22"/>
        <w:szCs w:val="22"/>
      </w:rPr>
      <w:t>1629</w:t>
    </w:r>
    <w:r w:rsidRPr="00E73FB1">
      <w:rPr>
        <w:rStyle w:val="PageNumber"/>
        <w:rFonts w:ascii="CG Times" w:hAnsi="CG Times"/>
        <w:sz w:val="22"/>
        <w:szCs w:val="22"/>
      </w:rPr>
      <w:fldChar w:fldCharType="end"/>
    </w:r>
  </w:p>
  <w:p w:rsidR="001D722D" w:rsidRDefault="001D722D" w:rsidP="001D722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7212F">
      <w:r>
        <w:separator/>
      </w:r>
    </w:p>
  </w:footnote>
  <w:footnote w:type="continuationSeparator" w:id="0">
    <w:p w:rsidR="00000000" w:rsidRDefault="0007212F">
      <w:r>
        <w:continuationSeparator/>
      </w:r>
    </w:p>
  </w:footnote>
  <w:footnote w:id="1">
    <w:p w:rsidR="001D722D" w:rsidRDefault="001D722D" w:rsidP="001D722D">
      <w:pPr>
        <w:pStyle w:val="FootnoteText"/>
      </w:pPr>
      <w:r>
        <w:rPr>
          <w:rStyle w:val="FootnoteReference"/>
        </w:rPr>
        <w:footnoteRef/>
      </w:r>
      <w:r>
        <w:t xml:space="preserve"> Neni 12 i Kodit të Procedurës Civile “Pala që pretendon një të drejtë, ka detyrim që, në përputhje me ligjin, të provojë faktet mbi të cilat bazon pretendimin e saj”.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212F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22D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BBEB76-5C21-48F9-A302-069E6034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22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1D722D"/>
  </w:style>
  <w:style w:type="paragraph" w:styleId="Footer">
    <w:name w:val="footer"/>
    <w:basedOn w:val="Normal"/>
    <w:rsid w:val="001D722D"/>
    <w:pPr>
      <w:tabs>
        <w:tab w:val="center" w:pos="4320"/>
        <w:tab w:val="right" w:pos="8640"/>
      </w:tabs>
    </w:pPr>
  </w:style>
  <w:style w:type="character" w:customStyle="1" w:styleId="ParagrafiChar">
    <w:name w:val="Paragrafi Char"/>
    <w:basedOn w:val="DefaultParagraphFont"/>
    <w:link w:val="Paragrafi"/>
    <w:rsid w:val="001D722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D722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D722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1D722D"/>
    <w:rPr>
      <w:rFonts w:ascii="CG Times" w:hAnsi="CG Times"/>
      <w:caps/>
      <w:sz w:val="22"/>
      <w:szCs w:val="22"/>
      <w:lang w:val="en-GB" w:eastAsia="en-US" w:bidi="ar-SA"/>
    </w:rPr>
  </w:style>
  <w:style w:type="character" w:styleId="FootnoteReference">
    <w:name w:val="footnote reference"/>
    <w:basedOn w:val="DefaultParagraphFont"/>
    <w:semiHidden/>
    <w:rsid w:val="001D722D"/>
    <w:rPr>
      <w:vertAlign w:val="superscript"/>
    </w:rPr>
  </w:style>
  <w:style w:type="paragraph" w:styleId="FootnoteText">
    <w:name w:val="footnote text"/>
    <w:basedOn w:val="Normal"/>
    <w:semiHidden/>
    <w:rsid w:val="001D722D"/>
    <w:pPr>
      <w:widowControl w:val="0"/>
    </w:pPr>
    <w:rPr>
      <w:rFonts w:ascii="CG Times" w:hAnsi="CG Times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