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3C3" w:rsidRPr="007655C2" w:rsidRDefault="00F363C3" w:rsidP="00F363C3">
      <w:pPr>
        <w:pStyle w:val="Akti"/>
        <w:rPr>
          <w:sz w:val="21"/>
          <w:szCs w:val="21"/>
          <w:lang w:val="it-IT"/>
        </w:rPr>
      </w:pPr>
      <w:bookmarkStart w:id="0" w:name="_GoBack"/>
      <w:bookmarkEnd w:id="0"/>
      <w:r w:rsidRPr="007655C2">
        <w:rPr>
          <w:sz w:val="21"/>
          <w:szCs w:val="21"/>
          <w:lang w:val="it-IT"/>
        </w:rPr>
        <w:t>VENDIM</w:t>
      </w:r>
    </w:p>
    <w:p w:rsidR="00F363C3" w:rsidRPr="007655C2" w:rsidRDefault="00F363C3" w:rsidP="00F363C3">
      <w:pPr>
        <w:pStyle w:val="NumriData"/>
        <w:rPr>
          <w:sz w:val="21"/>
          <w:szCs w:val="21"/>
          <w:lang w:val="it-IT"/>
        </w:rPr>
      </w:pPr>
      <w:r w:rsidRPr="007655C2">
        <w:rPr>
          <w:sz w:val="21"/>
          <w:szCs w:val="21"/>
          <w:lang w:val="it-IT"/>
        </w:rPr>
        <w:t>Nr.30, datë 28.12.2006</w:t>
      </w:r>
    </w:p>
    <w:p w:rsidR="00F363C3" w:rsidRPr="007655C2" w:rsidRDefault="00F363C3" w:rsidP="00F363C3">
      <w:pPr>
        <w:pStyle w:val="Paragrafi"/>
        <w:jc w:val="center"/>
        <w:rPr>
          <w:sz w:val="21"/>
          <w:szCs w:val="21"/>
          <w:lang w:val="it-IT"/>
        </w:rPr>
      </w:pPr>
    </w:p>
    <w:p w:rsidR="00F363C3" w:rsidRPr="00940AAB" w:rsidRDefault="00F363C3" w:rsidP="00F363C3">
      <w:pPr>
        <w:pStyle w:val="Titulli"/>
        <w:rPr>
          <w:b w:val="0"/>
        </w:rPr>
      </w:pPr>
      <w:r w:rsidRPr="00940AAB">
        <w:rPr>
          <w:b w:val="0"/>
        </w:rPr>
        <w:t>NË EMËR TË REPUBLIKËS SË SHQIPËRISË</w:t>
      </w:r>
    </w:p>
    <w:p w:rsidR="00F363C3" w:rsidRPr="003B150B" w:rsidRDefault="00F363C3" w:rsidP="00F363C3">
      <w:pPr>
        <w:pStyle w:val="Paragrafi"/>
        <w:jc w:val="center"/>
        <w:rPr>
          <w:sz w:val="21"/>
          <w:szCs w:val="21"/>
        </w:rPr>
      </w:pPr>
    </w:p>
    <w:p w:rsidR="00F363C3" w:rsidRPr="003B150B" w:rsidRDefault="00F363C3" w:rsidP="00F363C3">
      <w:pPr>
        <w:pStyle w:val="Paragrafi"/>
        <w:rPr>
          <w:sz w:val="21"/>
          <w:szCs w:val="21"/>
        </w:rPr>
      </w:pPr>
      <w:r w:rsidRPr="003B150B">
        <w:rPr>
          <w:sz w:val="21"/>
          <w:szCs w:val="21"/>
        </w:rPr>
        <w:t>Gjykata Kushtetuese e Republikës së Shqipërisë, e përbërë nga:</w:t>
      </w:r>
    </w:p>
    <w:p w:rsidR="00F363C3" w:rsidRPr="003B150B" w:rsidRDefault="00F363C3" w:rsidP="00F363C3">
      <w:pPr>
        <w:pStyle w:val="Paragrafi"/>
        <w:rPr>
          <w:sz w:val="21"/>
          <w:szCs w:val="21"/>
        </w:rPr>
      </w:pPr>
    </w:p>
    <w:p w:rsidR="00F363C3" w:rsidRPr="003B150B" w:rsidRDefault="00F363C3" w:rsidP="00F363C3">
      <w:pPr>
        <w:pStyle w:val="Paragrafi"/>
        <w:rPr>
          <w:sz w:val="21"/>
          <w:szCs w:val="21"/>
        </w:rPr>
      </w:pPr>
      <w:r w:rsidRPr="003B150B">
        <w:rPr>
          <w:sz w:val="21"/>
          <w:szCs w:val="21"/>
        </w:rPr>
        <w:t>Gjergj Sauli</w:t>
      </w:r>
      <w:r w:rsidRPr="003B150B">
        <w:rPr>
          <w:sz w:val="21"/>
          <w:szCs w:val="21"/>
        </w:rPr>
        <w:tab/>
      </w:r>
      <w:r w:rsidRPr="003B150B">
        <w:rPr>
          <w:sz w:val="21"/>
          <w:szCs w:val="21"/>
        </w:rPr>
        <w:tab/>
        <w:t xml:space="preserve">Kryetar  i  Gjykatës Kushtetuese </w:t>
      </w:r>
    </w:p>
    <w:p w:rsidR="00F363C3" w:rsidRPr="003B150B" w:rsidRDefault="00F363C3" w:rsidP="00F363C3">
      <w:pPr>
        <w:pStyle w:val="Paragrafi"/>
        <w:rPr>
          <w:sz w:val="21"/>
          <w:szCs w:val="21"/>
          <w:lang w:val="it-IT"/>
        </w:rPr>
      </w:pPr>
      <w:r w:rsidRPr="003B150B">
        <w:rPr>
          <w:sz w:val="21"/>
          <w:szCs w:val="21"/>
          <w:lang w:val="it-IT"/>
        </w:rPr>
        <w:t>Alfred Karamuço</w:t>
      </w:r>
      <w:r w:rsidRPr="003B150B">
        <w:rPr>
          <w:sz w:val="21"/>
          <w:szCs w:val="21"/>
          <w:lang w:val="it-IT"/>
        </w:rPr>
        <w:tab/>
        <w:t>Anëtar   i</w:t>
      </w:r>
      <w:r w:rsidRPr="003B150B">
        <w:rPr>
          <w:sz w:val="21"/>
          <w:szCs w:val="21"/>
          <w:lang w:val="it-IT"/>
        </w:rPr>
        <w:tab/>
        <w:t>“</w:t>
      </w:r>
      <w:r w:rsidRPr="003B150B">
        <w:rPr>
          <w:sz w:val="21"/>
          <w:szCs w:val="21"/>
          <w:lang w:val="it-IT"/>
        </w:rPr>
        <w:tab/>
        <w:t xml:space="preserve">“   </w:t>
      </w:r>
    </w:p>
    <w:p w:rsidR="00F363C3" w:rsidRPr="003B150B" w:rsidRDefault="00F363C3" w:rsidP="00F363C3">
      <w:pPr>
        <w:pStyle w:val="Paragrafi"/>
        <w:rPr>
          <w:sz w:val="21"/>
          <w:szCs w:val="21"/>
          <w:lang w:val="it-IT"/>
        </w:rPr>
      </w:pPr>
      <w:r w:rsidRPr="003B150B">
        <w:rPr>
          <w:sz w:val="21"/>
          <w:szCs w:val="21"/>
          <w:lang w:val="it-IT"/>
        </w:rPr>
        <w:t>Fehmi Abdiu</w:t>
      </w:r>
      <w:r w:rsidRPr="003B150B">
        <w:rPr>
          <w:sz w:val="21"/>
          <w:szCs w:val="21"/>
          <w:lang w:val="it-IT"/>
        </w:rPr>
        <w:tab/>
      </w:r>
      <w:r w:rsidRPr="003B150B">
        <w:rPr>
          <w:sz w:val="21"/>
          <w:szCs w:val="21"/>
          <w:lang w:val="it-IT"/>
        </w:rPr>
        <w:tab/>
        <w:t>Anëtar   i</w:t>
      </w:r>
      <w:r w:rsidRPr="003B150B">
        <w:rPr>
          <w:sz w:val="21"/>
          <w:szCs w:val="21"/>
          <w:lang w:val="it-IT"/>
        </w:rPr>
        <w:tab/>
        <w:t>“</w:t>
      </w:r>
      <w:r w:rsidRPr="003B150B">
        <w:rPr>
          <w:sz w:val="21"/>
          <w:szCs w:val="21"/>
          <w:lang w:val="it-IT"/>
        </w:rPr>
        <w:tab/>
        <w:t>“</w:t>
      </w:r>
    </w:p>
    <w:p w:rsidR="00F363C3" w:rsidRPr="003B150B" w:rsidRDefault="00F363C3" w:rsidP="00F363C3">
      <w:pPr>
        <w:pStyle w:val="Paragrafi"/>
        <w:rPr>
          <w:sz w:val="21"/>
          <w:szCs w:val="21"/>
          <w:lang w:val="it-IT"/>
        </w:rPr>
      </w:pPr>
      <w:r w:rsidRPr="003B150B">
        <w:rPr>
          <w:sz w:val="21"/>
          <w:szCs w:val="21"/>
          <w:lang w:val="it-IT"/>
        </w:rPr>
        <w:t>Kristofor Peçi</w:t>
      </w:r>
      <w:r w:rsidRPr="003B150B">
        <w:rPr>
          <w:sz w:val="21"/>
          <w:szCs w:val="21"/>
          <w:lang w:val="it-IT"/>
        </w:rPr>
        <w:tab/>
      </w:r>
      <w:r w:rsidRPr="003B150B">
        <w:rPr>
          <w:sz w:val="21"/>
          <w:szCs w:val="21"/>
          <w:lang w:val="it-IT"/>
        </w:rPr>
        <w:tab/>
        <w:t>Anëtar   i</w:t>
      </w:r>
      <w:r w:rsidRPr="003B150B">
        <w:rPr>
          <w:sz w:val="21"/>
          <w:szCs w:val="21"/>
          <w:lang w:val="it-IT"/>
        </w:rPr>
        <w:tab/>
        <w:t>“</w:t>
      </w:r>
      <w:r w:rsidRPr="003B150B">
        <w:rPr>
          <w:sz w:val="21"/>
          <w:szCs w:val="21"/>
          <w:lang w:val="it-IT"/>
        </w:rPr>
        <w:tab/>
        <w:t>“</w:t>
      </w:r>
    </w:p>
    <w:p w:rsidR="00F363C3" w:rsidRPr="003B150B" w:rsidRDefault="00F363C3" w:rsidP="00F363C3">
      <w:pPr>
        <w:pStyle w:val="Paragrafi"/>
        <w:rPr>
          <w:sz w:val="21"/>
          <w:szCs w:val="21"/>
          <w:lang w:val="it-IT"/>
        </w:rPr>
      </w:pPr>
      <w:r w:rsidRPr="003B150B">
        <w:rPr>
          <w:sz w:val="21"/>
          <w:szCs w:val="21"/>
          <w:lang w:val="it-IT"/>
        </w:rPr>
        <w:t>Kujtim Puto</w:t>
      </w:r>
      <w:r w:rsidRPr="003B150B">
        <w:rPr>
          <w:sz w:val="21"/>
          <w:szCs w:val="21"/>
          <w:lang w:val="it-IT"/>
        </w:rPr>
        <w:tab/>
      </w:r>
      <w:r w:rsidRPr="003B150B">
        <w:rPr>
          <w:sz w:val="21"/>
          <w:szCs w:val="21"/>
          <w:lang w:val="it-IT"/>
        </w:rPr>
        <w:tab/>
        <w:t>Anëtar   i</w:t>
      </w:r>
      <w:r w:rsidRPr="003B150B">
        <w:rPr>
          <w:sz w:val="21"/>
          <w:szCs w:val="21"/>
          <w:lang w:val="it-IT"/>
        </w:rPr>
        <w:tab/>
        <w:t>“</w:t>
      </w:r>
      <w:r w:rsidRPr="003B150B">
        <w:rPr>
          <w:sz w:val="21"/>
          <w:szCs w:val="21"/>
          <w:lang w:val="it-IT"/>
        </w:rPr>
        <w:tab/>
        <w:t>“</w:t>
      </w:r>
    </w:p>
    <w:p w:rsidR="00F363C3" w:rsidRPr="003B150B" w:rsidRDefault="00F363C3" w:rsidP="00F363C3">
      <w:pPr>
        <w:pStyle w:val="Paragrafi"/>
        <w:rPr>
          <w:sz w:val="21"/>
          <w:szCs w:val="21"/>
          <w:lang w:val="it-IT"/>
        </w:rPr>
      </w:pPr>
      <w:r w:rsidRPr="003B150B">
        <w:rPr>
          <w:sz w:val="21"/>
          <w:szCs w:val="21"/>
          <w:lang w:val="it-IT"/>
        </w:rPr>
        <w:t>Xhezair Zaganjori</w:t>
      </w:r>
      <w:r w:rsidRPr="003B150B">
        <w:rPr>
          <w:sz w:val="21"/>
          <w:szCs w:val="21"/>
          <w:lang w:val="it-IT"/>
        </w:rPr>
        <w:tab/>
        <w:t>Anëtar   i</w:t>
      </w:r>
      <w:r w:rsidRPr="003B150B">
        <w:rPr>
          <w:sz w:val="21"/>
          <w:szCs w:val="21"/>
          <w:lang w:val="it-IT"/>
        </w:rPr>
        <w:tab/>
        <w:t>“</w:t>
      </w:r>
      <w:r w:rsidRPr="003B150B">
        <w:rPr>
          <w:sz w:val="21"/>
          <w:szCs w:val="21"/>
          <w:lang w:val="it-IT"/>
        </w:rPr>
        <w:tab/>
        <w:t xml:space="preserve">“  </w:t>
      </w:r>
    </w:p>
    <w:p w:rsidR="00F363C3" w:rsidRPr="003B150B" w:rsidRDefault="00F363C3" w:rsidP="00F363C3">
      <w:pPr>
        <w:pStyle w:val="Paragrafi"/>
        <w:rPr>
          <w:sz w:val="21"/>
          <w:szCs w:val="21"/>
          <w:lang w:val="it-IT"/>
        </w:rPr>
      </w:pPr>
      <w:r w:rsidRPr="003B150B">
        <w:rPr>
          <w:sz w:val="21"/>
          <w:szCs w:val="21"/>
          <w:lang w:val="it-IT"/>
        </w:rPr>
        <w:t>Petrit Plloçi</w:t>
      </w:r>
      <w:r w:rsidRPr="003B150B">
        <w:rPr>
          <w:sz w:val="21"/>
          <w:szCs w:val="21"/>
          <w:lang w:val="it-IT"/>
        </w:rPr>
        <w:tab/>
      </w:r>
      <w:r w:rsidRPr="003B150B">
        <w:rPr>
          <w:sz w:val="21"/>
          <w:szCs w:val="21"/>
          <w:lang w:val="it-IT"/>
        </w:rPr>
        <w:tab/>
        <w:t>Anëtar   i</w:t>
      </w:r>
      <w:r w:rsidRPr="003B150B">
        <w:rPr>
          <w:sz w:val="21"/>
          <w:szCs w:val="21"/>
          <w:lang w:val="it-IT"/>
        </w:rPr>
        <w:tab/>
        <w:t>“</w:t>
      </w:r>
      <w:r w:rsidRPr="003B150B">
        <w:rPr>
          <w:sz w:val="21"/>
          <w:szCs w:val="21"/>
          <w:lang w:val="it-IT"/>
        </w:rPr>
        <w:tab/>
        <w:t xml:space="preserve">“  </w:t>
      </w:r>
    </w:p>
    <w:p w:rsidR="00F363C3" w:rsidRPr="003B150B" w:rsidRDefault="00F363C3" w:rsidP="00F363C3">
      <w:pPr>
        <w:pStyle w:val="Paragrafi"/>
        <w:rPr>
          <w:sz w:val="21"/>
          <w:szCs w:val="21"/>
          <w:lang w:val="it-IT"/>
        </w:rPr>
      </w:pPr>
      <w:r w:rsidRPr="003B150B">
        <w:rPr>
          <w:sz w:val="21"/>
          <w:szCs w:val="21"/>
          <w:lang w:val="it-IT"/>
        </w:rPr>
        <w:t>Sokol Sadushi</w:t>
      </w:r>
      <w:r w:rsidRPr="003B150B">
        <w:rPr>
          <w:sz w:val="21"/>
          <w:szCs w:val="21"/>
          <w:lang w:val="it-IT"/>
        </w:rPr>
        <w:tab/>
      </w:r>
      <w:r w:rsidRPr="003B150B">
        <w:rPr>
          <w:sz w:val="21"/>
          <w:szCs w:val="21"/>
          <w:lang w:val="it-IT"/>
        </w:rPr>
        <w:tab/>
        <w:t>Anëtar   i</w:t>
      </w:r>
      <w:r w:rsidRPr="003B150B">
        <w:rPr>
          <w:sz w:val="21"/>
          <w:szCs w:val="21"/>
          <w:lang w:val="it-IT"/>
        </w:rPr>
        <w:tab/>
        <w:t>“</w:t>
      </w:r>
      <w:r w:rsidRPr="003B150B">
        <w:rPr>
          <w:sz w:val="21"/>
          <w:szCs w:val="21"/>
          <w:lang w:val="it-IT"/>
        </w:rPr>
        <w:tab/>
        <w:t>“</w:t>
      </w:r>
    </w:p>
    <w:p w:rsidR="00F363C3" w:rsidRPr="003B150B" w:rsidRDefault="00F363C3" w:rsidP="00F363C3">
      <w:pPr>
        <w:pStyle w:val="Paragrafi"/>
        <w:rPr>
          <w:sz w:val="21"/>
          <w:szCs w:val="21"/>
          <w:lang w:val="it-IT"/>
        </w:rPr>
      </w:pPr>
      <w:r w:rsidRPr="003B150B">
        <w:rPr>
          <w:sz w:val="21"/>
          <w:szCs w:val="21"/>
          <w:lang w:val="it-IT"/>
        </w:rPr>
        <w:t>Vjollca Meçaj</w:t>
      </w:r>
      <w:r w:rsidRPr="003B150B">
        <w:rPr>
          <w:sz w:val="21"/>
          <w:szCs w:val="21"/>
          <w:lang w:val="it-IT"/>
        </w:rPr>
        <w:tab/>
      </w:r>
      <w:r w:rsidRPr="003B150B">
        <w:rPr>
          <w:sz w:val="21"/>
          <w:szCs w:val="21"/>
          <w:lang w:val="it-IT"/>
        </w:rPr>
        <w:tab/>
        <w:t>Anëtare e</w:t>
      </w:r>
      <w:r w:rsidRPr="003B150B">
        <w:rPr>
          <w:sz w:val="21"/>
          <w:szCs w:val="21"/>
          <w:lang w:val="it-IT"/>
        </w:rPr>
        <w:tab/>
        <w:t>“</w:t>
      </w:r>
      <w:r w:rsidRPr="003B150B">
        <w:rPr>
          <w:sz w:val="21"/>
          <w:szCs w:val="21"/>
          <w:lang w:val="it-IT"/>
        </w:rPr>
        <w:tab/>
        <w:t>“</w:t>
      </w:r>
    </w:p>
    <w:p w:rsidR="00F363C3" w:rsidRPr="003B150B" w:rsidRDefault="00F363C3" w:rsidP="00F363C3">
      <w:pPr>
        <w:pStyle w:val="Paragrafi"/>
        <w:rPr>
          <w:sz w:val="21"/>
          <w:szCs w:val="21"/>
          <w:lang w:val="it-IT"/>
        </w:rPr>
      </w:pPr>
    </w:p>
    <w:p w:rsidR="00F363C3" w:rsidRPr="003B150B" w:rsidRDefault="00F363C3" w:rsidP="00F363C3">
      <w:pPr>
        <w:pStyle w:val="Paragrafi"/>
        <w:rPr>
          <w:sz w:val="21"/>
          <w:szCs w:val="21"/>
          <w:lang w:val="it-IT"/>
        </w:rPr>
      </w:pPr>
      <w:r w:rsidRPr="003B150B">
        <w:rPr>
          <w:sz w:val="21"/>
          <w:szCs w:val="21"/>
          <w:lang w:val="it-IT"/>
        </w:rPr>
        <w:t>me sekret</w:t>
      </w:r>
      <w:r>
        <w:rPr>
          <w:sz w:val="21"/>
          <w:szCs w:val="21"/>
          <w:lang w:val="it-IT"/>
        </w:rPr>
        <w:t>are Brunilda Bara, në datat 21.</w:t>
      </w:r>
      <w:r w:rsidRPr="003B150B">
        <w:rPr>
          <w:sz w:val="21"/>
          <w:szCs w:val="21"/>
          <w:lang w:val="it-IT"/>
        </w:rPr>
        <w:t>9.2006 dhe 1.11.2006, mori në shqyrtim në seancë gjyqësore me dyer të hapura çështjen nr.33 Akti që i përket:</w:t>
      </w:r>
    </w:p>
    <w:p w:rsidR="00F363C3" w:rsidRPr="00F363C3" w:rsidRDefault="00F363C3" w:rsidP="00F363C3">
      <w:pPr>
        <w:pStyle w:val="Paragrafi"/>
        <w:rPr>
          <w:sz w:val="21"/>
          <w:szCs w:val="21"/>
          <w:lang w:val="it-IT"/>
        </w:rPr>
      </w:pPr>
      <w:r w:rsidRPr="00F363C3">
        <w:rPr>
          <w:sz w:val="21"/>
          <w:szCs w:val="21"/>
          <w:lang w:val="it-IT"/>
        </w:rPr>
        <w:t xml:space="preserve">KËRKUES: Skënder Hasa, përfaqësuar nga avokat Fatmir Braka, me prokurë.  </w:t>
      </w:r>
    </w:p>
    <w:p w:rsidR="00F363C3" w:rsidRPr="003B150B" w:rsidRDefault="00F363C3" w:rsidP="00F363C3">
      <w:pPr>
        <w:pStyle w:val="Paragrafi"/>
        <w:rPr>
          <w:sz w:val="21"/>
          <w:szCs w:val="21"/>
          <w:lang w:val="it-IT"/>
        </w:rPr>
      </w:pPr>
      <w:r w:rsidRPr="003B150B">
        <w:rPr>
          <w:sz w:val="21"/>
          <w:szCs w:val="21"/>
          <w:lang w:val="it-IT"/>
        </w:rPr>
        <w:t>SUBJEKT I INTERESUAR: KËSHILLI I MINISTRAVE I REPUBLIKËS SË SHQIPËRISË, përfaqësuar nga Enkelejd Alibej, me autorizim.</w:t>
      </w:r>
    </w:p>
    <w:p w:rsidR="00F363C3" w:rsidRPr="003B150B" w:rsidRDefault="00F363C3" w:rsidP="00F363C3">
      <w:pPr>
        <w:pStyle w:val="Paragrafi"/>
        <w:rPr>
          <w:sz w:val="21"/>
          <w:szCs w:val="21"/>
          <w:lang w:val="it-IT"/>
        </w:rPr>
      </w:pPr>
      <w:r w:rsidRPr="003B150B">
        <w:rPr>
          <w:sz w:val="21"/>
          <w:szCs w:val="21"/>
          <w:lang w:val="it-IT"/>
        </w:rPr>
        <w:t xml:space="preserve"> OBJEKTI: Shfuqizimi si i papajtueshëm me Kushtetutën i ven</w:t>
      </w:r>
      <w:r>
        <w:rPr>
          <w:sz w:val="21"/>
          <w:szCs w:val="21"/>
          <w:lang w:val="it-IT"/>
        </w:rPr>
        <w:t>dimit nr.375, datë 14.</w:t>
      </w:r>
      <w:r w:rsidRPr="003B150B">
        <w:rPr>
          <w:sz w:val="21"/>
          <w:szCs w:val="21"/>
          <w:lang w:val="it-IT"/>
        </w:rPr>
        <w:t>6.2006 i Këshillit të Ministrave “Për shkarkimin nga detyra e kryetarit të bashkisë së Peqinit”</w:t>
      </w:r>
      <w:r>
        <w:rPr>
          <w:sz w:val="21"/>
          <w:szCs w:val="21"/>
          <w:lang w:val="it-IT"/>
        </w:rPr>
        <w:t>.</w:t>
      </w:r>
    </w:p>
    <w:p w:rsidR="00F363C3" w:rsidRPr="003B150B" w:rsidRDefault="00F363C3" w:rsidP="00F363C3">
      <w:pPr>
        <w:pStyle w:val="Paragrafi"/>
        <w:rPr>
          <w:sz w:val="21"/>
          <w:szCs w:val="21"/>
          <w:lang w:val="it-IT"/>
        </w:rPr>
      </w:pPr>
      <w:r w:rsidRPr="003B150B">
        <w:rPr>
          <w:sz w:val="21"/>
          <w:szCs w:val="21"/>
          <w:lang w:val="it-IT"/>
        </w:rPr>
        <w:t>BAZA LIGJORE: Neni 115 i Kushtetutës së Republikës së Shqipërisë.</w:t>
      </w:r>
    </w:p>
    <w:p w:rsidR="00F363C3" w:rsidRPr="003B150B" w:rsidRDefault="00F363C3" w:rsidP="00F363C3">
      <w:pPr>
        <w:pStyle w:val="Paragrafi"/>
        <w:rPr>
          <w:sz w:val="21"/>
          <w:szCs w:val="21"/>
          <w:lang w:val="it-IT"/>
        </w:rPr>
      </w:pPr>
      <w:r w:rsidRPr="003B150B">
        <w:rPr>
          <w:sz w:val="21"/>
          <w:szCs w:val="21"/>
          <w:lang w:val="it-IT"/>
        </w:rPr>
        <w:t>Kërkuesi ka parashtruar këto shkaqe për shfuqizimin e vendimit të mësipërm të Këshillit të Ministrave:</w:t>
      </w:r>
    </w:p>
    <w:p w:rsidR="00F363C3" w:rsidRPr="003B150B" w:rsidRDefault="00F363C3" w:rsidP="00F363C3">
      <w:pPr>
        <w:pStyle w:val="Paragrafi"/>
        <w:rPr>
          <w:sz w:val="21"/>
          <w:szCs w:val="21"/>
          <w:lang w:val="it-IT"/>
        </w:rPr>
      </w:pPr>
      <w:r w:rsidRPr="003B150B">
        <w:rPr>
          <w:sz w:val="21"/>
          <w:szCs w:val="21"/>
          <w:lang w:val="it-IT"/>
        </w:rPr>
        <w:t>- Vendimi i Këshillit të Ministrave nuk përmban asnjë referim apo sqarim se ku konsistojnë shkeljet e rënda, të cilat sipas nenit 115 të Kushtetutës, janë shkak i vetëm për largimin e tij nga detyra.</w:t>
      </w:r>
    </w:p>
    <w:p w:rsidR="00F363C3" w:rsidRPr="003B150B" w:rsidRDefault="00F363C3" w:rsidP="00F363C3">
      <w:pPr>
        <w:pStyle w:val="Paragrafi"/>
        <w:rPr>
          <w:sz w:val="21"/>
          <w:szCs w:val="21"/>
          <w:lang w:val="it-IT"/>
        </w:rPr>
      </w:pPr>
      <w:r w:rsidRPr="003B150B">
        <w:rPr>
          <w:sz w:val="21"/>
          <w:szCs w:val="21"/>
          <w:lang w:val="it-IT"/>
        </w:rPr>
        <w:t>- Nuk është njoftuar për procedimin, për të pasur mundësinë e realizimit të mbrojtjes nëpërmjet paraqitjes së argumenteve e provave. Mosrespektimi i rregullave të njoftimit sipas Kodit të Procedurave Administrative e bën procesin të parregullt sipas nenit 42/1 të Kushtetutës.</w:t>
      </w:r>
    </w:p>
    <w:p w:rsidR="00F363C3" w:rsidRPr="003B150B" w:rsidRDefault="00F363C3" w:rsidP="00F363C3">
      <w:pPr>
        <w:pStyle w:val="Paragrafi"/>
        <w:rPr>
          <w:sz w:val="21"/>
          <w:szCs w:val="21"/>
          <w:lang w:val="it-IT"/>
        </w:rPr>
      </w:pPr>
      <w:r w:rsidRPr="003B150B">
        <w:rPr>
          <w:sz w:val="21"/>
          <w:szCs w:val="21"/>
          <w:lang w:val="it-IT"/>
        </w:rPr>
        <w:t>- Nuk ka asnjë shkelje të ligjit dhe aq më pak shkelje të rëndë që të justifikojë marrjen e vendimit të shkarkimit nga detyra e kryetarit të bashkisë.</w:t>
      </w:r>
    </w:p>
    <w:p w:rsidR="00F363C3" w:rsidRPr="003B150B" w:rsidRDefault="00F363C3" w:rsidP="00F363C3">
      <w:pPr>
        <w:pStyle w:val="Paragrafi"/>
        <w:rPr>
          <w:sz w:val="21"/>
          <w:szCs w:val="21"/>
          <w:lang w:val="it-IT"/>
        </w:rPr>
      </w:pPr>
    </w:p>
    <w:p w:rsidR="00F363C3" w:rsidRPr="00F363C3" w:rsidRDefault="00F363C3" w:rsidP="00F363C3">
      <w:pPr>
        <w:pStyle w:val="Institucioni"/>
        <w:rPr>
          <w:sz w:val="21"/>
          <w:szCs w:val="21"/>
          <w:lang w:val="it-IT"/>
        </w:rPr>
      </w:pPr>
      <w:r w:rsidRPr="00F363C3">
        <w:rPr>
          <w:sz w:val="21"/>
          <w:szCs w:val="21"/>
          <w:lang w:val="it-IT"/>
        </w:rPr>
        <w:t>GJYKATA KUSHTETUESE,</w:t>
      </w:r>
    </w:p>
    <w:p w:rsidR="00F363C3" w:rsidRPr="003B150B" w:rsidRDefault="00F363C3" w:rsidP="00F363C3">
      <w:pPr>
        <w:pStyle w:val="Paragrafi"/>
        <w:jc w:val="center"/>
        <w:rPr>
          <w:sz w:val="21"/>
          <w:szCs w:val="21"/>
          <w:lang w:val="it-IT"/>
        </w:rPr>
      </w:pPr>
    </w:p>
    <w:p w:rsidR="00F363C3" w:rsidRPr="003B150B" w:rsidRDefault="00F363C3" w:rsidP="00F363C3">
      <w:pPr>
        <w:pStyle w:val="Paragrafi"/>
        <w:rPr>
          <w:sz w:val="21"/>
          <w:szCs w:val="21"/>
          <w:lang w:val="it-IT"/>
        </w:rPr>
      </w:pPr>
      <w:r w:rsidRPr="003B150B">
        <w:rPr>
          <w:sz w:val="21"/>
          <w:szCs w:val="21"/>
          <w:lang w:val="it-IT"/>
        </w:rPr>
        <w:t>pasi dëgjoi relatorin e çështjes Kujtim Puto, përfaqësuesin e kërkuesit që kërkoi shfuqizimin e vendimit të Këshillit të Ministrave dhe bisedoi çështjen në tërësi,</w:t>
      </w:r>
    </w:p>
    <w:p w:rsidR="00F363C3" w:rsidRPr="003B150B" w:rsidRDefault="00F363C3" w:rsidP="00F363C3">
      <w:pPr>
        <w:pStyle w:val="Paragrafi"/>
        <w:rPr>
          <w:sz w:val="21"/>
          <w:szCs w:val="21"/>
          <w:lang w:val="it-IT"/>
        </w:rPr>
      </w:pPr>
    </w:p>
    <w:p w:rsidR="00F363C3" w:rsidRPr="003B150B" w:rsidRDefault="00F363C3" w:rsidP="00F363C3">
      <w:pPr>
        <w:pStyle w:val="VENDOSI"/>
        <w:rPr>
          <w:sz w:val="21"/>
          <w:szCs w:val="21"/>
        </w:rPr>
      </w:pPr>
      <w:r w:rsidRPr="003B150B">
        <w:rPr>
          <w:sz w:val="21"/>
          <w:szCs w:val="21"/>
        </w:rPr>
        <w:t>VËREN:</w:t>
      </w:r>
    </w:p>
    <w:p w:rsidR="00F363C3" w:rsidRPr="003B150B" w:rsidRDefault="00F363C3" w:rsidP="00F363C3">
      <w:pPr>
        <w:pStyle w:val="Paragrafi"/>
        <w:rPr>
          <w:sz w:val="21"/>
          <w:szCs w:val="21"/>
          <w:lang w:val="it-IT"/>
        </w:rPr>
      </w:pPr>
    </w:p>
    <w:p w:rsidR="00F363C3" w:rsidRPr="003B150B" w:rsidRDefault="00F363C3" w:rsidP="00F363C3">
      <w:pPr>
        <w:pStyle w:val="Paragrafi"/>
        <w:rPr>
          <w:sz w:val="21"/>
          <w:szCs w:val="21"/>
          <w:lang w:val="it-IT"/>
        </w:rPr>
      </w:pPr>
      <w:r w:rsidRPr="003B150B">
        <w:rPr>
          <w:sz w:val="21"/>
          <w:szCs w:val="21"/>
          <w:lang w:val="it-IT"/>
        </w:rPr>
        <w:t>Këshilli i Ministrave i Republikës së Shqipërisë, me vendimin nr.375, datë 14. 6.2005 ka shkarkuar nga detyra për shkelje të rënda ligjore kryetarin e bashkisë së Peqinit, kërkuesin Skënder Hasa. Sipas përfaqësuesit të Këshillit të Ministrave, shkeljet e rënda ligjore janë evidentuar në relacionin e Ministrit të Brendshëm që ka shoqëruar propozimin për shkarkimin e kërkuesit nga detyra.</w:t>
      </w:r>
    </w:p>
    <w:p w:rsidR="00F363C3" w:rsidRDefault="00F363C3" w:rsidP="00F363C3">
      <w:pPr>
        <w:pStyle w:val="Paragrafi"/>
        <w:rPr>
          <w:sz w:val="21"/>
          <w:szCs w:val="21"/>
          <w:lang w:val="it-IT"/>
        </w:rPr>
      </w:pPr>
      <w:r w:rsidRPr="003B150B">
        <w:rPr>
          <w:sz w:val="21"/>
          <w:szCs w:val="21"/>
          <w:lang w:val="it-IT"/>
        </w:rPr>
        <w:t>Nga relacioni rezulton se Kontrolli i Lartë i Shtetit, Agjencia e Prokurimit Publik, Ministria e Brendshme dhe Aparati i Këshillit të Ministrave kanë ushtruar kontroll në veprimtarinë ekonomiko-financiare të bashkisë së Peqinit për periudhën 1.11.2004-31.12.2005 dhe kanë konstatuar disa shkelje. Këto  shkelje kanë të bëjnë kryesisht me procedurat e tenderimit e sidomos në prokurimet për ndërtimin e disa veprave me rëndësi publike të qytetit të Peqinit. Për këto objekte, bashkia Peqin dhe vetë kërkuesi si kryetar i saj, ka pranuar ofertat e firmës ku ai figuron si drejtues ligjor e administrator. Veç kësaj, në kontratat e lidhura për këto raste figuron si përfaqësuese e kësaj firme bashkëshortja e kërkuesit.</w:t>
      </w:r>
    </w:p>
    <w:p w:rsidR="00F363C3" w:rsidRDefault="00F363C3" w:rsidP="00F363C3">
      <w:pPr>
        <w:pStyle w:val="Paragrafi"/>
        <w:rPr>
          <w:sz w:val="21"/>
          <w:szCs w:val="21"/>
          <w:lang w:val="it-IT"/>
        </w:rPr>
      </w:pPr>
    </w:p>
    <w:p w:rsidR="00F363C3" w:rsidRDefault="00F363C3" w:rsidP="00F363C3">
      <w:pPr>
        <w:pStyle w:val="Paragrafi"/>
        <w:rPr>
          <w:sz w:val="21"/>
          <w:szCs w:val="21"/>
          <w:lang w:val="it-IT"/>
        </w:rPr>
      </w:pPr>
    </w:p>
    <w:p w:rsidR="00F363C3" w:rsidRPr="003B150B" w:rsidRDefault="00F363C3" w:rsidP="00F363C3">
      <w:pPr>
        <w:pStyle w:val="Paragrafi"/>
        <w:rPr>
          <w:sz w:val="21"/>
          <w:szCs w:val="21"/>
          <w:lang w:val="it-IT"/>
        </w:rPr>
      </w:pPr>
    </w:p>
    <w:p w:rsidR="00F363C3" w:rsidRPr="003B150B" w:rsidRDefault="00F363C3" w:rsidP="00F363C3">
      <w:pPr>
        <w:pStyle w:val="Paragrafi"/>
        <w:rPr>
          <w:sz w:val="21"/>
          <w:szCs w:val="21"/>
          <w:lang w:val="it-IT"/>
        </w:rPr>
      </w:pPr>
      <w:r w:rsidRPr="003B150B">
        <w:rPr>
          <w:sz w:val="21"/>
          <w:szCs w:val="21"/>
          <w:lang w:val="it-IT"/>
        </w:rPr>
        <w:t xml:space="preserve">Gjykata Kushtetuese, sipas nenit 115 pikat 2 e 3 të Kushtetutës, është organi i vetëm që shqyrton </w:t>
      </w:r>
      <w:r w:rsidRPr="003B150B">
        <w:rPr>
          <w:sz w:val="21"/>
          <w:szCs w:val="21"/>
          <w:lang w:val="it-IT"/>
        </w:rPr>
        <w:lastRenderedPageBreak/>
        <w:t>ankesën e organit të qeverisjes vendore kundër vendimit të Këshillit të Ministrave për shkarkimin ose shpërndarjen e tij. Këtë shqyrtim e bën si nga pikëpamja e faktit, ashtu dhe nga pikëpamja e interpretimit dhe zbatimit të ligjit material e procedural. Prandaj, kjo Gjykatë, në çështjen në shqyrtim, duke respektuar standardet e një procesi të drejtë ligjor, i krijoi kërkuesit mundësinë e mbrojtjes, nëpërmjet paraqitjes së provave dhe argumenteve të veta për rrethanat e faktit, por ai këmbënguli vetëm në paraqitjen e argumenteve për aspektin procedural.</w:t>
      </w:r>
    </w:p>
    <w:p w:rsidR="00F363C3" w:rsidRPr="003B150B" w:rsidRDefault="00F363C3" w:rsidP="00F363C3">
      <w:pPr>
        <w:pStyle w:val="Paragrafi"/>
        <w:rPr>
          <w:sz w:val="21"/>
          <w:szCs w:val="21"/>
          <w:lang w:val="it-IT"/>
        </w:rPr>
      </w:pPr>
      <w:r w:rsidRPr="003B150B">
        <w:rPr>
          <w:sz w:val="21"/>
          <w:szCs w:val="21"/>
          <w:lang w:val="it-IT"/>
        </w:rPr>
        <w:t>Gjykata Kushtetuese, duke u bazuar në provat e paraqitura në gjykim, arriti në përfundimin se veprimet e kërkuesit për pranimin e ofertave dhe lidhjen e kontratave përbëjnë shkelje të rënda në kuptim të nenit 115 të Kushtetutës, që cenojnë figurën e autoriteteve shtetërore. Ato vijnë në kundërshtim me përmbaj</w:t>
      </w:r>
      <w:r>
        <w:rPr>
          <w:sz w:val="21"/>
          <w:szCs w:val="21"/>
          <w:lang w:val="it-IT"/>
        </w:rPr>
        <w:t>tjen e ligjit nr.7971, datë 26.</w:t>
      </w:r>
      <w:r w:rsidRPr="003B150B">
        <w:rPr>
          <w:sz w:val="21"/>
          <w:szCs w:val="21"/>
          <w:lang w:val="it-IT"/>
        </w:rPr>
        <w:t>7.1995 “Për prokurimin publik” dhe me Kodin e Procedurave Administrative, në nenin 37 pika 1 të të cilit i ndalohet shprehimisht punonjësit të organeve të administratës të marrë pjesë në një proces vendimmarrës apo në lidhje kontrate ku administrata që përfaqëson ka ose dyshohet të ketë një interes personal, direkt apo indirekt, në çështjen në fjalë ose kur kanë interes bashkëshortja ose të afërmit e tij.</w:t>
      </w:r>
    </w:p>
    <w:p w:rsidR="00F363C3" w:rsidRPr="003B150B" w:rsidRDefault="00F363C3" w:rsidP="00F363C3">
      <w:pPr>
        <w:pStyle w:val="Paragrafi"/>
        <w:rPr>
          <w:sz w:val="21"/>
          <w:szCs w:val="21"/>
          <w:lang w:val="it-IT"/>
        </w:rPr>
      </w:pPr>
      <w:r w:rsidRPr="003B150B">
        <w:rPr>
          <w:sz w:val="21"/>
          <w:szCs w:val="21"/>
          <w:lang w:val="it-IT"/>
        </w:rPr>
        <w:t>Kërkuesi pretendoi se Këshilli i Ministrave gjatë procesit të vendimmarrjes nuk ka respektuar kërkesat e Kodit të Procedurave Administrative përsa i përket inicimit të procedimit administrativ, për njoftimin e personit që preket nga ky procedim dhe për procedurat e marrjes së këtij vendimi.</w:t>
      </w:r>
    </w:p>
    <w:p w:rsidR="00F363C3" w:rsidRPr="003B150B" w:rsidRDefault="00F363C3" w:rsidP="00F363C3">
      <w:pPr>
        <w:pStyle w:val="Paragrafi"/>
        <w:rPr>
          <w:sz w:val="21"/>
          <w:szCs w:val="21"/>
          <w:lang w:val="it-IT"/>
        </w:rPr>
      </w:pPr>
      <w:r w:rsidRPr="003B150B">
        <w:rPr>
          <w:sz w:val="21"/>
          <w:szCs w:val="21"/>
          <w:lang w:val="it-IT"/>
        </w:rPr>
        <w:t>Nga gjykimi i çështjes rezultoi se kërkuesi Skënder Hasa ka qenë i pranishëm gjatë kontrolleve të ushtruara nga organet e mësipërme të kontrollit dhe ka paraqitur edhe kundërshtimet e veta rreth shkeljeve të përmendura në to. Mbi bazën e këtyre shkeljeve, Ministri i Brendshëm ka hartuar relacionin dhe propozimin përkatës për shkarkimin e tij, por kërkuesi nuk është dëgjuar nga Këshilli i Ministrave, si organ i cili ka vendosur shkarkimin.</w:t>
      </w:r>
    </w:p>
    <w:p w:rsidR="00F363C3" w:rsidRPr="003B150B" w:rsidRDefault="00F363C3" w:rsidP="00F363C3">
      <w:pPr>
        <w:pStyle w:val="Paragrafi"/>
        <w:rPr>
          <w:sz w:val="21"/>
          <w:szCs w:val="21"/>
          <w:lang w:val="it-IT"/>
        </w:rPr>
      </w:pPr>
      <w:r w:rsidRPr="003B150B">
        <w:rPr>
          <w:sz w:val="21"/>
          <w:szCs w:val="21"/>
          <w:lang w:val="it-IT"/>
        </w:rPr>
        <w:t>E drejta për t’u dëgjuar, si pjesë e së drejtës së mbrojtjes, garantohet edhe në procesin administrativ përpara çdo organi, pavarësisht nga instanca dhe rëndësia e tij. Kjo realizohet nëpërmjet pjesëmarrjes së vetë individit në proces dhe nëpërmjet parashtrimit të argumenteve prej tij, ose avokatit të zgjedhur prej tij.</w:t>
      </w:r>
    </w:p>
    <w:p w:rsidR="00F363C3" w:rsidRPr="003B150B" w:rsidRDefault="00F363C3" w:rsidP="00F363C3">
      <w:pPr>
        <w:pStyle w:val="Paragrafi"/>
        <w:rPr>
          <w:sz w:val="21"/>
          <w:szCs w:val="21"/>
          <w:lang w:val="it-IT"/>
        </w:rPr>
      </w:pPr>
      <w:r w:rsidRPr="003B150B">
        <w:rPr>
          <w:sz w:val="21"/>
          <w:szCs w:val="21"/>
          <w:lang w:val="it-IT"/>
        </w:rPr>
        <w:t>Megjithatë, sipas nenit 96/2 të Kodit të Procedurave Administrative, organi që zhvillon procedurën mund të mos i lejojë palët të shprehen kur këto kanë pasur rast t’i japin mendimet e tyre për çështje që kanë rëndësi për marrjen e vendimit. Në rastin në shqyrtim masa e marrë bazohet vetëm në rezultatet e kontrolleve të bëra në bashki, për të cilat kërkuesi ka paraqitur argumentet e veta.</w:t>
      </w:r>
    </w:p>
    <w:p w:rsidR="00F363C3" w:rsidRPr="003B150B" w:rsidRDefault="00F363C3" w:rsidP="00F363C3">
      <w:pPr>
        <w:pStyle w:val="Paragrafi"/>
        <w:rPr>
          <w:sz w:val="21"/>
          <w:szCs w:val="21"/>
          <w:lang w:val="it-IT"/>
        </w:rPr>
      </w:pPr>
      <w:r w:rsidRPr="003B150B">
        <w:rPr>
          <w:sz w:val="21"/>
          <w:szCs w:val="21"/>
          <w:lang w:val="it-IT"/>
        </w:rPr>
        <w:t>Përsa i përket pretendimit tjetër të kërkuesit se vendimi duhet shfuqizuar edhe për shkak se nuk është argumentuar nga subjekti i interesuar ekzistenca e shkeljeve të rënda ligjore, Gjykata Kushtetuese konstaton se nga pjesa hyrëse e vendimit të Këshillit të  Ministrave del se ai bazohet në relacionin dhe propozimin e Ministrit të Brendshëm, ndërsa këto të fundit bazohen në informacionet e mëparshme të organeve kontrolluese për të cilat kërkuesi është vënë në dijeni dhe ka paraqitur argumentet e veta. Prandaj, në këtë rast, sipas nenit 109/1 të Kodit të Procedurave Administrative “mund të mjaftojë si arsyetim pranimi i këtyre informacioneve nga ana e organit përgjegjës për marrjen e vendimit përfundimtar”.</w:t>
      </w:r>
    </w:p>
    <w:p w:rsidR="00F363C3" w:rsidRPr="003B150B" w:rsidRDefault="00F363C3" w:rsidP="00F363C3">
      <w:pPr>
        <w:pStyle w:val="Paragrafi"/>
        <w:rPr>
          <w:sz w:val="21"/>
          <w:szCs w:val="21"/>
          <w:lang w:val="it-IT"/>
        </w:rPr>
      </w:pPr>
    </w:p>
    <w:p w:rsidR="00F363C3" w:rsidRPr="00F363C3" w:rsidRDefault="00F363C3" w:rsidP="00F363C3">
      <w:pPr>
        <w:pStyle w:val="VENDOSI"/>
        <w:rPr>
          <w:sz w:val="21"/>
          <w:szCs w:val="21"/>
          <w:lang w:val="it-IT"/>
        </w:rPr>
      </w:pPr>
      <w:r w:rsidRPr="00F363C3">
        <w:rPr>
          <w:sz w:val="21"/>
          <w:szCs w:val="21"/>
          <w:lang w:val="it-IT"/>
        </w:rPr>
        <w:t>PËR KËTO ARSYE,</w:t>
      </w:r>
    </w:p>
    <w:p w:rsidR="00F363C3" w:rsidRPr="00F363C3" w:rsidRDefault="00F363C3" w:rsidP="00F363C3">
      <w:pPr>
        <w:pStyle w:val="Paragrafi"/>
        <w:rPr>
          <w:sz w:val="21"/>
          <w:szCs w:val="21"/>
          <w:lang w:val="it-IT"/>
        </w:rPr>
      </w:pPr>
    </w:p>
    <w:p w:rsidR="00F363C3" w:rsidRPr="00F363C3" w:rsidRDefault="00F363C3" w:rsidP="00F363C3">
      <w:pPr>
        <w:pStyle w:val="Paragrafi"/>
        <w:rPr>
          <w:sz w:val="21"/>
          <w:szCs w:val="21"/>
          <w:lang w:val="it-IT"/>
        </w:rPr>
      </w:pPr>
      <w:r w:rsidRPr="00F363C3">
        <w:rPr>
          <w:sz w:val="21"/>
          <w:szCs w:val="21"/>
          <w:lang w:val="it-IT"/>
        </w:rPr>
        <w:t xml:space="preserve">Gjykata Kushtetuese e Republikës së Shqipërisë, në mbështetje të neneve 72 e 77 të ligjit nr.8577, datë 10.2.2000 “Për organizimin dhe funksionimin e Gjykatës Kushtetuese të Republikës së Shqipërisë”, njëzëri, </w:t>
      </w:r>
    </w:p>
    <w:p w:rsidR="00F363C3" w:rsidRPr="00F363C3" w:rsidRDefault="00F363C3" w:rsidP="00F363C3">
      <w:pPr>
        <w:pStyle w:val="Paragrafi"/>
        <w:rPr>
          <w:sz w:val="21"/>
          <w:szCs w:val="21"/>
          <w:lang w:val="it-IT"/>
        </w:rPr>
      </w:pPr>
    </w:p>
    <w:p w:rsidR="00F363C3" w:rsidRPr="003B150B" w:rsidRDefault="00F363C3" w:rsidP="00F363C3">
      <w:pPr>
        <w:pStyle w:val="VENDOSI"/>
        <w:rPr>
          <w:sz w:val="21"/>
          <w:szCs w:val="21"/>
        </w:rPr>
      </w:pPr>
      <w:r w:rsidRPr="003B150B">
        <w:rPr>
          <w:sz w:val="21"/>
          <w:szCs w:val="21"/>
        </w:rPr>
        <w:t>VENDOSI:</w:t>
      </w:r>
    </w:p>
    <w:p w:rsidR="00F363C3" w:rsidRPr="003B150B" w:rsidRDefault="00F363C3" w:rsidP="00F363C3">
      <w:pPr>
        <w:pStyle w:val="Paragrafi"/>
        <w:rPr>
          <w:sz w:val="21"/>
          <w:szCs w:val="21"/>
        </w:rPr>
      </w:pPr>
      <w:r w:rsidRPr="003B150B">
        <w:rPr>
          <w:sz w:val="21"/>
          <w:szCs w:val="21"/>
        </w:rPr>
        <w:t xml:space="preserve">   </w:t>
      </w:r>
    </w:p>
    <w:p w:rsidR="00F363C3" w:rsidRPr="003B150B" w:rsidRDefault="00F363C3" w:rsidP="00F363C3">
      <w:pPr>
        <w:pStyle w:val="Paragrafi"/>
        <w:rPr>
          <w:sz w:val="21"/>
          <w:szCs w:val="21"/>
        </w:rPr>
      </w:pPr>
      <w:r w:rsidRPr="003B150B">
        <w:rPr>
          <w:sz w:val="21"/>
          <w:szCs w:val="21"/>
        </w:rPr>
        <w:t>Rrëzimin e kërkesës.</w:t>
      </w:r>
    </w:p>
    <w:p w:rsidR="00F363C3" w:rsidRPr="003B150B" w:rsidRDefault="00F363C3" w:rsidP="00F363C3">
      <w:pPr>
        <w:pStyle w:val="Paragrafi"/>
        <w:rPr>
          <w:sz w:val="21"/>
          <w:szCs w:val="21"/>
        </w:rPr>
      </w:pPr>
      <w:r w:rsidRPr="003B150B">
        <w:rPr>
          <w:sz w:val="21"/>
          <w:szCs w:val="21"/>
        </w:rPr>
        <w:t xml:space="preserve">Ky vendim është përfundimtar, i formës së prerë dhe hyn në fuqi ditën e botimit në Fletoren Zyrtare. </w:t>
      </w:r>
    </w:p>
    <w:p w:rsidR="00F363C3" w:rsidRPr="003B150B" w:rsidRDefault="00F363C3" w:rsidP="00F363C3">
      <w:pPr>
        <w:pStyle w:val="Paragrafi"/>
        <w:rPr>
          <w:sz w:val="21"/>
          <w:szCs w:val="21"/>
        </w:rPr>
      </w:pPr>
    </w:p>
    <w:p w:rsidR="00F363C3" w:rsidRPr="003B150B" w:rsidRDefault="00F363C3" w:rsidP="00F363C3">
      <w:pPr>
        <w:pStyle w:val="Paragrafi"/>
        <w:rPr>
          <w:sz w:val="21"/>
          <w:szCs w:val="21"/>
        </w:rPr>
      </w:pPr>
    </w:p>
    <w:p w:rsidR="00F363C3" w:rsidRPr="003B150B" w:rsidRDefault="00F363C3" w:rsidP="00F363C3">
      <w:pPr>
        <w:rPr>
          <w:sz w:val="21"/>
          <w:szCs w:val="21"/>
          <w:lang w:val="en-US"/>
        </w:rPr>
      </w:pPr>
    </w:p>
    <w:sectPr w:rsidR="00F363C3" w:rsidRPr="003B150B" w:rsidSect="00F363C3">
      <w:footerReference w:type="even" r:id="rId6"/>
      <w:footerReference w:type="default" r:id="rId7"/>
      <w:pgSz w:w="11906" w:h="16838" w:code="9"/>
      <w:pgMar w:top="1418" w:right="1418" w:bottom="1440" w:left="1418" w:header="1304" w:footer="1134" w:gutter="0"/>
      <w:pgNumType w:start="593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C16B7">
      <w:r>
        <w:separator/>
      </w:r>
    </w:p>
  </w:endnote>
  <w:endnote w:type="continuationSeparator" w:id="0">
    <w:p w:rsidR="00000000" w:rsidRDefault="00BC1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3C3" w:rsidRDefault="00F363C3" w:rsidP="00F363C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363C3" w:rsidRDefault="00F363C3" w:rsidP="00F363C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3C3" w:rsidRDefault="00F363C3" w:rsidP="00F363C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C16B7">
      <w:rPr>
        <w:rStyle w:val="PageNumber"/>
        <w:noProof/>
      </w:rPr>
      <w:t>5940</w:t>
    </w:r>
    <w:r>
      <w:rPr>
        <w:rStyle w:val="PageNumber"/>
      </w:rPr>
      <w:fldChar w:fldCharType="end"/>
    </w:r>
  </w:p>
  <w:p w:rsidR="00F363C3" w:rsidRDefault="00F363C3" w:rsidP="00F363C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C16B7">
      <w:r>
        <w:separator/>
      </w:r>
    </w:p>
  </w:footnote>
  <w:footnote w:type="continuationSeparator" w:id="0">
    <w:p w:rsidR="00000000" w:rsidRDefault="00BC16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16B7"/>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363C3"/>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2E59F2C-AF3E-4C35-A590-BF709712D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3C3"/>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F363C3"/>
    <w:pPr>
      <w:tabs>
        <w:tab w:val="center" w:pos="4153"/>
        <w:tab w:val="right" w:pos="8306"/>
      </w:tabs>
    </w:pPr>
    <w:rPr>
      <w:rFonts w:eastAsia="MS Mincho"/>
      <w:szCs w:val="20"/>
    </w:rPr>
  </w:style>
  <w:style w:type="character" w:styleId="PageNumber">
    <w:name w:val="page number"/>
    <w:basedOn w:val="DefaultParagraphFont"/>
    <w:rsid w:val="00F363C3"/>
  </w:style>
  <w:style w:type="character" w:customStyle="1" w:styleId="TitulliChar">
    <w:name w:val="Titulli Char"/>
    <w:basedOn w:val="DefaultParagraphFont"/>
    <w:link w:val="Titulli"/>
    <w:rsid w:val="00F363C3"/>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1043</Words>
  <Characters>5950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2019-03-16T14:16:00Z</dcterms:created>
  <dcterms:modified xsi:type="dcterms:W3CDTF">2019-03-16T14:16:00Z</dcterms:modified>
</cp:coreProperties>
</file>