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F52" w:rsidRPr="006A6E10" w:rsidRDefault="002D3F52" w:rsidP="002D3F52">
      <w:pPr>
        <w:pStyle w:val="Akti"/>
        <w:keepNext w:val="0"/>
      </w:pPr>
      <w:bookmarkStart w:id="0" w:name="_GoBack"/>
      <w:bookmarkEnd w:id="0"/>
      <w:r w:rsidRPr="006A6E10">
        <w:t>VENDIM</w:t>
      </w:r>
    </w:p>
    <w:p w:rsidR="002D3F52" w:rsidRPr="006A6E10" w:rsidRDefault="002D3F52" w:rsidP="002D3F52">
      <w:pPr>
        <w:pStyle w:val="NumriData"/>
        <w:keepNext w:val="0"/>
        <w:rPr>
          <w:szCs w:val="22"/>
        </w:rPr>
      </w:pPr>
      <w:r w:rsidRPr="006A6E10">
        <w:rPr>
          <w:szCs w:val="22"/>
        </w:rPr>
        <w:t>Nr.18, datë 3.5.2007</w:t>
      </w:r>
    </w:p>
    <w:p w:rsidR="002D3F52" w:rsidRPr="001E6A84" w:rsidRDefault="002D3F52" w:rsidP="002D3F52">
      <w:pPr>
        <w:pStyle w:val="Paragrafi"/>
        <w:rPr>
          <w:sz w:val="14"/>
          <w:szCs w:val="22"/>
        </w:rPr>
      </w:pPr>
    </w:p>
    <w:p w:rsidR="002D3F52" w:rsidRPr="006A6E10" w:rsidRDefault="002D3F52" w:rsidP="002D3F52">
      <w:pPr>
        <w:pStyle w:val="Titulli"/>
        <w:keepNext w:val="0"/>
        <w:rPr>
          <w:b w:val="0"/>
        </w:rPr>
      </w:pPr>
      <w:r w:rsidRPr="006A6E10">
        <w:rPr>
          <w:b w:val="0"/>
        </w:rPr>
        <w:t>NË EMËR TË REPUBLIKËS SË SHQIPËRISË</w:t>
      </w:r>
    </w:p>
    <w:p w:rsidR="002D3F52" w:rsidRPr="001E6A84" w:rsidRDefault="002D3F52" w:rsidP="002D3F52">
      <w:pPr>
        <w:pStyle w:val="Paragrafi"/>
        <w:rPr>
          <w:sz w:val="12"/>
          <w:szCs w:val="22"/>
        </w:rPr>
      </w:pPr>
    </w:p>
    <w:p w:rsidR="002D3F52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Gjykata Kushtetuese e Republikës së Shqipërisë, e përbërë nga:</w:t>
      </w:r>
    </w:p>
    <w:p w:rsidR="002D3F52" w:rsidRPr="006A6E10" w:rsidRDefault="002D3F52" w:rsidP="002D3F52">
      <w:pPr>
        <w:pStyle w:val="Paragrafi"/>
        <w:rPr>
          <w:szCs w:val="22"/>
        </w:rPr>
      </w:pP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Gjergj Sauli</w:t>
      </w:r>
      <w:r w:rsidRPr="006A6E10">
        <w:rPr>
          <w:szCs w:val="22"/>
        </w:rPr>
        <w:tab/>
      </w:r>
      <w:r w:rsidRPr="006A6E10">
        <w:rPr>
          <w:szCs w:val="22"/>
        </w:rPr>
        <w:tab/>
        <w:t xml:space="preserve">Kryetar  i  Gjykatës Kushtetuese </w:t>
      </w:r>
    </w:p>
    <w:p w:rsidR="002D3F52" w:rsidRPr="006A6E10" w:rsidRDefault="002D3F52" w:rsidP="002D3F52">
      <w:pPr>
        <w:pStyle w:val="Paragrafi"/>
        <w:rPr>
          <w:szCs w:val="22"/>
          <w:lang w:val="it-IT"/>
        </w:rPr>
      </w:pPr>
      <w:r w:rsidRPr="006A6E10">
        <w:rPr>
          <w:szCs w:val="22"/>
          <w:lang w:val="it-IT"/>
        </w:rPr>
        <w:t>Alfred Karamuço</w:t>
      </w:r>
      <w:r w:rsidRPr="006A6E10">
        <w:rPr>
          <w:szCs w:val="22"/>
          <w:lang w:val="it-IT"/>
        </w:rPr>
        <w:tab/>
        <w:t>Anëtar   i</w:t>
      </w:r>
      <w:r w:rsidRPr="006A6E10">
        <w:rPr>
          <w:szCs w:val="22"/>
          <w:lang w:val="it-IT"/>
        </w:rPr>
        <w:tab/>
        <w:t>“</w:t>
      </w:r>
      <w:r w:rsidRPr="006A6E10">
        <w:rPr>
          <w:szCs w:val="22"/>
          <w:lang w:val="it-IT"/>
        </w:rPr>
        <w:tab/>
        <w:t xml:space="preserve">“   </w:t>
      </w:r>
    </w:p>
    <w:p w:rsidR="002D3F52" w:rsidRPr="006A6E10" w:rsidRDefault="002D3F52" w:rsidP="002D3F52">
      <w:pPr>
        <w:pStyle w:val="Paragrafi"/>
        <w:rPr>
          <w:szCs w:val="22"/>
          <w:lang w:val="it-IT"/>
        </w:rPr>
      </w:pPr>
      <w:r w:rsidRPr="006A6E10">
        <w:rPr>
          <w:szCs w:val="22"/>
          <w:lang w:val="it-IT"/>
        </w:rPr>
        <w:t>Fehmi Abdiu</w:t>
      </w:r>
      <w:r w:rsidRPr="006A6E10">
        <w:rPr>
          <w:szCs w:val="22"/>
          <w:lang w:val="it-IT"/>
        </w:rPr>
        <w:tab/>
      </w:r>
      <w:r w:rsidRPr="006A6E10">
        <w:rPr>
          <w:szCs w:val="22"/>
          <w:lang w:val="it-IT"/>
        </w:rPr>
        <w:tab/>
        <w:t>Anëtar   i</w:t>
      </w:r>
      <w:r w:rsidRPr="006A6E10">
        <w:rPr>
          <w:szCs w:val="22"/>
          <w:lang w:val="it-IT"/>
        </w:rPr>
        <w:tab/>
        <w:t>“</w:t>
      </w:r>
      <w:r w:rsidRPr="006A6E10">
        <w:rPr>
          <w:szCs w:val="22"/>
          <w:lang w:val="it-IT"/>
        </w:rPr>
        <w:tab/>
        <w:t>“</w:t>
      </w:r>
    </w:p>
    <w:p w:rsidR="002D3F52" w:rsidRPr="006A6E10" w:rsidRDefault="002D3F52" w:rsidP="002D3F52">
      <w:pPr>
        <w:pStyle w:val="Paragrafi"/>
        <w:rPr>
          <w:szCs w:val="22"/>
          <w:lang w:val="it-IT"/>
        </w:rPr>
      </w:pPr>
      <w:r w:rsidRPr="006A6E10">
        <w:rPr>
          <w:szCs w:val="22"/>
          <w:lang w:val="it-IT"/>
        </w:rPr>
        <w:t>Kristofor Peçi</w:t>
      </w:r>
      <w:r w:rsidRPr="006A6E10">
        <w:rPr>
          <w:szCs w:val="22"/>
          <w:lang w:val="it-IT"/>
        </w:rPr>
        <w:tab/>
      </w:r>
      <w:r w:rsidRPr="006A6E10">
        <w:rPr>
          <w:szCs w:val="22"/>
          <w:lang w:val="it-IT"/>
        </w:rPr>
        <w:tab/>
        <w:t>Anëtar   i</w:t>
      </w:r>
      <w:r w:rsidRPr="006A6E10">
        <w:rPr>
          <w:szCs w:val="22"/>
          <w:lang w:val="it-IT"/>
        </w:rPr>
        <w:tab/>
        <w:t>“</w:t>
      </w:r>
      <w:r w:rsidRPr="006A6E10">
        <w:rPr>
          <w:szCs w:val="22"/>
          <w:lang w:val="it-IT"/>
        </w:rPr>
        <w:tab/>
        <w:t>“</w:t>
      </w:r>
    </w:p>
    <w:p w:rsidR="002D3F52" w:rsidRPr="006A6E10" w:rsidRDefault="002D3F52" w:rsidP="002D3F52">
      <w:pPr>
        <w:pStyle w:val="Paragrafi"/>
        <w:rPr>
          <w:szCs w:val="22"/>
          <w:lang w:val="it-IT"/>
        </w:rPr>
      </w:pPr>
      <w:r w:rsidRPr="006A6E10">
        <w:rPr>
          <w:szCs w:val="22"/>
          <w:lang w:val="it-IT"/>
        </w:rPr>
        <w:t>Kujtim Puto</w:t>
      </w:r>
      <w:r w:rsidRPr="006A6E10">
        <w:rPr>
          <w:szCs w:val="22"/>
          <w:lang w:val="it-IT"/>
        </w:rPr>
        <w:tab/>
      </w:r>
      <w:r w:rsidRPr="006A6E10">
        <w:rPr>
          <w:szCs w:val="22"/>
          <w:lang w:val="it-IT"/>
        </w:rPr>
        <w:tab/>
        <w:t>Anëtar   i</w:t>
      </w:r>
      <w:r w:rsidRPr="006A6E10">
        <w:rPr>
          <w:szCs w:val="22"/>
          <w:lang w:val="it-IT"/>
        </w:rPr>
        <w:tab/>
        <w:t>“</w:t>
      </w:r>
      <w:r w:rsidRPr="006A6E10">
        <w:rPr>
          <w:szCs w:val="22"/>
          <w:lang w:val="it-IT"/>
        </w:rPr>
        <w:tab/>
        <w:t>“</w:t>
      </w:r>
    </w:p>
    <w:p w:rsidR="002D3F52" w:rsidRPr="006A6E10" w:rsidRDefault="002D3F52" w:rsidP="002D3F52">
      <w:pPr>
        <w:pStyle w:val="Paragrafi"/>
        <w:rPr>
          <w:szCs w:val="22"/>
          <w:lang w:val="it-IT"/>
        </w:rPr>
      </w:pPr>
      <w:r w:rsidRPr="006A6E10">
        <w:rPr>
          <w:szCs w:val="22"/>
          <w:lang w:val="it-IT"/>
        </w:rPr>
        <w:t>Vjollca Meçaj</w:t>
      </w:r>
      <w:r w:rsidRPr="006A6E10">
        <w:rPr>
          <w:szCs w:val="22"/>
          <w:lang w:val="it-IT"/>
        </w:rPr>
        <w:tab/>
      </w:r>
      <w:r w:rsidRPr="006A6E10">
        <w:rPr>
          <w:szCs w:val="22"/>
          <w:lang w:val="it-IT"/>
        </w:rPr>
        <w:tab/>
        <w:t>Anëtare e</w:t>
      </w:r>
      <w:r w:rsidRPr="006A6E10">
        <w:rPr>
          <w:szCs w:val="22"/>
          <w:lang w:val="it-IT"/>
        </w:rPr>
        <w:tab/>
        <w:t>“</w:t>
      </w:r>
      <w:r w:rsidRPr="006A6E10">
        <w:rPr>
          <w:szCs w:val="22"/>
          <w:lang w:val="it-IT"/>
        </w:rPr>
        <w:tab/>
        <w:t>“</w:t>
      </w:r>
    </w:p>
    <w:p w:rsidR="002D3F52" w:rsidRPr="006A6E10" w:rsidRDefault="002D3F52" w:rsidP="002D3F52">
      <w:pPr>
        <w:pStyle w:val="Paragrafi"/>
        <w:rPr>
          <w:szCs w:val="22"/>
          <w:lang w:val="it-IT"/>
        </w:rPr>
      </w:pPr>
      <w:r w:rsidRPr="006A6E10">
        <w:rPr>
          <w:szCs w:val="22"/>
          <w:lang w:val="it-IT"/>
        </w:rPr>
        <w:t>Xhezair Zaganjori</w:t>
      </w:r>
      <w:r w:rsidRPr="006A6E10">
        <w:rPr>
          <w:szCs w:val="22"/>
          <w:lang w:val="it-IT"/>
        </w:rPr>
        <w:tab/>
        <w:t>Anëtar   i</w:t>
      </w:r>
      <w:r w:rsidRPr="006A6E10">
        <w:rPr>
          <w:szCs w:val="22"/>
          <w:lang w:val="it-IT"/>
        </w:rPr>
        <w:tab/>
        <w:t>“</w:t>
      </w:r>
      <w:r w:rsidRPr="006A6E10">
        <w:rPr>
          <w:szCs w:val="22"/>
          <w:lang w:val="it-IT"/>
        </w:rPr>
        <w:tab/>
        <w:t xml:space="preserve">“   </w:t>
      </w:r>
    </w:p>
    <w:p w:rsidR="002D3F52" w:rsidRPr="006A6E10" w:rsidRDefault="002D3F52" w:rsidP="002D3F52">
      <w:pPr>
        <w:pStyle w:val="Paragrafi"/>
        <w:rPr>
          <w:szCs w:val="22"/>
          <w:lang w:val="it-IT"/>
        </w:rPr>
      </w:pPr>
      <w:r w:rsidRPr="006A6E10">
        <w:rPr>
          <w:szCs w:val="22"/>
          <w:lang w:val="it-IT"/>
        </w:rPr>
        <w:t>Sokol Sadushi</w:t>
      </w:r>
      <w:r w:rsidRPr="006A6E10">
        <w:rPr>
          <w:szCs w:val="22"/>
          <w:lang w:val="it-IT"/>
        </w:rPr>
        <w:tab/>
      </w:r>
      <w:r w:rsidRPr="006A6E10">
        <w:rPr>
          <w:szCs w:val="22"/>
          <w:lang w:val="it-IT"/>
        </w:rPr>
        <w:tab/>
        <w:t>Anëtar   i</w:t>
      </w:r>
      <w:r w:rsidRPr="006A6E10">
        <w:rPr>
          <w:szCs w:val="22"/>
          <w:lang w:val="it-IT"/>
        </w:rPr>
        <w:tab/>
        <w:t>“</w:t>
      </w:r>
      <w:r w:rsidRPr="006A6E10">
        <w:rPr>
          <w:szCs w:val="22"/>
          <w:lang w:val="it-IT"/>
        </w:rPr>
        <w:tab/>
        <w:t>“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Petrit Plloçi</w:t>
      </w:r>
      <w:r w:rsidRPr="006A6E10">
        <w:rPr>
          <w:szCs w:val="22"/>
        </w:rPr>
        <w:tab/>
      </w:r>
      <w:r w:rsidRPr="006A6E10">
        <w:rPr>
          <w:szCs w:val="22"/>
        </w:rPr>
        <w:tab/>
        <w:t>Anëtar   i</w:t>
      </w:r>
      <w:r w:rsidRPr="006A6E10">
        <w:rPr>
          <w:szCs w:val="22"/>
        </w:rPr>
        <w:tab/>
        <w:t>“</w:t>
      </w:r>
      <w:r w:rsidRPr="006A6E10">
        <w:rPr>
          <w:szCs w:val="22"/>
        </w:rPr>
        <w:tab/>
        <w:t xml:space="preserve">“  </w:t>
      </w:r>
    </w:p>
    <w:p w:rsidR="002D3F52" w:rsidRPr="006A6E10" w:rsidRDefault="002D3F52" w:rsidP="002D3F52">
      <w:pPr>
        <w:pStyle w:val="Paragrafi"/>
        <w:rPr>
          <w:szCs w:val="22"/>
        </w:rPr>
      </w:pP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me sekretare Brunilda Bara, në datë 30.11.2006, mori në shqyrtim në seancë gjyqësore me dyer të hapura çështjen nr.42/12 Akti që i përket: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 xml:space="preserve">KËRKUES: SELAMI ZALLI,  përfaqësuar nga avokat Vangjel Kosta, me deklarim.  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SUBJEKT I INTERESUAR: PROKURORIA E PËRGJITHSHME, në mungesë.</w:t>
      </w:r>
    </w:p>
    <w:p w:rsidR="002D3F52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 xml:space="preserve"> OBJEKTI: Shpallja si i papajtueshëm me Kushtetutën i vendimit nr.4, datë 1.7.2004 të Kolegjeve të Bashkuara të Gjykatës së Lartë. 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Kërkuesi ka parashtruar se vendimi i kundërshtuar është rezultat i një procesi të parregullt ligjor në drejtimet e mëposhtme: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- Është cenuar e drejta për t’iu drejtuar gjykatës, sepse gjykatat nuk janë shprehur për të gjitha kërkimet e paraqitura.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- Çështja nuk është gjykuar nga një “gjykatë e caktuar me ligj”, sepse Kolegjet e Bashkuara të Gjykatës së Lartë nuk kanë dalë me vendim unifikues. Për pasojë, Kolegjet e Bashkuara nuk ishin kompetente ta shqyrtonin vetë çështjen, por duhet t’ia dërgonin për shqyrtim Kolegjit Civil të asaj Gjykate.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- Kolegjet e Bashkuara të Gjykatës së Lartë kanë mbajtur qëndrim të njëanshëm, sepse vendimi i kundërshtuar vjen në kundërshtim me një vendim të mëparshëm unifikues të kësaj Gjykate.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 xml:space="preserve">    </w:t>
      </w:r>
    </w:p>
    <w:p w:rsidR="002D3F52" w:rsidRPr="006A6E10" w:rsidRDefault="002D3F52" w:rsidP="002D3F52">
      <w:pPr>
        <w:pStyle w:val="VENDOSI"/>
        <w:keepNext w:val="0"/>
      </w:pPr>
      <w:r w:rsidRPr="006A6E10">
        <w:t>GJYKATA KUSHTETUESE,</w:t>
      </w:r>
    </w:p>
    <w:p w:rsidR="002D3F52" w:rsidRPr="006A6E10" w:rsidRDefault="002D3F52" w:rsidP="002D3F52">
      <w:pPr>
        <w:pStyle w:val="Paragrafi"/>
        <w:rPr>
          <w:szCs w:val="22"/>
        </w:rPr>
      </w:pP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pasi dëgjoi relatorin e çështjes Petrit Plloçi, përfaqësuesin e kërkuesit dhe shqyrtoi çështjen në tërësi,</w:t>
      </w:r>
    </w:p>
    <w:p w:rsidR="002D3F52" w:rsidRPr="006A6E10" w:rsidRDefault="002D3F52" w:rsidP="002D3F52">
      <w:pPr>
        <w:pStyle w:val="Paragrafi"/>
        <w:rPr>
          <w:szCs w:val="22"/>
        </w:rPr>
      </w:pPr>
    </w:p>
    <w:p w:rsidR="002D3F52" w:rsidRPr="006A6E10" w:rsidRDefault="002D3F52" w:rsidP="002D3F52">
      <w:pPr>
        <w:pStyle w:val="VENDOSI"/>
        <w:keepNext w:val="0"/>
      </w:pPr>
      <w:r w:rsidRPr="006A6E10">
        <w:t>VËREN:</w:t>
      </w:r>
    </w:p>
    <w:p w:rsidR="002D3F52" w:rsidRPr="006A6E10" w:rsidRDefault="002D3F52" w:rsidP="002D3F52">
      <w:pPr>
        <w:pStyle w:val="Paragrafi"/>
        <w:rPr>
          <w:szCs w:val="22"/>
        </w:rPr>
      </w:pP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Me dekretin nr.3037, datë 1.6.2001 të Presidentit të Republikës së Shqipërisë, kërkuesi është transferuar nga detyra e prokurorit të Drejtorisë së Hetimit e Kontrollit të Prokurorisë së Përgjithshme, në detyrën e prokurorit në Prokurorinë pranë Gjykatës së Rrethit Gjyqësor Pogradec.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Mbi padinë e kërkuesit, Gjykata e Apelit Tiranë, me vendimin nr.97, datë 18.9.2002, ka vendosur pranimin e padisë, duke shfuqizuar dekretin nr.3037, datë 1.6.2001 të Presidentit të Republikës së Shqipërisë përsa i përket transferimit të kërkuesit.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Mbi rekursin e Prokurorit të Përgjithshëm, Kolegjet e Bashkuara të Gjykatës së Lartë, me vendimin nr.3, datë 30.1.2002, kanë vendosur prishjen e vendimit të mësipërm të Gjykatës së Apelit Tiranë dhe pushimin e gjykimit të çështjes.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Mbi kërkesën e Selami Zallit, Gjykata Kushtetuese, me vendimin nr.38, datë 23.12.2003, ka vendosur shfuqizimin e vendimit të mësipërm të Kolegjeve të Bashkuara të Gjykatës së Lartë dhe dërgimin e çështjes për shqyrtim po në atë Gjykatë.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Kolegjet e Bashkuara të Gjykatës së Lartë, me vendimin nr.4, datë 1.7.2004, kanë vendosur ndryshimin e vendimit nr.97, datë 18.9.2002 të Gjykatës së Apelit Tiranë dhe rrëzimin e padisë.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 xml:space="preserve">Vendimi i fundit i Kolegjeve të Bashkuara është kundërshtuar nga kërkuesi duke kërkuar </w:t>
      </w:r>
      <w:r w:rsidRPr="006A6E10">
        <w:rPr>
          <w:szCs w:val="22"/>
        </w:rPr>
        <w:lastRenderedPageBreak/>
        <w:t>shfuqizimin e tij si jokushtetues.</w:t>
      </w:r>
    </w:p>
    <w:p w:rsidR="002D3F52" w:rsidRPr="00921515" w:rsidRDefault="002D3F52" w:rsidP="002D3F52">
      <w:pPr>
        <w:pStyle w:val="Paragrafi"/>
        <w:rPr>
          <w:i/>
          <w:szCs w:val="22"/>
        </w:rPr>
      </w:pPr>
      <w:r w:rsidRPr="00921515">
        <w:rPr>
          <w:i/>
          <w:szCs w:val="22"/>
        </w:rPr>
        <w:t>1. Për shkeljen e së drejtës për t’iu drejtuar gjykatës.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Vendimi i Kolegjeve të Bashkuara është kundërshtuar nga kërkuesi me pretendimin se kjo Gjykatë nuk është shprehur për të gjitha kërkimet e tij, për pasojë është shkelur e drejta e aksesit në gjykatë, si një nga aspektet e së drejtës për një proces të rregullt ligjor, parashikuar në nenin 42 të Kushtetutës së Republikës së Shqipërisë.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Konkretisht, kërkuesi ka pretenduar se me padinë drejtuar Gjykatës së Apelit Tiranë, përveç kërkimit për shfuqizimin e dekretit nr.3037, datë 1.6.2001 të Presidentit të Republikës për transferimin e tij ka kërkuar edhe “detyrimin për shpërblimin e dëmit të shkaktuar nga nxjerrja  aktit”.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Lidhur me këtë pretendim Gjykata Kushtetuese konstatoi se në datë 29.3.2002 kërkuesi ka ngritur padi me objekt shfuqizimin e dekretit të mësipërm të Presidentit të Republikës. Në këtë padi nuk është parashtruar ndonjë kërkim tjetër nga ana e kërkuesit për dëmshpërblim. Më pas, kërkuesi ka kërkuar shtimin e objektit të padisë për detyrimin e të paditurve për shpërblimin e dëmit të shkaktuar nga transferimi i paligjshëm. Rezulton gjithashtu se në këtë kërkesë, nga ana e kërkuesit, nuk është përcaktuar vlera e objektit të padisë. Në përfundim të gjykimit, Gjykata e Apelit Tiranë ka vendosur shfuqizimin e dekretit, ndërsa për kërkimin për shpërblimin e dëmit nuk është shprehur. Në Gjykatën e Lartë çështja ka shkuar mbi bazën e rekursit të Prokurorit të Përgjithshëm të Republikës së Shqipërisë dhe të vendimit të Kryetarit të Gjykatës së Lartë për shqyrtimin e çështjes në Kolegjet e Bashkuara. Lidhur me këtë kërkim të kërkuesit, Kolegjet e Bashkuara të Gjykatës së Lartë janë shprehur se kjo Gjykatë nuk mund të shprehet për “</w:t>
      </w:r>
      <w:r w:rsidRPr="0014025B">
        <w:rPr>
          <w:i/>
          <w:szCs w:val="22"/>
        </w:rPr>
        <w:t>zgjidhjen e pasojave që rrjedhin prej transferimit</w:t>
      </w:r>
      <w:r w:rsidRPr="006A6E10">
        <w:rPr>
          <w:szCs w:val="22"/>
        </w:rPr>
        <w:t>”, sepse “</w:t>
      </w:r>
      <w:r w:rsidRPr="0014025B">
        <w:rPr>
          <w:i/>
          <w:szCs w:val="22"/>
        </w:rPr>
        <w:t>nuk janë trajtuar gjatë gjykimit në apel</w:t>
      </w:r>
      <w:r w:rsidRPr="006A6E10">
        <w:rPr>
          <w:szCs w:val="22"/>
        </w:rPr>
        <w:t>” dhe se “</w:t>
      </w:r>
      <w:r w:rsidRPr="0014025B">
        <w:rPr>
          <w:i/>
          <w:szCs w:val="22"/>
        </w:rPr>
        <w:t>këto kërkime mund të zgjidhen në një gjykim tjetër në bazë të disponibilitetit të paditësit</w:t>
      </w:r>
      <w:r w:rsidRPr="006A6E10">
        <w:rPr>
          <w:szCs w:val="22"/>
        </w:rPr>
        <w:t>”.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Me këtë rast, Gjykata Kushtetuese përsërit qëndrimin e saj se e drejta për t’iu drejtuar gjykatës ësht</w:t>
      </w:r>
      <w:r>
        <w:rPr>
          <w:szCs w:val="22"/>
        </w:rPr>
        <w:t>ë një nga aspektet e s</w:t>
      </w:r>
      <w:r w:rsidRPr="006A6E10">
        <w:rPr>
          <w:szCs w:val="22"/>
        </w:rPr>
        <w:t>ë drejtës për një proces të rregullt ligjor, parashikuar nga neni 42 i Kushtetutës. Por, Gjykata Kushtetuese thekson se e drejta e aksesit në gjykatë nuk është absolute, pasi nga natyra e saj kjo e drejtë kërkon rregullim ligjor. Një aspekt konkret i këtij rregullimi janë edhe rregullat për paraqitjen e padisë, që përcakton Kodi i Procedurës Civile. Për pasojë, fakti se kërkuesi ka paraqitur një kërkesë për shtimin e objektit të padisë, që nuk përmbush standardet e padisë nuk e vinte gjykatën para detyrimit për ta marrë atë në shqyrtim. E drejta e aksesit në gjykatë imponon për kërkuesin respektimin e rregullave procedurale në këtë drejtim. Përveç kësaj, Gjykata Kushtetuese konstaton se Gjykata e Lartë e ka lënë të hapur mundësinë që kërkuesi lidhur me kërkimin për shpërblimin e dëmit mund t’i drejtohet me padi të veçantë gjykatës së apelit.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Në këto kushte, Gjykata Kushtetuese konkludon se e drejta e aksesit në gjykatë nuk është shkelur.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921515">
        <w:rPr>
          <w:i/>
          <w:szCs w:val="22"/>
        </w:rPr>
        <w:t>2. Për shkeljen e parimit të gjykimit nga një “gjykatë e caktuar me ligj</w:t>
      </w:r>
      <w:r w:rsidRPr="006A6E10">
        <w:rPr>
          <w:szCs w:val="22"/>
        </w:rPr>
        <w:t>”.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Gjykata vë në dukje se objekti i termit “</w:t>
      </w:r>
      <w:r w:rsidRPr="00921515">
        <w:rPr>
          <w:i/>
          <w:szCs w:val="22"/>
        </w:rPr>
        <w:t>gjykatë e caktuar me ligj</w:t>
      </w:r>
      <w:r w:rsidRPr="006A6E10">
        <w:rPr>
          <w:szCs w:val="22"/>
        </w:rPr>
        <w:t>”, në nenin 42/2 të Kushtetutës, është të sigurojë që organizimi gjyqësor në një shoqëri demokratike të mos varet në diskrecionin e ekzekutivit, por të rregullohet me ligj të parlamentit. Gjykata shton se shprehja “</w:t>
      </w:r>
      <w:r w:rsidRPr="00A36B35">
        <w:rPr>
          <w:i/>
          <w:szCs w:val="22"/>
        </w:rPr>
        <w:t>gjykatë e caktuar me ligj</w:t>
      </w:r>
      <w:r w:rsidRPr="006A6E10">
        <w:rPr>
          <w:szCs w:val="22"/>
        </w:rPr>
        <w:t>” mbulon jo vetëm bazën ligjore për ekzistencën e vetë “</w:t>
      </w:r>
      <w:r w:rsidRPr="00A36B35">
        <w:rPr>
          <w:i/>
          <w:szCs w:val="22"/>
        </w:rPr>
        <w:t>gjykatës</w:t>
      </w:r>
      <w:r w:rsidRPr="006A6E10">
        <w:rPr>
          <w:szCs w:val="22"/>
        </w:rPr>
        <w:t>”, por edhe përbërjen e trupit gjykues të ngarkuar për gjykimin e çdo çështje</w:t>
      </w:r>
      <w:r>
        <w:rPr>
          <w:szCs w:val="22"/>
        </w:rPr>
        <w:t>je</w:t>
      </w:r>
      <w:r w:rsidRPr="006A6E10">
        <w:rPr>
          <w:szCs w:val="22"/>
        </w:rPr>
        <w:t xml:space="preserve"> konkrete.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Në këndvështrimin e konsideratave të mësipërme, Gjykata Kushtetuese vlerëson se Kolegjet e Bashkuara të Gjykatës së Lartë për gjykimin e çështjes që u është paraqitur kanë qenë “</w:t>
      </w:r>
      <w:r w:rsidRPr="008F092C">
        <w:rPr>
          <w:i/>
          <w:szCs w:val="22"/>
        </w:rPr>
        <w:t>gjykatë e caktuar me ligj</w:t>
      </w:r>
      <w:r w:rsidRPr="006A6E10">
        <w:rPr>
          <w:szCs w:val="22"/>
        </w:rPr>
        <w:t>”.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Sipas nenit 481 të Kodit të Procedurës Civile “</w:t>
      </w:r>
      <w:r w:rsidRPr="00E25388">
        <w:rPr>
          <w:i/>
          <w:szCs w:val="22"/>
        </w:rPr>
        <w:t>Kryetari i Gjykatës së Lartë mund të vendosë që gjykata të shprehet në kolegje të bashkuara për rekurse të paraqitura nga palët, për të cilat ka praktika të ndryshme e të mëparshme në kolegjet e thjeshta</w:t>
      </w:r>
      <w:r w:rsidRPr="006A6E10">
        <w:rPr>
          <w:szCs w:val="22"/>
        </w:rPr>
        <w:t>”. Ndërsa sipas nenit 485 të këtij Kodi, në përfundim të shqyrtimit të çështjes, si kolegji civil,</w:t>
      </w:r>
      <w:r>
        <w:rPr>
          <w:szCs w:val="22"/>
        </w:rPr>
        <w:t xml:space="preserve"> ashtu dhe Kolegjet e B</w:t>
      </w:r>
      <w:r w:rsidRPr="006A6E10">
        <w:rPr>
          <w:szCs w:val="22"/>
        </w:rPr>
        <w:t>ashkuara kanë të njëjtat mundësi procedurale për të vendosur. Për pasojë, Gjykata Kushtetuese vlerëson se shqyrtimi i çështjes në këto kolegje nuk e keqëson mundësinë procedurale të kërkuesit.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Përsa sipër, Gjykata Kushtetuese konkludon se në rastin në shqyrtim ka një bazë të vlefshme juridike që çështja e kërkuesit të shqyrtohej nga Kolegjet e Bashkuara të Gjykatës së Lartë si “gjykatë e caktuar me ligj”.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FE1013">
        <w:rPr>
          <w:i/>
          <w:szCs w:val="22"/>
        </w:rPr>
        <w:t>3. Për shkeljen e parimit të gjykimit nga një “gjykatë e paanshme</w:t>
      </w:r>
      <w:r w:rsidRPr="006A6E10">
        <w:rPr>
          <w:szCs w:val="22"/>
        </w:rPr>
        <w:t>”.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Përsa i përket “</w:t>
      </w:r>
      <w:r w:rsidRPr="00565767">
        <w:rPr>
          <w:i/>
          <w:szCs w:val="22"/>
        </w:rPr>
        <w:t>paanshmërisë</w:t>
      </w:r>
      <w:r w:rsidRPr="006A6E10">
        <w:rPr>
          <w:szCs w:val="22"/>
        </w:rPr>
        <w:t>” në kuptim të nenit 42/2 të Kushtetutës, ekzistojnë dy teste për të vlerësuar nëse një g</w:t>
      </w:r>
      <w:r>
        <w:rPr>
          <w:szCs w:val="22"/>
        </w:rPr>
        <w:t>jykatë është e paanshme: i pari</w:t>
      </w:r>
      <w:r w:rsidRPr="006A6E10">
        <w:rPr>
          <w:szCs w:val="22"/>
        </w:rPr>
        <w:t xml:space="preserve"> konsiston në përcaktimin e bindjes personale të </w:t>
      </w:r>
      <w:r w:rsidRPr="006A6E10">
        <w:rPr>
          <w:szCs w:val="22"/>
        </w:rPr>
        <w:lastRenderedPageBreak/>
        <w:t>gjyqtarit në fjalë, në një çështje të dhënë; dhe i dyti, në vlerësimin nëse gjyqtari ka ofruar garanci të mjaftueshme për të përjashtuar çdo dyshim të ligjshëm në këtë drejtim. Përjashtimi i këtyre dyshimeve është garanci për besimin që duhet të frymëzojnë gjykatat në një shoqëri demokratike për publikun dhe mbi të gjitha, për palët në procesin gjyqësor.</w:t>
      </w: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Në çështjen në shqyrtim, kërkuesi ka parashtruar si rrethanë për njëanshmërinë e Kolegjeve të Bashkuara të Gjykatës së Lartë pretendimin se vendimi i dhënë nga kolegjet e bashkuara vjen në kundërshtim me një vendim të mëparshëm unifikues të këtyre kolegjeve.</w:t>
      </w:r>
    </w:p>
    <w:p w:rsidR="002D3F52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Nisur nga konsideratat e mësipërme, Gjykata Kushtetuese konkludon se ky pretendim nuk ka të bëjë me njëanshmërinë e gjykatës. Zbatimi i ligjit dhe unifikimi i praktikës gjyqësore është në diskrecionin e Gjykatës së Lartë. Koherenca e vendimeve të kësaj Gjykate është një aspekt i besueshmërisë në këto vendime, por shmangia e kësaj Gjykate, në ndonjë rast, nga praktika e saj e unifikuar, nuk mund të interpretohet si shkelje e standardit të paanshmërisë së gjykatës. Përveç kësaj, kërkuesi nuk ka paraqitur ndonjë rrethanë tjetër, që vë në dyshim paanshmërinë e Gjykatës së Lartë në aspektin objektiv dhe subjektiv, rrethana që, në vija të përgjithshme, përshkruhen në nenin 72 të Kodit të Procedurës Civile.</w:t>
      </w:r>
    </w:p>
    <w:p w:rsidR="002D3F52" w:rsidRDefault="002D3F52" w:rsidP="002D3F52">
      <w:pPr>
        <w:pStyle w:val="Paragrafi"/>
        <w:rPr>
          <w:szCs w:val="22"/>
        </w:rPr>
      </w:pP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>Për pasojë, Gjykata Kushtetuese konkludon se kërkuesi nuk ka asnjë bazë të ligjshme për të vënë në dyshim paanshmërinë e Kolegjeve të Bashkuara të Gjykatës së Lartë në shqyrtimin e çështjes së tij.</w:t>
      </w:r>
    </w:p>
    <w:p w:rsidR="002D3F52" w:rsidRPr="0084785C" w:rsidRDefault="002D3F52" w:rsidP="002D3F52">
      <w:pPr>
        <w:pStyle w:val="Paragrafi"/>
        <w:rPr>
          <w:sz w:val="14"/>
          <w:szCs w:val="22"/>
        </w:rPr>
      </w:pPr>
    </w:p>
    <w:p w:rsidR="002D3F52" w:rsidRPr="006A6E10" w:rsidRDefault="002D3F52" w:rsidP="002D3F52">
      <w:pPr>
        <w:pStyle w:val="VENDOSI"/>
        <w:keepNext w:val="0"/>
      </w:pPr>
      <w:r w:rsidRPr="006A6E10">
        <w:t>PËR KËTO ARSYE,</w:t>
      </w:r>
    </w:p>
    <w:p w:rsidR="002D3F52" w:rsidRPr="0084785C" w:rsidRDefault="002D3F52" w:rsidP="002D3F52">
      <w:pPr>
        <w:pStyle w:val="Paragrafi"/>
        <w:rPr>
          <w:sz w:val="14"/>
          <w:szCs w:val="22"/>
        </w:rPr>
      </w:pP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 xml:space="preserve">Gjykata Kushtetuese e Republikës së Shqipërisë, në mbështetje të neneve 72 e 77 të ligjit nr.8577, datë 10.2.2000 “Për organizimin dhe funksionimin e Gjykatës Kushtetuese të Republikës së Shqipërisë”, njëzëri, </w:t>
      </w:r>
    </w:p>
    <w:p w:rsidR="002D3F52" w:rsidRPr="009B27A8" w:rsidRDefault="002D3F52" w:rsidP="002D3F52">
      <w:pPr>
        <w:pStyle w:val="Paragrafi"/>
        <w:rPr>
          <w:sz w:val="14"/>
          <w:szCs w:val="22"/>
        </w:rPr>
      </w:pPr>
    </w:p>
    <w:p w:rsidR="002D3F52" w:rsidRPr="006A6E10" w:rsidRDefault="002D3F52" w:rsidP="002D3F52">
      <w:pPr>
        <w:pStyle w:val="VENDOSI"/>
        <w:keepNext w:val="0"/>
      </w:pPr>
      <w:r w:rsidRPr="006A6E10">
        <w:t>VENDOSI:</w:t>
      </w:r>
    </w:p>
    <w:p w:rsidR="002D3F52" w:rsidRPr="006A6E10" w:rsidRDefault="002D3F52" w:rsidP="002D3F52">
      <w:pPr>
        <w:pStyle w:val="Paragrafi"/>
        <w:rPr>
          <w:szCs w:val="22"/>
        </w:rPr>
      </w:pPr>
    </w:p>
    <w:p w:rsidR="002D3F52" w:rsidRPr="006A6E10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 xml:space="preserve">- Rrëzimin e kërkesës.  </w:t>
      </w:r>
    </w:p>
    <w:p w:rsidR="002D3F52" w:rsidRDefault="002D3F52" w:rsidP="002D3F52">
      <w:pPr>
        <w:pStyle w:val="Paragrafi"/>
        <w:rPr>
          <w:szCs w:val="22"/>
        </w:rPr>
      </w:pPr>
      <w:r w:rsidRPr="006A6E10">
        <w:rPr>
          <w:szCs w:val="22"/>
        </w:rPr>
        <w:t xml:space="preserve">- Ky vendim është përfundimtar, i formës së prerë dhe hyn në fuqi ditën e botimit në Fletoren Zyrtare. </w:t>
      </w:r>
    </w:p>
    <w:p w:rsidR="002D3F52" w:rsidRDefault="002D3F52" w:rsidP="002D3F52">
      <w:pPr>
        <w:pStyle w:val="Paragrafi"/>
        <w:rPr>
          <w:szCs w:val="22"/>
        </w:rPr>
      </w:pPr>
    </w:p>
    <w:p w:rsidR="000178C2" w:rsidRPr="00C84B66" w:rsidRDefault="000178C2" w:rsidP="002D3F5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3F52"/>
    <w:rsid w:val="000178C2"/>
    <w:rsid w:val="002D3F52"/>
    <w:rsid w:val="00B00D1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A1C192-28A4-48AC-AA5E-E26CC8FE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D3F5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2D3F5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D3F5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2D3F5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D3F5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1447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2019-03-16T14:59:00Z</dcterms:created>
  <dcterms:modified xsi:type="dcterms:W3CDTF">2019-03-16T14:59:00Z</dcterms:modified>
</cp:coreProperties>
</file>