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130" w:rsidRPr="00A01E8F" w:rsidRDefault="00441130" w:rsidP="00441130">
      <w:pPr>
        <w:pStyle w:val="Akti"/>
        <w:keepNext w:val="0"/>
      </w:pPr>
      <w:bookmarkStart w:id="0" w:name="_GoBack"/>
      <w:bookmarkEnd w:id="0"/>
      <w:r w:rsidRPr="00A01E8F">
        <w:t>VENDIM</w:t>
      </w:r>
    </w:p>
    <w:p w:rsidR="00441130" w:rsidRPr="00A01E8F" w:rsidRDefault="00441130" w:rsidP="00441130">
      <w:pPr>
        <w:pStyle w:val="NumriData"/>
        <w:keepNext w:val="0"/>
      </w:pPr>
      <w:r w:rsidRPr="00A01E8F">
        <w:t>Nr.29, datë 22.6.2007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</w:p>
    <w:p w:rsidR="00441130" w:rsidRPr="00A01E8F" w:rsidRDefault="00441130" w:rsidP="00441130">
      <w:pPr>
        <w:pStyle w:val="Titulli"/>
        <w:keepNext w:val="0"/>
      </w:pPr>
      <w:r w:rsidRPr="00A01E8F">
        <w:t>NË EMËR TË REPUBLIKËS SË SHQIPËRISË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</w:p>
    <w:p w:rsidR="00441130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Gjykata Kushtetuese e Republikës së Shqipërisë, e përbërë nga: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Gjergji Sauli</w:t>
      </w:r>
      <w:r w:rsidRPr="00A01E8F">
        <w:rPr>
          <w:szCs w:val="22"/>
          <w:lang w:val="sq-AL"/>
        </w:rPr>
        <w:tab/>
      </w:r>
      <w:r w:rsidRPr="00A01E8F">
        <w:rPr>
          <w:szCs w:val="22"/>
          <w:lang w:val="sq-AL"/>
        </w:rPr>
        <w:tab/>
        <w:t>Kryetar  i Gjykatës Kushtetuese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Alfred Karamuço</w:t>
      </w:r>
      <w:r w:rsidRPr="00A01E8F">
        <w:rPr>
          <w:szCs w:val="22"/>
          <w:lang w:val="sq-AL"/>
        </w:rPr>
        <w:tab/>
        <w:t>Anëtar   i</w:t>
      </w:r>
      <w:r w:rsidRPr="00A01E8F">
        <w:rPr>
          <w:szCs w:val="22"/>
          <w:lang w:val="sq-AL"/>
        </w:rPr>
        <w:tab/>
        <w:t>“</w:t>
      </w:r>
      <w:r w:rsidRPr="00A01E8F">
        <w:rPr>
          <w:szCs w:val="22"/>
          <w:lang w:val="sq-AL"/>
        </w:rPr>
        <w:tab/>
        <w:t xml:space="preserve">“ </w:t>
      </w:r>
      <w:r w:rsidRPr="00A01E8F">
        <w:rPr>
          <w:szCs w:val="22"/>
          <w:lang w:val="sq-AL"/>
        </w:rPr>
        <w:tab/>
        <w:t xml:space="preserve">   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Fehmi Abdiu</w:t>
      </w:r>
      <w:r w:rsidRPr="00A01E8F">
        <w:rPr>
          <w:szCs w:val="22"/>
          <w:lang w:val="sq-AL"/>
        </w:rPr>
        <w:tab/>
      </w:r>
      <w:r w:rsidRPr="00A01E8F">
        <w:rPr>
          <w:szCs w:val="22"/>
          <w:lang w:val="sq-AL"/>
        </w:rPr>
        <w:tab/>
        <w:t xml:space="preserve">Anëtar   i </w:t>
      </w:r>
      <w:r w:rsidRPr="00A01E8F">
        <w:rPr>
          <w:szCs w:val="22"/>
          <w:lang w:val="sq-AL"/>
        </w:rPr>
        <w:tab/>
        <w:t>“</w:t>
      </w:r>
      <w:r w:rsidRPr="00A01E8F">
        <w:rPr>
          <w:szCs w:val="22"/>
          <w:lang w:val="sq-AL"/>
        </w:rPr>
        <w:tab/>
        <w:t>“</w:t>
      </w:r>
      <w:r w:rsidRPr="00A01E8F">
        <w:rPr>
          <w:szCs w:val="22"/>
          <w:lang w:val="sq-AL"/>
        </w:rPr>
        <w:tab/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Kristofor Peçi</w:t>
      </w:r>
      <w:r w:rsidRPr="00A01E8F">
        <w:rPr>
          <w:szCs w:val="22"/>
          <w:lang w:val="sq-AL"/>
        </w:rPr>
        <w:tab/>
      </w:r>
      <w:r w:rsidRPr="00A01E8F">
        <w:rPr>
          <w:szCs w:val="22"/>
          <w:lang w:val="sq-AL"/>
        </w:rPr>
        <w:tab/>
        <w:t xml:space="preserve">Anëtar   i </w:t>
      </w:r>
      <w:r w:rsidRPr="00A01E8F">
        <w:rPr>
          <w:szCs w:val="22"/>
          <w:lang w:val="sq-AL"/>
        </w:rPr>
        <w:tab/>
        <w:t>“</w:t>
      </w:r>
      <w:r w:rsidRPr="00A01E8F">
        <w:rPr>
          <w:szCs w:val="22"/>
          <w:lang w:val="sq-AL"/>
        </w:rPr>
        <w:tab/>
        <w:t>“</w:t>
      </w:r>
      <w:r w:rsidRPr="00A01E8F">
        <w:rPr>
          <w:szCs w:val="22"/>
          <w:lang w:val="sq-AL"/>
        </w:rPr>
        <w:tab/>
        <w:t xml:space="preserve">   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Kujtim Puto</w:t>
      </w:r>
      <w:r w:rsidRPr="00A01E8F">
        <w:rPr>
          <w:szCs w:val="22"/>
          <w:lang w:val="sq-AL"/>
        </w:rPr>
        <w:tab/>
      </w:r>
      <w:r w:rsidRPr="00A01E8F">
        <w:rPr>
          <w:szCs w:val="22"/>
          <w:lang w:val="sq-AL"/>
        </w:rPr>
        <w:tab/>
        <w:t xml:space="preserve">Anëtar   i </w:t>
      </w:r>
      <w:r w:rsidRPr="00A01E8F">
        <w:rPr>
          <w:szCs w:val="22"/>
          <w:lang w:val="sq-AL"/>
        </w:rPr>
        <w:tab/>
        <w:t>“</w:t>
      </w:r>
      <w:r w:rsidRPr="00A01E8F">
        <w:rPr>
          <w:szCs w:val="22"/>
          <w:lang w:val="sq-AL"/>
        </w:rPr>
        <w:tab/>
        <w:t>“</w:t>
      </w:r>
      <w:r w:rsidRPr="00A01E8F">
        <w:rPr>
          <w:szCs w:val="22"/>
          <w:lang w:val="sq-AL"/>
        </w:rPr>
        <w:tab/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Vjollca Meçaj</w:t>
      </w:r>
      <w:r w:rsidRPr="00A01E8F">
        <w:rPr>
          <w:szCs w:val="22"/>
          <w:lang w:val="sq-AL"/>
        </w:rPr>
        <w:tab/>
      </w:r>
      <w:r w:rsidRPr="00A01E8F">
        <w:rPr>
          <w:szCs w:val="22"/>
          <w:lang w:val="sq-AL"/>
        </w:rPr>
        <w:tab/>
        <w:t>Anëtare e</w:t>
      </w:r>
      <w:r w:rsidRPr="00A01E8F">
        <w:rPr>
          <w:szCs w:val="22"/>
          <w:lang w:val="sq-AL"/>
        </w:rPr>
        <w:tab/>
        <w:t>“</w:t>
      </w:r>
      <w:r w:rsidRPr="00A01E8F">
        <w:rPr>
          <w:szCs w:val="22"/>
          <w:lang w:val="sq-AL"/>
        </w:rPr>
        <w:tab/>
        <w:t>“</w:t>
      </w:r>
      <w:r w:rsidRPr="00A01E8F">
        <w:rPr>
          <w:szCs w:val="22"/>
          <w:lang w:val="sq-AL"/>
        </w:rPr>
        <w:tab/>
      </w:r>
      <w:r w:rsidRPr="00A01E8F">
        <w:rPr>
          <w:szCs w:val="22"/>
          <w:lang w:val="sq-AL"/>
        </w:rPr>
        <w:tab/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Xhezair Zaganjori</w:t>
      </w:r>
      <w:r w:rsidRPr="00A01E8F">
        <w:rPr>
          <w:szCs w:val="22"/>
          <w:lang w:val="sq-AL"/>
        </w:rPr>
        <w:tab/>
        <w:t>Anëtar   i</w:t>
      </w:r>
      <w:r w:rsidRPr="00A01E8F">
        <w:rPr>
          <w:szCs w:val="22"/>
          <w:lang w:val="sq-AL"/>
        </w:rPr>
        <w:tab/>
        <w:t>“</w:t>
      </w:r>
      <w:r w:rsidRPr="00A01E8F">
        <w:rPr>
          <w:szCs w:val="22"/>
          <w:lang w:val="sq-AL"/>
        </w:rPr>
        <w:tab/>
        <w:t>“</w:t>
      </w:r>
      <w:r w:rsidRPr="00A01E8F">
        <w:rPr>
          <w:szCs w:val="22"/>
          <w:lang w:val="sq-AL"/>
        </w:rPr>
        <w:tab/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Sokol Sadushi</w:t>
      </w:r>
      <w:r w:rsidRPr="00A01E8F">
        <w:rPr>
          <w:szCs w:val="22"/>
          <w:lang w:val="sq-AL"/>
        </w:rPr>
        <w:tab/>
      </w:r>
      <w:r w:rsidRPr="00A01E8F">
        <w:rPr>
          <w:szCs w:val="22"/>
          <w:lang w:val="sq-AL"/>
        </w:rPr>
        <w:tab/>
        <w:t xml:space="preserve">Anëtar   i </w:t>
      </w:r>
      <w:r w:rsidRPr="00A01E8F">
        <w:rPr>
          <w:szCs w:val="22"/>
          <w:lang w:val="sq-AL"/>
        </w:rPr>
        <w:tab/>
        <w:t>“</w:t>
      </w:r>
      <w:r w:rsidRPr="00A01E8F">
        <w:rPr>
          <w:szCs w:val="22"/>
          <w:lang w:val="sq-AL"/>
        </w:rPr>
        <w:tab/>
        <w:t>“</w:t>
      </w:r>
      <w:r w:rsidRPr="00A01E8F">
        <w:rPr>
          <w:szCs w:val="22"/>
          <w:lang w:val="sq-AL"/>
        </w:rPr>
        <w:tab/>
        <w:t xml:space="preserve">   </w:t>
      </w:r>
    </w:p>
    <w:p w:rsidR="00441130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Petrit Plloçi</w:t>
      </w:r>
      <w:r w:rsidRPr="00A01E8F">
        <w:rPr>
          <w:szCs w:val="22"/>
          <w:lang w:val="sq-AL"/>
        </w:rPr>
        <w:tab/>
      </w:r>
      <w:r w:rsidRPr="00A01E8F">
        <w:rPr>
          <w:szCs w:val="22"/>
          <w:lang w:val="sq-AL"/>
        </w:rPr>
        <w:tab/>
        <w:t>Anëtar   i</w:t>
      </w:r>
      <w:r w:rsidRPr="00A01E8F">
        <w:rPr>
          <w:szCs w:val="22"/>
          <w:lang w:val="sq-AL"/>
        </w:rPr>
        <w:tab/>
        <w:t>“</w:t>
      </w:r>
      <w:r w:rsidRPr="00A01E8F">
        <w:rPr>
          <w:szCs w:val="22"/>
          <w:lang w:val="sq-AL"/>
        </w:rPr>
        <w:tab/>
        <w:t>“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ab/>
        <w:t xml:space="preserve">   </w:t>
      </w:r>
    </w:p>
    <w:p w:rsidR="00441130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me sekretare Brunilda Bara, në datë 2.11.2006, mori në shqyrtim në seancë gjyqësore me dyer të hapura çështjen nr.35/5 Akti, që i përket: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 xml:space="preserve">KËRKUES: AGRON PAPAJANI </w:t>
      </w:r>
      <w:r w:rsidRPr="00A01E8F">
        <w:rPr>
          <w:szCs w:val="22"/>
          <w:lang w:val="sq-AL"/>
        </w:rPr>
        <w:tab/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SUBJEKT I INTERESUAR: KËSHILLI I LARTË I DREJTËSISË, përfaqësuar nga inspektorët Izet Sala</w:t>
      </w:r>
      <w:r>
        <w:rPr>
          <w:szCs w:val="22"/>
          <w:lang w:val="sq-AL"/>
        </w:rPr>
        <w:t>,</w:t>
      </w:r>
      <w:r w:rsidRPr="00A01E8F">
        <w:rPr>
          <w:szCs w:val="22"/>
          <w:lang w:val="sq-AL"/>
        </w:rPr>
        <w:t xml:space="preserve"> Mine Progonati, me autorizim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OBJEKTI: Shfuqizimi si i papajtueshëm me Kushtetutën i vendimit nr.175/1, datë 28.4.2005 të Këshillit të Lartë të Drejtësisë.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Kërkuesi</w:t>
      </w:r>
      <w:r w:rsidRPr="00A01E8F">
        <w:rPr>
          <w:szCs w:val="22"/>
          <w:lang w:val="sq-AL"/>
        </w:rPr>
        <w:t xml:space="preserve"> ka pretenduar papajtueshmërinë e vendimit të mësipërm të Këshillit të Lartë të Drejtësisë me Kushtetutën, sepse marrja e masës disiplinore të transferimit, ësht</w:t>
      </w:r>
      <w:r>
        <w:rPr>
          <w:szCs w:val="22"/>
          <w:lang w:val="sq-AL"/>
        </w:rPr>
        <w:t>ë bërë në shkelje të s</w:t>
      </w:r>
      <w:r w:rsidRPr="00A01E8F">
        <w:rPr>
          <w:szCs w:val="22"/>
          <w:lang w:val="sq-AL"/>
        </w:rPr>
        <w:t>ë drejtës për një proces të rregullt ligjor, parashikuar nga neni 42 i Kushtetutës, për shkaqet si vijon: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- Gjatë kohës që Këshilli i Lartë i Drejtësisë ishte tërhequr për vendim, në sallë ndodheshi</w:t>
      </w:r>
      <w:r>
        <w:rPr>
          <w:szCs w:val="22"/>
          <w:lang w:val="sq-AL"/>
        </w:rPr>
        <w:t>n edhe persona të palegjitimuar.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- Vendimi i transferimit është bazuar në nenin 11/3 të Rregullores së Këshillit të Lartë të Drejtësisë, dispozitë kjo që tejkalon përmbajtjen e ligjit nr.8811, datë 17.5.2001 “Për organizimin dhe funksionimin e Këshillit të Lartë të Drejtësisë”. Ajo që parashikon neni 11/3 i Rregullores është një procedurë e re, të cilën li</w:t>
      </w:r>
      <w:r>
        <w:rPr>
          <w:szCs w:val="22"/>
          <w:lang w:val="sq-AL"/>
        </w:rPr>
        <w:t>gji i mësipërm nuk e parashikon.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- Nëpërmjet zbatimit të procedurës së paligjshme që parashikon neni 11/3 i Rregullores, Këshilli i Lartë i Drejtësisë ka shkelur të drejtën e njoftimit, të drejtën për t’u dëgjuar, si dhe të drejtën për t’u mbrojtur në një proces disiplinor.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Përfaqësuesi i subjektit të interesuar, Këshilli i Lartë i Drejtësisë, është shprehur se pretendimet e kërkuesit janë të pabazuara, duke parashtruar: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- Gjyqtarit Agron Papajani në asnjë etapë të procedimit disiplinor nuk i është cenuar e drejta e informimit, e drejta për t’u dëgjuar, s</w:t>
      </w:r>
      <w:r>
        <w:rPr>
          <w:szCs w:val="22"/>
          <w:lang w:val="sq-AL"/>
        </w:rPr>
        <w:t>i dhe e drejta për t’u mbrojtur.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- Nuk është i bazuar pretendimi për paligjshmërinë e nenit 11 të Rregullores së Këshillit të Lartë të Drejtë</w:t>
      </w:r>
      <w:r>
        <w:rPr>
          <w:szCs w:val="22"/>
          <w:lang w:val="sq-AL"/>
        </w:rPr>
        <w:t>sisë.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- Kërkesa për rregullimin e pasojave të ardhura nga vendimi i kundërligjshëm i Këshillit të Lartë të Drejtësisë nuk përbën objekt të shqyrtimit nga Gjykata Kushtetuese.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</w:p>
    <w:p w:rsidR="00441130" w:rsidRPr="00A01E8F" w:rsidRDefault="00441130" w:rsidP="00441130">
      <w:pPr>
        <w:pStyle w:val="Institucioni"/>
        <w:keepNext w:val="0"/>
      </w:pPr>
      <w:r>
        <w:t>GJYKATA KUSHTETUESE,</w:t>
      </w:r>
    </w:p>
    <w:p w:rsidR="00441130" w:rsidRPr="00A01E8F" w:rsidRDefault="00441130" w:rsidP="00441130">
      <w:pPr>
        <w:pStyle w:val="Paragrafi"/>
        <w:ind w:firstLine="0"/>
        <w:jc w:val="center"/>
        <w:rPr>
          <w:szCs w:val="22"/>
          <w:lang w:val="sq-AL"/>
        </w:rPr>
      </w:pP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pasi dëgjoi relatorin e çështjes Petrit Plloçi, kërkuesin, përfaqësuesit e subjektit të interesuar dhe shqyrtoi çështjen,</w:t>
      </w:r>
    </w:p>
    <w:p w:rsidR="00441130" w:rsidRDefault="00441130" w:rsidP="00441130">
      <w:pPr>
        <w:pStyle w:val="Paragrafi"/>
        <w:ind w:firstLine="0"/>
        <w:jc w:val="center"/>
        <w:rPr>
          <w:szCs w:val="22"/>
          <w:lang w:val="sq-AL"/>
        </w:rPr>
      </w:pPr>
    </w:p>
    <w:p w:rsidR="00441130" w:rsidRDefault="00441130" w:rsidP="00441130">
      <w:pPr>
        <w:pStyle w:val="Paragrafi"/>
        <w:ind w:firstLine="0"/>
        <w:jc w:val="center"/>
        <w:rPr>
          <w:szCs w:val="22"/>
          <w:lang w:val="sq-AL"/>
        </w:rPr>
      </w:pPr>
    </w:p>
    <w:p w:rsidR="00441130" w:rsidRDefault="00441130" w:rsidP="00441130">
      <w:pPr>
        <w:pStyle w:val="Paragrafi"/>
        <w:ind w:firstLine="0"/>
        <w:jc w:val="center"/>
        <w:rPr>
          <w:szCs w:val="22"/>
          <w:lang w:val="sq-AL"/>
        </w:rPr>
      </w:pPr>
    </w:p>
    <w:p w:rsidR="00441130" w:rsidRPr="00A01E8F" w:rsidRDefault="00441130" w:rsidP="00441130">
      <w:pPr>
        <w:pStyle w:val="VENDOSI"/>
        <w:keepNext w:val="0"/>
      </w:pPr>
      <w:r w:rsidRPr="00A01E8F">
        <w:t>VËREN:</w:t>
      </w:r>
    </w:p>
    <w:p w:rsidR="00441130" w:rsidRPr="00A01E8F" w:rsidRDefault="00441130" w:rsidP="00441130">
      <w:pPr>
        <w:pStyle w:val="Paragrafi"/>
        <w:ind w:firstLine="0"/>
        <w:jc w:val="center"/>
        <w:rPr>
          <w:szCs w:val="22"/>
          <w:lang w:val="sq-AL"/>
        </w:rPr>
      </w:pP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 xml:space="preserve">Me vendimin nr.175/1, datë 28.4.2005 të Këshillit të Lartë të Drejtësisë, ndaj kërkuesit është </w:t>
      </w:r>
      <w:r w:rsidRPr="00A01E8F">
        <w:rPr>
          <w:szCs w:val="22"/>
          <w:lang w:val="sq-AL"/>
        </w:rPr>
        <w:lastRenderedPageBreak/>
        <w:t>marrë masa disiplinore e “transferimit në një gjykatë tjetër, të një niveli më të ulët”, duke u caktuar nga gjyqtar në Gjykatën e Apelit Tiranë, gjyqtar në Gjykatën e Rrethit Gjyqësor Gramsh.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Kundër vendimit të mësipërm, kërkuesi ka paraqitur ankim në Gjykatën e Lartë.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Kolegjet e Bashkuara të Gjykatës së Lartë, me vendimin nr.11, datë 8.3.2006, kanë vendosur – pushimin e gjykimit të çështjes së ngritur nga gjyqtari Agron Papajani, për mungesë juridiksioni.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Pas dhënies së vendimit nga Gjykata e Lartë, kërkuesi i është drejtuar Gjykatës Kushtetuese, duke kërkuar shpalljen e vendimit të mësipërm të Këshillit të Lartë të Drejtësisë si të papajtueshëm me Kushtetutën, si dhe rregullimin e pasojave të ardhura nga ky vendim</w:t>
      </w:r>
      <w:r>
        <w:rPr>
          <w:szCs w:val="22"/>
          <w:lang w:val="sq-AL"/>
        </w:rPr>
        <w:t>, duke pretenduar</w:t>
      </w:r>
      <w:r w:rsidRPr="00A01E8F">
        <w:rPr>
          <w:szCs w:val="22"/>
          <w:lang w:val="sq-AL"/>
        </w:rPr>
        <w:t xml:space="preserve"> se është rrjedhojë e një procesi të parregullt ligjor, gjë që vjen në kundërshtim me nenin 42 të Kushtetutës. Sipas kërkuesit, procesi i parregullt konsiston në atë, se në sallën e mbledhjes së Këshillit kanë qenë të pranishëm edhe persona të palegjitimuar për të marrë pjesë. Përveç kësaj, vendimi për transferimin e tij është bazuar në nenin 11/3 të Rregullores së Këshillit të Lartë të Drejtësisë, dispozitë kjo që tejkalon përmbajtjen e ligjit nr.8811, datë 17.5.2001 “Për organizimin dhe funksionimin e Këshillit të Lartë të Drejtësisë”. Nëpërmjet kësaj procedure të Rregullores, Këshilli i Lartë i Drejtësisë ka shkelur të drejtën e njoftimit, të drejtën për t’u dëgjuar, si dhe të drejtën për t’u mbrojtur në një proces disiplinor.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Gjykata Kushtetuese verifikoi nëse kjo Gjykatë ka juridiksion për shqyrtimin e kërkesës së mësipërme.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Në bazë të nenit 131/f të Kushtetutës së Republikës së Shqipërisë, Gjykata Kushtetuese e Republikës së Shqipërisë vendos për gjykimin përfundimtar të ankesave të individëve për shkeljen e të drejtave të tyre kushtetuese për një proces të rregullt ligjor, pasi të jenë shterur të gjitha mjetet juridike për mbrojtjen e këtyre të drejtave.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 xml:space="preserve">Në rastin në shqyrtim, Gjykata Kushtetuese konstatoi se kërkuesi nuk i ka shterur të gjitha mjetet juridike për mbrojtjen e të drejtave të tij, sepse ai nuk u është drejtuar fillimisht gjykatave të juridiksionit të zakonshëm. 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Sipas ligjit nr.8811, datë 17.5.2001 “Për organizimin dhe funksionimin e Këshillit të Lartë të Drejtësisë”, neni 34/1, gjyqtarit i ishte njohur e drejta të ankohej në Gjykatën e Lartë për masa disiplinore më të lehta se ajo e shkarkimit. Por, Gjykata Kushtetuese, me vendimin nr.29, datë 9.11.2005, shfuqizoi si të papajtueshme me Kushtetutën atë pjesë të dispozitës që lejonte ankimin e gjyqtarit në Gjykatën e Lartë për këto lloj masash disiplinore.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Neni 147 i Kushtetutës ka parashikuar kompetencën e Këshillit të Lartë të Drejtësisë që të ndërhyjë e të marrë masa për disiplinimin e gjyqtarëve në ato aspekte që lidhen me ushtrimin e funksioneve e ruajtjen e figurës së gjyqtarit. Por, ndërsa për shkarkimin nga detyra Kushtetuta u ka dhënë të drejtë gjyqtarëve të ankohen në Gjykatën e Lartë, për masat e tjera disiplinore nuk përcakton organin ku ata mund të ankohen dhe as mënyrën e shqyrtimit të këtyre ankesave. Llojin dhe natyrën e masave disiplinore</w:t>
      </w:r>
      <w:r>
        <w:rPr>
          <w:szCs w:val="22"/>
          <w:lang w:val="sq-AL"/>
        </w:rPr>
        <w:t>,</w:t>
      </w:r>
      <w:r w:rsidRPr="00A01E8F">
        <w:rPr>
          <w:szCs w:val="22"/>
          <w:lang w:val="sq-AL"/>
        </w:rPr>
        <w:t xml:space="preserve"> si dhe procedurën e marrjes së tyre, Kushtetuta e ka lënë në vlerësimin e ligjvënësit.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Gjykata Kushtetuese duke pranuar se “Kushtetuta nuk i ka lënë ndonjë hapësirë ligjvënësit, që në kuptim të standardit të mbrojtjes së gjyqtarëve, të përfshijë në juridiksionin kushtetues të Gjykatës së Lartë shqyrtimin e ankimit ndaj masave të tjera disiplinore”, nuk ka konsideruar si të papajtueshëm me Kushtetutën shqyrtimin e ankesave të gjyqtarëve kundër masave disiplinore të dhënë ndaj tyre nga gjykatat e zakonshme.</w:t>
      </w:r>
    </w:p>
    <w:p w:rsidR="00441130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 xml:space="preserve">E drejta e çdo individi për t’iu drejtuar gjykatës buron nga neni 42 i Kushtetutës. Kushtetuta i ka deleguar ligjvënësit kompetencën, që nëpërmjet ligjit, të rregullojë në mënyrë të hollësishme çështjet që lidhen me përgjegjësinë disiplinore të gjyqtarëve, por pa u shprehur për të drejtën e ankimit të tyre dhe për organin që do t’i shqyrtojë këto ankime. </w:t>
      </w:r>
    </w:p>
    <w:p w:rsidR="00441130" w:rsidRDefault="00441130" w:rsidP="00441130">
      <w:pPr>
        <w:pStyle w:val="Paragrafi"/>
        <w:rPr>
          <w:szCs w:val="22"/>
          <w:lang w:val="sq-AL"/>
        </w:rPr>
      </w:pPr>
    </w:p>
    <w:p w:rsidR="00441130" w:rsidRDefault="00441130" w:rsidP="00441130">
      <w:pPr>
        <w:pStyle w:val="Paragrafi"/>
        <w:rPr>
          <w:szCs w:val="22"/>
          <w:lang w:val="sq-AL"/>
        </w:rPr>
      </w:pPr>
    </w:p>
    <w:p w:rsidR="00441130" w:rsidRPr="00A01E8F" w:rsidRDefault="00441130" w:rsidP="00441130">
      <w:pPr>
        <w:pStyle w:val="Paragrafi"/>
        <w:rPr>
          <w:szCs w:val="22"/>
          <w:lang w:val="sq-AL"/>
        </w:rPr>
      </w:pP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Konventa Eu</w:t>
      </w:r>
      <w:r w:rsidRPr="00A01E8F">
        <w:rPr>
          <w:szCs w:val="22"/>
          <w:lang w:val="sq-AL"/>
        </w:rPr>
        <w:t>ropiane për të Drejtat e Njeriut përcakton të drejtat themelore të njeriut, por ajo nuk ndalon që shtetet palë të parashikojnë më shumë të drejta e liri për individët, ndërsa Kushtetuta e Republikës së Shqipërisë, në nenin 17 të saj e ka pr</w:t>
      </w:r>
      <w:r>
        <w:rPr>
          <w:szCs w:val="22"/>
          <w:lang w:val="sq-AL"/>
        </w:rPr>
        <w:t>anuar përmbajtjen e Konventës Eu</w:t>
      </w:r>
      <w:r w:rsidRPr="00A01E8F">
        <w:rPr>
          <w:szCs w:val="22"/>
          <w:lang w:val="sq-AL"/>
        </w:rPr>
        <w:t>ropiane si minimumin e standardit, pa penguar që legjislacioni ynë t’i japë më shumë të drejta e liri si dhe një dimension më të madh realizimit të mbrojtjes së individit.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 xml:space="preserve">Legjislacioni ynë nuk ka parashikuar ndonjë kufizim për të drejtën e gjyqtarëve për t’iu </w:t>
      </w:r>
      <w:r w:rsidRPr="00A01E8F">
        <w:rPr>
          <w:szCs w:val="22"/>
          <w:lang w:val="sq-AL"/>
        </w:rPr>
        <w:lastRenderedPageBreak/>
        <w:t xml:space="preserve">drejtuar gjykatave të zakonshme. Përkundrazi, ai kishte pranuar të drejtën e ankimit të tyre në Kolegjet e Bashkuara të Gjykatës së Lartë edhe në rastet e masave disiplinore të dhëna nga Këshilli i Lartë i Drejtësisë. Nëse Gjykata e Lartë ka ndalim kushtetues pasi një juridiksion i tillë fillestar nuk i është dhënë shprehimisht nga Kushtetuta. Një ndalim të tillë nuk e kanë gjykatat e tjera të zakonshme, të cilat kanë një juridiksion fillestar të përgjithshëm. 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</w:p>
    <w:p w:rsidR="00441130" w:rsidRPr="00A01E8F" w:rsidRDefault="00441130" w:rsidP="00441130">
      <w:pPr>
        <w:pStyle w:val="VENDOSI"/>
        <w:keepNext w:val="0"/>
      </w:pPr>
      <w:r w:rsidRPr="00A01E8F">
        <w:t>PËR KËTO ARSYE,</w:t>
      </w:r>
    </w:p>
    <w:p w:rsidR="00441130" w:rsidRPr="00A01E8F" w:rsidRDefault="00441130" w:rsidP="00441130">
      <w:pPr>
        <w:pStyle w:val="Paragrafi"/>
        <w:ind w:firstLine="0"/>
        <w:jc w:val="center"/>
        <w:rPr>
          <w:szCs w:val="22"/>
          <w:lang w:val="sq-AL"/>
        </w:rPr>
      </w:pP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Gjykata Kushtetuese e Republikës së Shqipërisë, në mbështetje të neneve 72 e 77 të ligjit nr.8577, datë 10.2.2000 “Për organizimin dhe funksionimin e Gjykatës Kushtetuese të Republikës së Shqipërisë”, njëzëri,</w:t>
      </w:r>
    </w:p>
    <w:p w:rsidR="00441130" w:rsidRPr="00A01E8F" w:rsidRDefault="00441130" w:rsidP="00441130">
      <w:pPr>
        <w:pStyle w:val="Paragrafi"/>
        <w:ind w:firstLine="0"/>
        <w:rPr>
          <w:szCs w:val="22"/>
          <w:lang w:val="sq-AL"/>
        </w:rPr>
      </w:pPr>
    </w:p>
    <w:p w:rsidR="00441130" w:rsidRDefault="00441130" w:rsidP="00441130">
      <w:pPr>
        <w:pStyle w:val="VENDOSI"/>
        <w:keepNext w:val="0"/>
      </w:pPr>
      <w:r w:rsidRPr="00A01E8F">
        <w:t>VENDOSI:</w:t>
      </w:r>
    </w:p>
    <w:p w:rsidR="00441130" w:rsidRPr="00A330AD" w:rsidRDefault="00441130" w:rsidP="00441130">
      <w:pPr>
        <w:pStyle w:val="Paragrafi"/>
      </w:pP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- Rrëzimin e kërkesës.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  <w:r w:rsidRPr="00A01E8F">
        <w:rPr>
          <w:szCs w:val="22"/>
          <w:lang w:val="sq-AL"/>
        </w:rPr>
        <w:t>- Ky vendim është përfundimtar, i formës së prerë dhe hyn në fuqi ditën e botimit në Fletoren Zyrtare.</w:t>
      </w:r>
    </w:p>
    <w:p w:rsidR="00441130" w:rsidRPr="00A01E8F" w:rsidRDefault="00441130" w:rsidP="00441130">
      <w:pPr>
        <w:pStyle w:val="Paragrafi"/>
        <w:rPr>
          <w:szCs w:val="22"/>
          <w:lang w:val="sq-AL"/>
        </w:rPr>
      </w:pPr>
    </w:p>
    <w:p w:rsidR="00441130" w:rsidRDefault="00441130" w:rsidP="00441130">
      <w:pPr>
        <w:pStyle w:val="Akti"/>
        <w:keepNext w:val="0"/>
      </w:pPr>
    </w:p>
    <w:p w:rsidR="000178C2" w:rsidRPr="00C84B66" w:rsidRDefault="000178C2" w:rsidP="00441130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41130"/>
    <w:rsid w:val="000178C2"/>
    <w:rsid w:val="00441130"/>
    <w:rsid w:val="00887EC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F1A39AB-1FF8-41B1-870F-DDBEDF9F2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41130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44113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441130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41130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441130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441130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441130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44113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1207</Words>
  <Characters>6885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2019-03-16T15:08:00Z</dcterms:created>
  <dcterms:modified xsi:type="dcterms:W3CDTF">2019-03-16T15:08:00Z</dcterms:modified>
</cp:coreProperties>
</file>