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116" w:rsidRPr="00E2216D" w:rsidRDefault="00280116" w:rsidP="00280116">
      <w:pPr>
        <w:pStyle w:val="Akti"/>
        <w:rPr>
          <w:sz w:val="20"/>
          <w:szCs w:val="20"/>
          <w:lang w:val="it-IT"/>
        </w:rPr>
      </w:pPr>
      <w:bookmarkStart w:id="0" w:name="_GoBack"/>
      <w:bookmarkEnd w:id="0"/>
      <w:r w:rsidRPr="00E2216D">
        <w:rPr>
          <w:sz w:val="20"/>
          <w:szCs w:val="20"/>
          <w:lang w:val="it-IT"/>
        </w:rPr>
        <w:t>VENDIM</w:t>
      </w:r>
    </w:p>
    <w:p w:rsidR="00280116" w:rsidRPr="00E2216D" w:rsidRDefault="00280116" w:rsidP="00280116">
      <w:pPr>
        <w:pStyle w:val="NumriData"/>
        <w:rPr>
          <w:sz w:val="20"/>
          <w:lang w:val="it-IT"/>
        </w:rPr>
      </w:pPr>
      <w:r w:rsidRPr="00E2216D">
        <w:rPr>
          <w:sz w:val="20"/>
          <w:lang w:val="it-IT"/>
        </w:rPr>
        <w:t>Nr.32, datë 9.7.2007</w:t>
      </w:r>
    </w:p>
    <w:p w:rsidR="00280116" w:rsidRPr="00E2216D" w:rsidRDefault="00280116" w:rsidP="00280116">
      <w:pPr>
        <w:pStyle w:val="Paragrafi"/>
        <w:rPr>
          <w:sz w:val="20"/>
          <w:lang w:val="it-IT"/>
        </w:rPr>
      </w:pPr>
    </w:p>
    <w:p w:rsidR="00280116" w:rsidRPr="00E2216D" w:rsidRDefault="00280116" w:rsidP="00280116">
      <w:pPr>
        <w:pStyle w:val="Titulli"/>
        <w:rPr>
          <w:sz w:val="20"/>
          <w:szCs w:val="20"/>
          <w:lang w:val="it-IT"/>
        </w:rPr>
      </w:pPr>
      <w:r w:rsidRPr="00E2216D">
        <w:rPr>
          <w:sz w:val="20"/>
          <w:szCs w:val="20"/>
          <w:lang w:val="it-IT"/>
        </w:rPr>
        <w:t>NË EMËR TË REPUBLIKËS SË SHQIPËRISË</w:t>
      </w:r>
    </w:p>
    <w:p w:rsidR="00280116" w:rsidRPr="00E2216D" w:rsidRDefault="00280116" w:rsidP="00280116">
      <w:pPr>
        <w:pStyle w:val="Paragrafi"/>
        <w:rPr>
          <w:sz w:val="20"/>
          <w:lang w:val="it-IT"/>
        </w:rPr>
      </w:pPr>
    </w:p>
    <w:p w:rsidR="00280116" w:rsidRPr="00E2216D" w:rsidRDefault="00280116" w:rsidP="00280116">
      <w:pPr>
        <w:pStyle w:val="Paragrafi"/>
        <w:rPr>
          <w:sz w:val="20"/>
          <w:lang w:val="it-IT"/>
        </w:rPr>
      </w:pPr>
      <w:r w:rsidRPr="00E2216D">
        <w:rPr>
          <w:sz w:val="20"/>
          <w:lang w:val="it-IT"/>
        </w:rPr>
        <w:t>Gjykata Kushtetuese e Republikës së Shqipërisë, e përbërë nga:</w:t>
      </w:r>
    </w:p>
    <w:p w:rsidR="00280116" w:rsidRPr="00E2216D" w:rsidRDefault="00280116" w:rsidP="00280116">
      <w:pPr>
        <w:pStyle w:val="Paragrafi"/>
        <w:rPr>
          <w:sz w:val="20"/>
          <w:lang w:val="it-IT"/>
        </w:rPr>
      </w:pPr>
    </w:p>
    <w:p w:rsidR="00280116" w:rsidRPr="00E2216D" w:rsidRDefault="00280116" w:rsidP="00280116">
      <w:pPr>
        <w:pStyle w:val="Paragrafi"/>
        <w:rPr>
          <w:sz w:val="20"/>
        </w:rPr>
      </w:pPr>
      <w:r w:rsidRPr="00E2216D">
        <w:rPr>
          <w:sz w:val="20"/>
        </w:rPr>
        <w:t>Gjergji Sauli</w:t>
      </w:r>
      <w:r w:rsidRPr="00E2216D">
        <w:rPr>
          <w:sz w:val="20"/>
        </w:rPr>
        <w:tab/>
      </w:r>
      <w:r w:rsidRPr="00E2216D">
        <w:rPr>
          <w:sz w:val="20"/>
        </w:rPr>
        <w:tab/>
        <w:t>Kryetar  i Gjykatës Kushtetuese</w:t>
      </w:r>
    </w:p>
    <w:p w:rsidR="00280116" w:rsidRPr="00E2216D" w:rsidRDefault="00280116" w:rsidP="00280116">
      <w:pPr>
        <w:pStyle w:val="Paragrafi"/>
        <w:rPr>
          <w:sz w:val="20"/>
          <w:lang w:val="it-IT"/>
        </w:rPr>
      </w:pPr>
      <w:r w:rsidRPr="00E2216D">
        <w:rPr>
          <w:sz w:val="20"/>
          <w:lang w:val="it-IT"/>
        </w:rPr>
        <w:t>Alfred Karamuço</w:t>
      </w:r>
      <w:r w:rsidRPr="00E2216D">
        <w:rPr>
          <w:sz w:val="20"/>
          <w:lang w:val="it-IT"/>
        </w:rPr>
        <w:tab/>
        <w:t>Anëtar   i</w:t>
      </w:r>
      <w:r w:rsidRPr="00E2216D">
        <w:rPr>
          <w:sz w:val="20"/>
          <w:lang w:val="it-IT"/>
        </w:rPr>
        <w:tab/>
        <w:t>“</w:t>
      </w:r>
      <w:r w:rsidRPr="00E2216D">
        <w:rPr>
          <w:sz w:val="20"/>
          <w:lang w:val="it-IT"/>
        </w:rPr>
        <w:tab/>
        <w:t>“</w:t>
      </w:r>
    </w:p>
    <w:p w:rsidR="00280116" w:rsidRPr="00E2216D" w:rsidRDefault="00280116" w:rsidP="00280116">
      <w:pPr>
        <w:pStyle w:val="Paragrafi"/>
        <w:rPr>
          <w:sz w:val="20"/>
          <w:lang w:val="it-IT"/>
        </w:rPr>
      </w:pPr>
      <w:r w:rsidRPr="00E2216D">
        <w:rPr>
          <w:sz w:val="20"/>
          <w:lang w:val="it-IT"/>
        </w:rPr>
        <w:t>Fehmi Abdiu</w:t>
      </w:r>
      <w:r w:rsidRPr="00E2216D">
        <w:rPr>
          <w:sz w:val="20"/>
          <w:lang w:val="it-IT"/>
        </w:rPr>
        <w:tab/>
      </w:r>
      <w:r w:rsidRPr="00E2216D">
        <w:rPr>
          <w:sz w:val="20"/>
          <w:lang w:val="it-IT"/>
        </w:rPr>
        <w:tab/>
        <w:t xml:space="preserve">Anëtar   i </w:t>
      </w:r>
      <w:r w:rsidRPr="00E2216D">
        <w:rPr>
          <w:sz w:val="20"/>
          <w:lang w:val="it-IT"/>
        </w:rPr>
        <w:tab/>
        <w:t>“</w:t>
      </w:r>
      <w:r w:rsidRPr="00E2216D">
        <w:rPr>
          <w:sz w:val="20"/>
          <w:lang w:val="it-IT"/>
        </w:rPr>
        <w:tab/>
        <w:t>“</w:t>
      </w:r>
    </w:p>
    <w:p w:rsidR="00280116" w:rsidRPr="00E2216D" w:rsidRDefault="00280116" w:rsidP="00280116">
      <w:pPr>
        <w:pStyle w:val="Paragrafi"/>
        <w:rPr>
          <w:sz w:val="20"/>
          <w:lang w:val="it-IT"/>
        </w:rPr>
      </w:pPr>
      <w:r w:rsidRPr="00E2216D">
        <w:rPr>
          <w:sz w:val="20"/>
          <w:lang w:val="it-IT"/>
        </w:rPr>
        <w:t>Kristofor Peçi</w:t>
      </w:r>
      <w:r w:rsidRPr="00E2216D">
        <w:rPr>
          <w:sz w:val="20"/>
          <w:lang w:val="it-IT"/>
        </w:rPr>
        <w:tab/>
      </w:r>
      <w:r w:rsidRPr="00E2216D">
        <w:rPr>
          <w:sz w:val="20"/>
          <w:lang w:val="it-IT"/>
        </w:rPr>
        <w:tab/>
        <w:t xml:space="preserve">Anëtar   i </w:t>
      </w:r>
      <w:r w:rsidRPr="00E2216D">
        <w:rPr>
          <w:sz w:val="20"/>
          <w:lang w:val="it-IT"/>
        </w:rPr>
        <w:tab/>
        <w:t>“</w:t>
      </w:r>
      <w:r w:rsidRPr="00E2216D">
        <w:rPr>
          <w:sz w:val="20"/>
          <w:lang w:val="it-IT"/>
        </w:rPr>
        <w:tab/>
        <w:t>“</w:t>
      </w:r>
    </w:p>
    <w:p w:rsidR="00280116" w:rsidRPr="00E2216D" w:rsidRDefault="00280116" w:rsidP="00280116">
      <w:pPr>
        <w:pStyle w:val="Paragrafi"/>
        <w:rPr>
          <w:sz w:val="20"/>
          <w:lang w:val="it-IT"/>
        </w:rPr>
      </w:pPr>
      <w:r w:rsidRPr="00E2216D">
        <w:rPr>
          <w:sz w:val="20"/>
          <w:lang w:val="it-IT"/>
        </w:rPr>
        <w:t>Vjollca Meçaj</w:t>
      </w:r>
      <w:r w:rsidRPr="00E2216D">
        <w:rPr>
          <w:sz w:val="20"/>
          <w:lang w:val="it-IT"/>
        </w:rPr>
        <w:tab/>
      </w:r>
      <w:r w:rsidRPr="00E2216D">
        <w:rPr>
          <w:sz w:val="20"/>
          <w:lang w:val="it-IT"/>
        </w:rPr>
        <w:tab/>
        <w:t>Anëtare e</w:t>
      </w:r>
      <w:r w:rsidRPr="00E2216D">
        <w:rPr>
          <w:sz w:val="20"/>
          <w:lang w:val="it-IT"/>
        </w:rPr>
        <w:tab/>
        <w:t>“</w:t>
      </w:r>
      <w:r w:rsidRPr="00E2216D">
        <w:rPr>
          <w:sz w:val="20"/>
          <w:lang w:val="it-IT"/>
        </w:rPr>
        <w:tab/>
        <w:t>“</w:t>
      </w:r>
    </w:p>
    <w:p w:rsidR="00280116" w:rsidRPr="00E2216D" w:rsidRDefault="00280116" w:rsidP="00280116">
      <w:pPr>
        <w:pStyle w:val="Paragrafi"/>
        <w:rPr>
          <w:sz w:val="20"/>
          <w:lang w:val="it-IT"/>
        </w:rPr>
      </w:pPr>
      <w:r w:rsidRPr="00E2216D">
        <w:rPr>
          <w:sz w:val="20"/>
          <w:lang w:val="it-IT"/>
        </w:rPr>
        <w:t>Xhezair Zaganjori</w:t>
      </w:r>
      <w:r w:rsidRPr="00E2216D">
        <w:rPr>
          <w:sz w:val="20"/>
          <w:lang w:val="it-IT"/>
        </w:rPr>
        <w:tab/>
        <w:t>Anëtar   i</w:t>
      </w:r>
      <w:r w:rsidRPr="00E2216D">
        <w:rPr>
          <w:sz w:val="20"/>
          <w:lang w:val="it-IT"/>
        </w:rPr>
        <w:tab/>
        <w:t>“</w:t>
      </w:r>
      <w:r w:rsidRPr="00E2216D">
        <w:rPr>
          <w:sz w:val="20"/>
          <w:lang w:val="it-IT"/>
        </w:rPr>
        <w:tab/>
        <w:t>“</w:t>
      </w:r>
    </w:p>
    <w:p w:rsidR="00280116" w:rsidRPr="00E2216D" w:rsidRDefault="00280116" w:rsidP="00280116">
      <w:pPr>
        <w:pStyle w:val="Paragrafi"/>
        <w:rPr>
          <w:sz w:val="20"/>
          <w:lang w:val="it-IT"/>
        </w:rPr>
      </w:pPr>
      <w:r w:rsidRPr="00E2216D">
        <w:rPr>
          <w:sz w:val="20"/>
          <w:lang w:val="it-IT"/>
        </w:rPr>
        <w:t>Petrit Plloçi</w:t>
      </w:r>
      <w:r w:rsidRPr="00E2216D">
        <w:rPr>
          <w:sz w:val="20"/>
          <w:lang w:val="it-IT"/>
        </w:rPr>
        <w:tab/>
      </w:r>
      <w:r w:rsidRPr="00E2216D">
        <w:rPr>
          <w:sz w:val="20"/>
          <w:lang w:val="it-IT"/>
        </w:rPr>
        <w:tab/>
        <w:t>Anëtar   i</w:t>
      </w:r>
      <w:r w:rsidRPr="00E2216D">
        <w:rPr>
          <w:sz w:val="20"/>
          <w:lang w:val="it-IT"/>
        </w:rPr>
        <w:tab/>
        <w:t>“</w:t>
      </w:r>
      <w:r w:rsidRPr="00E2216D">
        <w:rPr>
          <w:sz w:val="20"/>
          <w:lang w:val="it-IT"/>
        </w:rPr>
        <w:tab/>
        <w:t>“</w:t>
      </w:r>
    </w:p>
    <w:p w:rsidR="00280116" w:rsidRPr="00E2216D" w:rsidRDefault="00280116" w:rsidP="00280116">
      <w:pPr>
        <w:pStyle w:val="Paragrafi"/>
        <w:rPr>
          <w:sz w:val="20"/>
          <w:lang w:val="it-IT"/>
        </w:rPr>
      </w:pPr>
      <w:r w:rsidRPr="00E2216D">
        <w:rPr>
          <w:sz w:val="20"/>
          <w:lang w:val="it-IT"/>
        </w:rPr>
        <w:t>Sokol Sadushi</w:t>
      </w:r>
      <w:r w:rsidRPr="00E2216D">
        <w:rPr>
          <w:sz w:val="20"/>
          <w:lang w:val="it-IT"/>
        </w:rPr>
        <w:tab/>
      </w:r>
      <w:r w:rsidRPr="00E2216D">
        <w:rPr>
          <w:sz w:val="20"/>
          <w:lang w:val="it-IT"/>
        </w:rPr>
        <w:tab/>
        <w:t xml:space="preserve">Anëtar   i </w:t>
      </w:r>
      <w:r w:rsidRPr="00E2216D">
        <w:rPr>
          <w:sz w:val="20"/>
          <w:lang w:val="it-IT"/>
        </w:rPr>
        <w:tab/>
        <w:t>“</w:t>
      </w:r>
      <w:r w:rsidRPr="00E2216D">
        <w:rPr>
          <w:sz w:val="20"/>
          <w:lang w:val="it-IT"/>
        </w:rPr>
        <w:tab/>
        <w:t>“</w:t>
      </w:r>
      <w:r w:rsidRPr="00E2216D">
        <w:rPr>
          <w:sz w:val="20"/>
          <w:lang w:val="it-IT"/>
        </w:rPr>
        <w:tab/>
        <w:t xml:space="preserve">   </w:t>
      </w:r>
    </w:p>
    <w:p w:rsidR="00280116" w:rsidRDefault="00280116" w:rsidP="00280116">
      <w:pPr>
        <w:pStyle w:val="Paragrafi"/>
        <w:rPr>
          <w:sz w:val="20"/>
          <w:lang w:val="it-IT"/>
        </w:rPr>
      </w:pPr>
      <w:r w:rsidRPr="00E2216D">
        <w:rPr>
          <w:sz w:val="20"/>
          <w:lang w:val="it-IT"/>
        </w:rPr>
        <w:t>Kujtim Puto</w:t>
      </w:r>
      <w:r w:rsidRPr="00E2216D">
        <w:rPr>
          <w:sz w:val="20"/>
          <w:lang w:val="it-IT"/>
        </w:rPr>
        <w:tab/>
      </w:r>
      <w:r w:rsidRPr="00E2216D">
        <w:rPr>
          <w:sz w:val="20"/>
          <w:lang w:val="it-IT"/>
        </w:rPr>
        <w:tab/>
        <w:t xml:space="preserve">Anëtar   i </w:t>
      </w:r>
      <w:r w:rsidRPr="00E2216D">
        <w:rPr>
          <w:sz w:val="20"/>
          <w:lang w:val="it-IT"/>
        </w:rPr>
        <w:tab/>
        <w:t>“</w:t>
      </w:r>
      <w:r w:rsidRPr="00E2216D">
        <w:rPr>
          <w:sz w:val="20"/>
          <w:lang w:val="it-IT"/>
        </w:rPr>
        <w:tab/>
        <w:t>“</w:t>
      </w:r>
    </w:p>
    <w:p w:rsidR="00280116" w:rsidRPr="00E2216D" w:rsidRDefault="00280116" w:rsidP="00280116">
      <w:pPr>
        <w:pStyle w:val="Paragrafi"/>
        <w:rPr>
          <w:sz w:val="20"/>
          <w:lang w:val="it-IT"/>
        </w:rPr>
      </w:pPr>
    </w:p>
    <w:p w:rsidR="00280116" w:rsidRPr="00E2216D" w:rsidRDefault="00280116" w:rsidP="00280116">
      <w:pPr>
        <w:pStyle w:val="Paragrafi"/>
        <w:rPr>
          <w:sz w:val="20"/>
          <w:lang w:val="it-IT"/>
        </w:rPr>
      </w:pPr>
      <w:r w:rsidRPr="00E2216D">
        <w:rPr>
          <w:sz w:val="20"/>
          <w:lang w:val="it-IT"/>
        </w:rPr>
        <w:t>me sekretare Blerina Çinari, në datën 26.2.2007, mori në shqyrtim në seancë gjyqësore me dyer të hapura çëshjen nr.28 Akti, që i përket:</w:t>
      </w:r>
    </w:p>
    <w:p w:rsidR="00280116" w:rsidRPr="00E2216D" w:rsidRDefault="00280116" w:rsidP="00280116">
      <w:pPr>
        <w:pStyle w:val="Paragrafi"/>
        <w:rPr>
          <w:sz w:val="20"/>
          <w:lang w:val="it-IT"/>
        </w:rPr>
      </w:pPr>
    </w:p>
    <w:p w:rsidR="00280116" w:rsidRPr="00E2216D" w:rsidRDefault="00280116" w:rsidP="00280116">
      <w:pPr>
        <w:pStyle w:val="Paragrafi"/>
        <w:rPr>
          <w:sz w:val="20"/>
          <w:lang w:val="it-IT"/>
        </w:rPr>
      </w:pPr>
      <w:r w:rsidRPr="00E2216D">
        <w:rPr>
          <w:sz w:val="20"/>
          <w:lang w:val="it-IT"/>
        </w:rPr>
        <w:t>KËRKUES: SHOQËRIA “REXHEPI” SHPK, TIRANË, përfaqësuar nga Fatmira Luli, me prokurë.</w:t>
      </w:r>
      <w:r w:rsidRPr="00E2216D">
        <w:rPr>
          <w:sz w:val="20"/>
          <w:lang w:val="it-IT"/>
        </w:rPr>
        <w:tab/>
        <w:t>SUBJEKTE TË INTERESUARA:</w:t>
      </w:r>
      <w:r w:rsidRPr="00E2216D">
        <w:rPr>
          <w:sz w:val="20"/>
          <w:lang w:val="it-IT"/>
        </w:rPr>
        <w:tab/>
      </w:r>
    </w:p>
    <w:p w:rsidR="00280116" w:rsidRPr="00E2216D" w:rsidRDefault="00280116" w:rsidP="00280116">
      <w:pPr>
        <w:pStyle w:val="Paragrafi"/>
        <w:rPr>
          <w:sz w:val="20"/>
          <w:lang w:val="it-IT"/>
        </w:rPr>
      </w:pPr>
      <w:r w:rsidRPr="00E2216D">
        <w:rPr>
          <w:sz w:val="20"/>
          <w:lang w:val="it-IT"/>
        </w:rPr>
        <w:t>1. BASHKIA TIRANË, përfaqësuar nga Migena Vishko, me autorizim.</w:t>
      </w:r>
    </w:p>
    <w:p w:rsidR="00280116" w:rsidRPr="00E2216D" w:rsidRDefault="00280116" w:rsidP="00280116">
      <w:pPr>
        <w:pStyle w:val="Paragrafi"/>
        <w:rPr>
          <w:sz w:val="20"/>
          <w:lang w:val="it-IT"/>
        </w:rPr>
      </w:pPr>
      <w:r w:rsidRPr="00E2216D">
        <w:rPr>
          <w:sz w:val="20"/>
          <w:lang w:val="it-IT"/>
        </w:rPr>
        <w:t>2. KËSHILLI I RREGULLIMIT TË TERRITORIT PRANË BASHKISË TIRANË, përfaqësuar nga Migena Vishko dhe avokati i shtetit Dhimitraq Konini, me autorizim.</w:t>
      </w:r>
    </w:p>
    <w:p w:rsidR="00280116" w:rsidRPr="00E2216D" w:rsidRDefault="00280116" w:rsidP="00280116">
      <w:pPr>
        <w:pStyle w:val="Paragrafi"/>
        <w:rPr>
          <w:sz w:val="20"/>
          <w:lang w:val="it-IT"/>
        </w:rPr>
      </w:pPr>
      <w:r w:rsidRPr="00E2216D">
        <w:rPr>
          <w:sz w:val="20"/>
          <w:lang w:val="it-IT"/>
        </w:rPr>
        <w:t>3. SHOQËRIA “TID” SHPK, përfaqësuar nga avokati Dashamir Kore, me prokurë.</w:t>
      </w:r>
    </w:p>
    <w:p w:rsidR="00280116" w:rsidRPr="00E2216D" w:rsidRDefault="00280116" w:rsidP="00280116">
      <w:pPr>
        <w:pStyle w:val="Paragrafi"/>
        <w:rPr>
          <w:sz w:val="20"/>
          <w:lang w:val="it-IT"/>
        </w:rPr>
      </w:pPr>
      <w:r w:rsidRPr="00E2216D">
        <w:rPr>
          <w:sz w:val="20"/>
          <w:lang w:val="it-IT"/>
        </w:rPr>
        <w:t>OBJEKTI: Shfuqizimi si i papajtueshëm me Kushtetutën i vendimeve nr.600, datë 12.5.2005 të Gjykatës së Apelit Tiranë, si dhe nr.511, datë 14.4.2006 të Kolegjit Civil të Gjykatës së Lartë.</w:t>
      </w:r>
      <w:r w:rsidRPr="00E2216D">
        <w:rPr>
          <w:sz w:val="20"/>
          <w:lang w:val="it-IT"/>
        </w:rPr>
        <w:tab/>
      </w:r>
    </w:p>
    <w:p w:rsidR="00280116" w:rsidRPr="00E2216D" w:rsidRDefault="00280116" w:rsidP="00280116">
      <w:pPr>
        <w:pStyle w:val="Paragrafi"/>
        <w:rPr>
          <w:sz w:val="20"/>
          <w:lang w:val="it-IT"/>
        </w:rPr>
      </w:pPr>
      <w:r w:rsidRPr="00E2216D">
        <w:rPr>
          <w:sz w:val="20"/>
          <w:lang w:val="it-IT"/>
        </w:rPr>
        <w:t>Kërkuesi, duke pretenduar se vendimet e mësipërme të gjykatave janë rrjedhojë e një procesi të parregullt ligjor në kuptim të nenit 42 të Kushtetutës, ka parashtruar këto shkaqe për shfuqizimin e tyre:</w:t>
      </w:r>
    </w:p>
    <w:p w:rsidR="00280116" w:rsidRPr="00E2216D" w:rsidRDefault="00280116" w:rsidP="00280116">
      <w:pPr>
        <w:pStyle w:val="Paragrafi"/>
        <w:rPr>
          <w:sz w:val="20"/>
          <w:lang w:val="it-IT"/>
        </w:rPr>
      </w:pPr>
      <w:r w:rsidRPr="00E2216D">
        <w:rPr>
          <w:sz w:val="20"/>
          <w:lang w:val="it-IT"/>
        </w:rPr>
        <w:t>- I është mohuar e drejta e akcesit në gjykatë me arsyetimin e kundërligjshëm se vendimi i KRRT-së të Bashkisë është shfuqizuar nga KRRTRSH-ja. Ndërhyrja e pushtetit ekzekutiv në veprimtarinë gjyqësore përbën gjithashtu cenim të parimit të gjykatës së pavarur.</w:t>
      </w:r>
    </w:p>
    <w:p w:rsidR="00280116" w:rsidRPr="00E2216D" w:rsidRDefault="00280116" w:rsidP="00280116">
      <w:pPr>
        <w:pStyle w:val="Paragrafi"/>
        <w:rPr>
          <w:sz w:val="20"/>
          <w:lang w:val="it-IT"/>
        </w:rPr>
      </w:pPr>
      <w:r w:rsidRPr="00E2216D">
        <w:rPr>
          <w:sz w:val="20"/>
          <w:lang w:val="it-IT"/>
        </w:rPr>
        <w:t>- Gjykata e apelit është treguar e njëanshme sepse ka pranuar ankimin e subjektit të interesuar “TID” SHPK në kundërshtim me kërkesat e nenit 453 të Kodit të Procedurës Civile për elementet e ankimit, si dhe ka rrëzuar kërkesën e kërkuesit për përjashtimin e trupit gjykues.</w:t>
      </w:r>
    </w:p>
    <w:p w:rsidR="00280116" w:rsidRPr="00E2216D" w:rsidRDefault="00280116" w:rsidP="00280116">
      <w:pPr>
        <w:pStyle w:val="Paragrafi"/>
        <w:rPr>
          <w:sz w:val="20"/>
          <w:lang w:val="it-IT"/>
        </w:rPr>
      </w:pPr>
      <w:r w:rsidRPr="00E2216D">
        <w:rPr>
          <w:sz w:val="20"/>
          <w:lang w:val="it-IT"/>
        </w:rPr>
        <w:t>- Në kundërshtim me dispozitat e Kodit të Procedurave Administrative, gjykata e apelit e ka konsideruar vendimin e KRRTRSH-së si një akt relativisht të pavlefshëm që duhet të goditet me padi të veçantë, dhe jo si një akt absolutisht i pavlefshëm.</w:t>
      </w:r>
    </w:p>
    <w:p w:rsidR="00280116" w:rsidRPr="00E2216D" w:rsidRDefault="00280116" w:rsidP="00280116">
      <w:pPr>
        <w:pStyle w:val="Paragrafi"/>
        <w:rPr>
          <w:sz w:val="20"/>
          <w:lang w:val="it-IT"/>
        </w:rPr>
      </w:pPr>
      <w:r w:rsidRPr="00E2216D">
        <w:rPr>
          <w:sz w:val="20"/>
          <w:lang w:val="it-IT"/>
        </w:rPr>
        <w:t>- Vendimi i gjykatës së apelit bazohet pa të drejtë në një vendim tjetër gjyqësor, i cili është i pavlefshëm për kërkuesin jo vetëm se është dhënë pa qenë palë pronarët e truallit, por edhe se nuk ka ndryshuar pronësinë, por vetëm ka përcaktuar konkretisht kufijtë.</w:t>
      </w:r>
    </w:p>
    <w:p w:rsidR="00280116" w:rsidRPr="00E2216D" w:rsidRDefault="00280116" w:rsidP="00280116">
      <w:pPr>
        <w:pStyle w:val="Paragrafi"/>
        <w:rPr>
          <w:sz w:val="20"/>
          <w:lang w:val="it-IT"/>
        </w:rPr>
      </w:pPr>
      <w:r w:rsidRPr="00E2216D">
        <w:rPr>
          <w:sz w:val="20"/>
          <w:lang w:val="it-IT"/>
        </w:rPr>
        <w:t>Subjektet e interesuara kanë paraqitur këto shkaqe për rrëzimin e kërkesës:</w:t>
      </w:r>
    </w:p>
    <w:p w:rsidR="00280116" w:rsidRPr="00E2216D" w:rsidRDefault="00280116" w:rsidP="00280116">
      <w:pPr>
        <w:pStyle w:val="Paragrafi"/>
        <w:rPr>
          <w:sz w:val="20"/>
          <w:lang w:val="it-IT"/>
        </w:rPr>
      </w:pPr>
      <w:r w:rsidRPr="00E2216D">
        <w:rPr>
          <w:sz w:val="20"/>
          <w:lang w:val="it-IT"/>
        </w:rPr>
        <w:t>- Gjykata Kushtetuese nuk mund të shfuqizojë vendimin e Gjykatës së Lartë për seleksionimin e çështjes përsa kohë nuk konstaton se nga ky vendim preket një e drejtë kushtetuese.</w:t>
      </w:r>
    </w:p>
    <w:p w:rsidR="00280116" w:rsidRPr="00E2216D" w:rsidRDefault="00280116" w:rsidP="00280116">
      <w:pPr>
        <w:pStyle w:val="Paragrafi"/>
        <w:rPr>
          <w:sz w:val="20"/>
          <w:lang w:val="it-IT"/>
        </w:rPr>
      </w:pPr>
      <w:r w:rsidRPr="00E2216D">
        <w:rPr>
          <w:sz w:val="20"/>
          <w:lang w:val="it-IT"/>
        </w:rPr>
        <w:t>- Gjykata e apelit nuk ka injoruar pretendimet e kërkuesit, por u ka dhënë përgjigje me vendim të arsyetuar duke respektuar parimin e kontradiktoritetit.</w:t>
      </w:r>
    </w:p>
    <w:p w:rsidR="00280116" w:rsidRPr="00E2216D" w:rsidRDefault="00280116" w:rsidP="00280116">
      <w:pPr>
        <w:pStyle w:val="Paragrafi"/>
        <w:rPr>
          <w:sz w:val="20"/>
          <w:lang w:val="it-IT"/>
        </w:rPr>
      </w:pPr>
      <w:r w:rsidRPr="00E2216D">
        <w:rPr>
          <w:sz w:val="20"/>
          <w:lang w:val="it-IT"/>
        </w:rPr>
        <w:t>- Pretendimet e kërkuesit lidhen me mënyrën e zbatimit të ligjit nga gjykatat për thelbin e çështjes dhe nuk përbëjnë objekt shqyrtimi nga juridiksioni kushtetues.</w:t>
      </w:r>
    </w:p>
    <w:p w:rsidR="00280116" w:rsidRPr="00E2216D" w:rsidRDefault="00280116" w:rsidP="00280116">
      <w:pPr>
        <w:pStyle w:val="Paragrafi"/>
        <w:rPr>
          <w:sz w:val="20"/>
          <w:lang w:val="it-IT"/>
        </w:rPr>
      </w:pPr>
      <w:r w:rsidRPr="00E2216D">
        <w:rPr>
          <w:sz w:val="20"/>
          <w:lang w:val="it-IT"/>
        </w:rPr>
        <w:t>- Vendimi i KRRTRSH-së nuk është akt administrativ absolutisht i pavlefshëm.</w:t>
      </w:r>
    </w:p>
    <w:p w:rsidR="00280116" w:rsidRPr="00E2216D" w:rsidRDefault="00280116" w:rsidP="00280116">
      <w:pPr>
        <w:pStyle w:val="Paragrafi"/>
        <w:rPr>
          <w:sz w:val="20"/>
          <w:lang w:val="it-IT"/>
        </w:rPr>
      </w:pPr>
    </w:p>
    <w:p w:rsidR="00280116" w:rsidRPr="00E2216D" w:rsidRDefault="00280116" w:rsidP="00280116">
      <w:pPr>
        <w:pStyle w:val="Institucioni"/>
        <w:rPr>
          <w:sz w:val="20"/>
          <w:szCs w:val="20"/>
          <w:lang w:val="it-IT"/>
        </w:rPr>
      </w:pPr>
      <w:r w:rsidRPr="00E2216D">
        <w:rPr>
          <w:sz w:val="20"/>
          <w:szCs w:val="20"/>
          <w:lang w:val="it-IT"/>
        </w:rPr>
        <w:t>GJYKATA KUSHTETUESE,</w:t>
      </w:r>
    </w:p>
    <w:p w:rsidR="00280116" w:rsidRPr="00E2216D" w:rsidRDefault="00280116" w:rsidP="00280116">
      <w:pPr>
        <w:pStyle w:val="Paragrafi"/>
        <w:rPr>
          <w:sz w:val="20"/>
          <w:lang w:val="it-IT"/>
        </w:rPr>
      </w:pPr>
    </w:p>
    <w:p w:rsidR="00280116" w:rsidRPr="00E2216D" w:rsidRDefault="00280116" w:rsidP="00280116">
      <w:pPr>
        <w:pStyle w:val="Paragrafi"/>
        <w:rPr>
          <w:sz w:val="20"/>
          <w:lang w:val="it-IT"/>
        </w:rPr>
      </w:pPr>
      <w:r w:rsidRPr="00E2216D">
        <w:rPr>
          <w:sz w:val="20"/>
          <w:lang w:val="it-IT"/>
        </w:rPr>
        <w:t>pasi dëgjoi relatorin e çështjes Kujtim Puto, përfaqësuesen e kërkuesit, e cila kërkoi pranimin e kërkesës, përfaqësuesit e subjekteve të interesuara, të cilët kërkuan rrëzimin e kërkesë dhe bisedoi çështjen në tërësi,</w:t>
      </w:r>
    </w:p>
    <w:p w:rsidR="00280116" w:rsidRPr="00E2216D" w:rsidRDefault="00280116" w:rsidP="00280116">
      <w:pPr>
        <w:pStyle w:val="VENDOSI"/>
        <w:rPr>
          <w:sz w:val="20"/>
          <w:szCs w:val="20"/>
          <w:lang w:val="it-IT"/>
        </w:rPr>
      </w:pPr>
      <w:r w:rsidRPr="00E2216D">
        <w:rPr>
          <w:sz w:val="20"/>
          <w:szCs w:val="20"/>
          <w:lang w:val="it-IT"/>
        </w:rPr>
        <w:t>VËREN:</w:t>
      </w:r>
    </w:p>
    <w:p w:rsidR="00280116" w:rsidRPr="00E2216D" w:rsidRDefault="00280116" w:rsidP="00280116">
      <w:pPr>
        <w:pStyle w:val="Paragrafi"/>
        <w:rPr>
          <w:sz w:val="20"/>
          <w:lang w:val="it-IT"/>
        </w:rPr>
      </w:pPr>
    </w:p>
    <w:p w:rsidR="00280116" w:rsidRPr="00E2216D" w:rsidRDefault="00280116" w:rsidP="00280116">
      <w:pPr>
        <w:pStyle w:val="Paragrafi"/>
        <w:rPr>
          <w:sz w:val="20"/>
          <w:lang w:val="it-IT"/>
        </w:rPr>
      </w:pPr>
      <w:r w:rsidRPr="00E2216D">
        <w:rPr>
          <w:sz w:val="20"/>
          <w:lang w:val="it-IT"/>
        </w:rPr>
        <w:t xml:space="preserve">Këshilli i Rregullimit të Territorit pranë Bashkisë Tiranë (KRRT), me vendimin nr.587, datë 26.11.1997, ka miratuar lejen e sheshit për ndërtimin e dy godinave në favor të kërkuesit, SHPK “Rexhepi”, në </w:t>
      </w:r>
      <w:r w:rsidRPr="00E2216D">
        <w:rPr>
          <w:sz w:val="20"/>
          <w:lang w:val="it-IT"/>
        </w:rPr>
        <w:lastRenderedPageBreak/>
        <w:t>truallin në pronësi të familjeve “Berliku” e “Shameti”, dhe me vendimet nr.684, datë 22.12.1997 e nr.505, datë 24.8.1998, ka dhënë lejet përkatëse të ndërtimit.</w:t>
      </w:r>
    </w:p>
    <w:p w:rsidR="00280116" w:rsidRPr="00E2216D" w:rsidRDefault="00280116" w:rsidP="00280116">
      <w:pPr>
        <w:pStyle w:val="Paragrafi"/>
        <w:rPr>
          <w:sz w:val="20"/>
          <w:lang w:val="it-IT"/>
        </w:rPr>
      </w:pPr>
      <w:r w:rsidRPr="00E2216D">
        <w:rPr>
          <w:sz w:val="20"/>
          <w:lang w:val="it-IT"/>
        </w:rPr>
        <w:t>Këshilli i Rregullimit të Territorit Tiranë, me vendimin nr.175, datë 9.5.2003, ka miratuar shesh ndërtimi, ndërsa me vendimin nr.269, datë 28.5.2004, ka miratuar lejen e ndërtimit në favor të subjektit të interesuar Shoqëria “TID” sh.p.k., në truallin që sipas këtyre vendimeve është në pronësi të familjeve “Alla”, “Toska” e “Kondo”, ndërsa sipas pretendimeve të kërkuesit është në pronësi të familjeve “Berliku” e “Shameti”.</w:t>
      </w:r>
    </w:p>
    <w:p w:rsidR="00280116" w:rsidRPr="00E2216D" w:rsidRDefault="00280116" w:rsidP="00280116">
      <w:pPr>
        <w:pStyle w:val="Paragrafi"/>
        <w:rPr>
          <w:sz w:val="20"/>
          <w:lang w:val="it-IT"/>
        </w:rPr>
      </w:pPr>
      <w:r w:rsidRPr="00E2216D">
        <w:rPr>
          <w:sz w:val="20"/>
          <w:lang w:val="it-IT"/>
        </w:rPr>
        <w:t>Pas miratimit të vendimeve të mësipërme, Këshilli i Rregullimit të Territorit të Republikës së Shqipërisë (KRRTRSH), në mbledhjen e datës 11.9.2004, vendosi shfuqizimin e vendimeve të KRRT-së të Bashkisë Tiranë për lejet e sheshit dhe të ndërtimit, të dhëna në favor të kërkuesit.</w:t>
      </w:r>
    </w:p>
    <w:p w:rsidR="00280116" w:rsidRPr="00E2216D" w:rsidRDefault="00280116" w:rsidP="00280116">
      <w:pPr>
        <w:pStyle w:val="Paragrafi"/>
        <w:rPr>
          <w:sz w:val="20"/>
          <w:lang w:val="it-IT"/>
        </w:rPr>
      </w:pPr>
      <w:r w:rsidRPr="00E2216D">
        <w:rPr>
          <w:sz w:val="20"/>
          <w:lang w:val="it-IT"/>
        </w:rPr>
        <w:t>Kërkuesi, SHPK “Rexhepi”, kërkoi me padi në gjykatë anulimin e vendimeve të KRRT-së të Bashkisë të dhëna në favor të Shoqërisë “TID” sh.p.k. dhe Gjykata e Rrethit Gjyqësor Tiranë, me vendimin nr.320, datë 27.1.2005, vendosi anulimin e këtyre vendimeve.</w:t>
      </w:r>
    </w:p>
    <w:p w:rsidR="00280116" w:rsidRDefault="00280116" w:rsidP="00280116">
      <w:pPr>
        <w:pStyle w:val="Paragrafi"/>
        <w:rPr>
          <w:sz w:val="20"/>
          <w:lang w:val="it-IT"/>
        </w:rPr>
      </w:pPr>
      <w:r w:rsidRPr="00E2216D">
        <w:rPr>
          <w:sz w:val="20"/>
          <w:lang w:val="it-IT"/>
        </w:rPr>
        <w:t>Pas ankimit të subjektit të interesuar, Shoqërisë “TID” sh.p.k. dhe të Bashkisë Tiranë, Gjykata e Apelit Tiranë, me vendimin nr.600, datë 12.5.2005, vendosi ndryshimin e vendimit të gjykatës së rrethit gjyqësor dhe rrëzimin e padisë së kërkuesit. Kolegji Civil i Gjykatës së Lartë (dhoma e këshillimit), me vendimin nr.511, datë 14.4.2006, vendosi mospranimin e rekursit të paraqitur nga kërkuesi.</w:t>
      </w:r>
    </w:p>
    <w:p w:rsidR="00280116" w:rsidRPr="00E2216D" w:rsidRDefault="00280116" w:rsidP="00280116">
      <w:pPr>
        <w:pStyle w:val="Paragrafi"/>
        <w:rPr>
          <w:sz w:val="20"/>
          <w:lang w:val="it-IT"/>
        </w:rPr>
      </w:pPr>
    </w:p>
    <w:p w:rsidR="00280116" w:rsidRPr="00E2216D" w:rsidRDefault="00280116" w:rsidP="00280116">
      <w:pPr>
        <w:pStyle w:val="Paragrafi"/>
        <w:rPr>
          <w:sz w:val="20"/>
          <w:lang w:val="it-IT"/>
        </w:rPr>
      </w:pPr>
      <w:r w:rsidRPr="00E2216D">
        <w:rPr>
          <w:sz w:val="20"/>
          <w:lang w:val="it-IT"/>
        </w:rPr>
        <w:t>E drejta për një proces të rregullt ligjor është e drejtë kushtetuese e individit që lidhet me rregullsinë e procesit në sistemin gjyqësor. Por, duke zbatuar kompetencën e saj për gjykimin përfundimtar të ankesave të individëve për shkeljen e kësaj të drejte, Gjykata Kushtetuese nuk mund ta shtrijë kontrollin e saj mbi mënyrën e zgjidhjes së çështjes, sepse kjo i takon juridiksionit gjyqësor. Në shqyrtimin e ankesave për shkelje të tilla, kjo Gjykatë kontrollon nëse janë respektuar nga gjykatat e sistemit gjyqësor parimet themelore të procesit sipas nenit 42 të Kushtetutës dhe nenit 6 të Konventës Europiane për të Drejtat e Njeriut.</w:t>
      </w:r>
    </w:p>
    <w:p w:rsidR="00280116" w:rsidRPr="00E2216D" w:rsidRDefault="00280116" w:rsidP="00280116">
      <w:pPr>
        <w:pStyle w:val="Paragrafi"/>
        <w:rPr>
          <w:sz w:val="20"/>
          <w:lang w:val="it-IT"/>
        </w:rPr>
      </w:pPr>
      <w:r w:rsidRPr="00E2216D">
        <w:rPr>
          <w:sz w:val="20"/>
          <w:lang w:val="it-IT"/>
        </w:rPr>
        <w:t xml:space="preserve">Në çështjen në shqyrtim Gjykata Kushtetuese nuk konstaton cenim të këtyre parimeve themelore. </w:t>
      </w:r>
    </w:p>
    <w:p w:rsidR="00280116" w:rsidRPr="00E2216D" w:rsidRDefault="00280116" w:rsidP="00280116">
      <w:pPr>
        <w:pStyle w:val="Paragrafi"/>
        <w:rPr>
          <w:sz w:val="20"/>
          <w:lang w:val="it-IT"/>
        </w:rPr>
      </w:pPr>
      <w:r w:rsidRPr="00E2216D">
        <w:rPr>
          <w:sz w:val="20"/>
          <w:lang w:val="it-IT"/>
        </w:rPr>
        <w:t>Kërkuesi pretendon se atij i është mohuar e drejta e akcesit në gjykatë, pasi gjykata e apelit ka arritur në përfundimin që ai përpara se të kërkonte anulimin e vendimit të KRRT-së të Bashkisë të dhënë në favor të Shoqërisë “TID” sh.p.k. duhet të kundërshtonte në gjykatë vendimet e KRRTRSH-së, me të cilat janë anuluar vendimet e dhëna në favor të tij.</w:t>
      </w:r>
    </w:p>
    <w:p w:rsidR="00280116" w:rsidRPr="00E2216D" w:rsidRDefault="00280116" w:rsidP="00280116">
      <w:pPr>
        <w:pStyle w:val="Paragrafi"/>
        <w:rPr>
          <w:sz w:val="20"/>
          <w:lang w:val="it-IT"/>
        </w:rPr>
      </w:pPr>
      <w:r w:rsidRPr="00E2216D">
        <w:rPr>
          <w:sz w:val="20"/>
          <w:lang w:val="it-IT"/>
        </w:rPr>
        <w:t>Gjykata e apelit, në vendimin e saj, nuk e konsideron si një akt absolutisht të pavlefshëm vendimin e datës 11.9.2004 të KRRTRSH-së. Ajo gjykatë arsyeton se vendimi i KRRTRSH-së i përmbush kushtet për të mos u konsideruar një akt absolutisht i pavlefshëm, pasi organi që ka nxjerrë aktin, pra KRRTRSH-ja, është i identifikuar dhe ka vepruar sipas kompetencave të veta. Ajo pranon gjithashtu që akti i saj është nxjerrë sipas formës së kërkuar nga ligji. Duke pranuar se ky vendim nuk është absolutisht i pavlefshëm, gjykata e apelit ka pranuar njëkohësisht që ai mund të kundërshtohet brenda afatit 30-ditor vetëm për pavlefshmëri relative dhe kjo mund të bëhet me një proces të veçantë gjyqësor.</w:t>
      </w:r>
    </w:p>
    <w:p w:rsidR="00280116" w:rsidRPr="00E2216D" w:rsidRDefault="00280116" w:rsidP="00280116">
      <w:pPr>
        <w:pStyle w:val="Paragrafi"/>
        <w:rPr>
          <w:sz w:val="20"/>
          <w:lang w:val="it-IT"/>
        </w:rPr>
      </w:pPr>
      <w:r w:rsidRPr="00E2216D">
        <w:rPr>
          <w:sz w:val="20"/>
          <w:lang w:val="it-IT"/>
        </w:rPr>
        <w:t>Vlerësimi nëse akti i lartpërmendur është absolutisht apo relativisht i pavlefshëm, rezulton nga analiza që gjykata e apelit i ka bërë rrethanave të çështjes, vlerësimit të formës dhe të përmbajtjes së aktit e kompetencave të organit që e ka nxjerrë, si dhe nga interpretimi i dispozitave të Kodit të Procedurave Administrative. Jo vetëm kaq, por ndryshe nga sa pretendon kërkuesi, gjykata e apelit nuk ka çmuar vetëm legjitimimin e kërkuesit, sepse ajo nuk është mjaftuar vetëm me nxjerrjen e konkluzionit për vlefshmërinë ose pavlefshmërinë e aktit. Ajo i është futur edhe problemeve të themelit. Kështu, gjykata ka bërë analizën e provave, që lidhen me pronësinë e truallit në konflikt, vendndodhjen e këtij trualli, ka vlerësuar juridiksionin e gjykatës në raport me atë të KRRTRSH-së, pra ka analizuar të gjitha pretendimet e palëve dhe ka konkluduar se trualli në mosmarrëveshje nuk i takon familjeve me të cilat ka lidhur kontratë për ndërtim kërkuesi, por familjeve që kanë lidhur kontratë me subjektin e interesuar.</w:t>
      </w:r>
    </w:p>
    <w:p w:rsidR="00280116" w:rsidRPr="00E2216D" w:rsidRDefault="00280116" w:rsidP="00280116">
      <w:pPr>
        <w:pStyle w:val="Paragrafi"/>
        <w:rPr>
          <w:sz w:val="20"/>
          <w:lang w:val="it-IT"/>
        </w:rPr>
      </w:pPr>
      <w:r w:rsidRPr="00E2216D">
        <w:rPr>
          <w:sz w:val="20"/>
          <w:lang w:val="it-IT"/>
        </w:rPr>
        <w:t xml:space="preserve">Në çështjen në shqyrtim, gjykata e apelit i ka lejuar palët të paraqesin pretendimet e tyre për të gjitha problemet e themelit dhe ka nxjerrë konkluzionet e veta. Shqyrtimi dhe zgjidhja e çështjes në bazë të analizës së provave dhe interpretimit të dispozitave ligjore është kompetencë e gjykatave të sistemit gjyqësor, sepse dhënia e drejtësisë është atribut i këtyre gjykatave. Gjykata Kushtetuese nuk mund të bëjë vlerësim tjetër të ndryshëm nga vlerësimi i provave dhe interpretimi i ligjit që kanë bërë gjykatat e sistemit gjyqësor, nëse ky interpretim nuk cenon elementët thelbësorë të një procesi të rregullt ligjor në kuptimin kushtetues. </w:t>
      </w:r>
    </w:p>
    <w:p w:rsidR="00280116" w:rsidRPr="00E2216D" w:rsidRDefault="00280116" w:rsidP="00280116">
      <w:pPr>
        <w:pStyle w:val="Paragrafi"/>
        <w:rPr>
          <w:sz w:val="20"/>
          <w:lang w:val="it-IT"/>
        </w:rPr>
      </w:pPr>
      <w:r w:rsidRPr="00E2216D">
        <w:rPr>
          <w:sz w:val="20"/>
          <w:lang w:val="it-IT"/>
        </w:rPr>
        <w:t>Kërkuesi ka pretenduar gjithashtu se gjykata  apelit ka cenuar parimin e barazisë së armëve në gjykim, duke e argumentuar këtë pretendim me refuzimet e kërkesave të tij për pezullimin e gjykimit deri në përfundim të çështjes penale për falsifikimet e pretenduara të vendimit të KRRT-së të Bashkisë, si dhe me kërkesat për përjashtimin e relatorit nga gjykimi dhe për mospranimin si të parregullt të ankimit të Shoqërisë “TID” sh.p.k.</w:t>
      </w:r>
    </w:p>
    <w:p w:rsidR="00280116" w:rsidRPr="00E2216D" w:rsidRDefault="00280116" w:rsidP="00280116">
      <w:pPr>
        <w:pStyle w:val="Paragrafi"/>
        <w:rPr>
          <w:sz w:val="20"/>
          <w:lang w:val="it-IT"/>
        </w:rPr>
      </w:pPr>
      <w:r w:rsidRPr="00E2216D">
        <w:rPr>
          <w:sz w:val="20"/>
          <w:lang w:val="it-IT"/>
        </w:rPr>
        <w:t xml:space="preserve">Pretendimet e mësipërme të kërkuesit nuk janë të tilla që të përbëjnë cenim të parimit të barazisë së armëve. Barazia e armëve apo e mjeteve nënkupton që çdokush “që është palë në proces duhet të ketë mundësi të barabarta që të paraqesë pretendimet e provat e veta, që asnjë prej palëve nuk duhet të favorizohet në gjykim në </w:t>
      </w:r>
      <w:r w:rsidRPr="00E2216D">
        <w:rPr>
          <w:sz w:val="20"/>
          <w:lang w:val="it-IT"/>
        </w:rPr>
        <w:lastRenderedPageBreak/>
        <w:t>raport me palën tjetër dhe që secila prej tyre të ketë njohuri mbi pretendimet e provat e palës tjetër”.</w:t>
      </w:r>
      <w:r w:rsidRPr="00E2216D">
        <w:rPr>
          <w:sz w:val="20"/>
          <w:vertAlign w:val="superscript"/>
        </w:rPr>
        <w:footnoteReference w:id="1"/>
      </w:r>
    </w:p>
    <w:p w:rsidR="00280116" w:rsidRPr="00E2216D" w:rsidRDefault="00280116" w:rsidP="00280116">
      <w:pPr>
        <w:pStyle w:val="Paragrafi"/>
        <w:rPr>
          <w:sz w:val="20"/>
          <w:lang w:val="it-IT"/>
        </w:rPr>
      </w:pPr>
      <w:r w:rsidRPr="00E2216D">
        <w:rPr>
          <w:sz w:val="20"/>
          <w:lang w:val="it-IT"/>
        </w:rPr>
        <w:t xml:space="preserve">Në çështjen në shqyrtim, nuk konstatohet që palët të jenë vënë në pozita të disfavorshme. </w:t>
      </w:r>
    </w:p>
    <w:p w:rsidR="00280116" w:rsidRPr="00E2216D" w:rsidRDefault="00280116" w:rsidP="00280116">
      <w:pPr>
        <w:pStyle w:val="Paragrafi"/>
        <w:rPr>
          <w:sz w:val="20"/>
          <w:lang w:val="it-IT"/>
        </w:rPr>
      </w:pPr>
      <w:r w:rsidRPr="00E2216D">
        <w:rPr>
          <w:sz w:val="20"/>
          <w:lang w:val="it-IT"/>
        </w:rPr>
        <w:t>Duke respektuar kërkesat e Kodit të Procedurës Civile, gjykata e apelit ka dëgjuar kërkesat e argumentet e palëve në gjykim. Ajo ka çmuar rëndësinë që kishte për gjykimin e çështjes civile hetimi penal i akuzës për falsifikim të vendimit të KRRT-së të Bashkisë. Ky vlerësim ishte kompetencë e vet gjykatës që gjykonte çështjen. Ajo sipas kompetencave të veta çmoi gjithashtu se nuk mund të përjashtohet relatori i çështjes nga gjykimi vetëm se nuk u pranua kërkesa për pezullim. Përsa i përket ankimit të paraqitur me nënshkrimin e avokatit që nuk ishte i pajisur me prokurë, gjykata e apelit pasi dëgjoi pretendimet e palëve dhe bëri verifikimet përkatëse konstatoi se veç shoqërisë “TID” sh.p.k. kishte bërë ankim me të njëjtat shkaqe edhe Bashkia Tiranë, që ishte palë tjetër e paditur në çështje dhe duke verifikuar në seancë gjyqësore edhe vullnetin e shoqërisë “TID” sh.p.k. në lidhje me ankimin, nxorri konkluzionet e veta pa i cenuar ndonjë të drejtë kërkuesit.</w:t>
      </w:r>
    </w:p>
    <w:p w:rsidR="00280116" w:rsidRPr="00E2216D" w:rsidRDefault="00280116" w:rsidP="00280116">
      <w:pPr>
        <w:pStyle w:val="Paragrafi"/>
        <w:rPr>
          <w:sz w:val="20"/>
          <w:lang w:val="it-IT"/>
        </w:rPr>
      </w:pPr>
    </w:p>
    <w:p w:rsidR="00280116" w:rsidRPr="00E2216D" w:rsidRDefault="00280116" w:rsidP="00280116">
      <w:pPr>
        <w:pStyle w:val="VENDOSI"/>
        <w:rPr>
          <w:sz w:val="20"/>
          <w:szCs w:val="20"/>
          <w:lang w:val="it-IT"/>
        </w:rPr>
      </w:pPr>
      <w:r w:rsidRPr="00E2216D">
        <w:rPr>
          <w:sz w:val="20"/>
          <w:szCs w:val="20"/>
          <w:lang w:val="it-IT"/>
        </w:rPr>
        <w:t>PËR KËTO ARSYE,</w:t>
      </w:r>
    </w:p>
    <w:p w:rsidR="00280116" w:rsidRPr="00E2216D" w:rsidRDefault="00280116" w:rsidP="00280116">
      <w:pPr>
        <w:pStyle w:val="Paragrafi"/>
        <w:rPr>
          <w:sz w:val="20"/>
          <w:lang w:val="it-IT"/>
        </w:rPr>
      </w:pPr>
    </w:p>
    <w:p w:rsidR="00280116" w:rsidRPr="00E2216D" w:rsidRDefault="00280116" w:rsidP="00280116">
      <w:pPr>
        <w:pStyle w:val="Paragrafi"/>
        <w:rPr>
          <w:sz w:val="20"/>
          <w:lang w:val="it-IT"/>
        </w:rPr>
      </w:pPr>
      <w:r w:rsidRPr="00E2216D">
        <w:rPr>
          <w:sz w:val="20"/>
          <w:lang w:val="it-IT"/>
        </w:rPr>
        <w:t>Gjykata Kushtetuese e Republikës së Shqipërisë, në mbështetje të nenit 72 e vijues të ligjit nr.8577, datë 10.2.2000 “Për organizimin dhe funksionimin e Gjykatës Kushtetuese të Republikës së Shqipërisë”, me shumicë votash,</w:t>
      </w:r>
    </w:p>
    <w:p w:rsidR="00280116" w:rsidRPr="00E2216D" w:rsidRDefault="00280116" w:rsidP="00280116">
      <w:pPr>
        <w:pStyle w:val="Paragrafi"/>
        <w:rPr>
          <w:sz w:val="20"/>
          <w:lang w:val="it-IT"/>
        </w:rPr>
      </w:pPr>
    </w:p>
    <w:p w:rsidR="00280116" w:rsidRPr="00E2216D" w:rsidRDefault="00280116" w:rsidP="00280116">
      <w:pPr>
        <w:pStyle w:val="VENDOSI"/>
        <w:rPr>
          <w:sz w:val="20"/>
          <w:szCs w:val="20"/>
          <w:lang w:val="it-IT"/>
        </w:rPr>
      </w:pPr>
      <w:r w:rsidRPr="00E2216D">
        <w:rPr>
          <w:sz w:val="20"/>
          <w:szCs w:val="20"/>
          <w:lang w:val="it-IT"/>
        </w:rPr>
        <w:t>VENDOSI:</w:t>
      </w:r>
    </w:p>
    <w:p w:rsidR="00280116" w:rsidRPr="00E2216D" w:rsidRDefault="00280116" w:rsidP="00280116">
      <w:pPr>
        <w:pStyle w:val="Paragrafi"/>
        <w:rPr>
          <w:sz w:val="20"/>
          <w:lang w:val="it-IT"/>
        </w:rPr>
      </w:pPr>
    </w:p>
    <w:p w:rsidR="00280116" w:rsidRPr="00E2216D" w:rsidRDefault="00280116" w:rsidP="00280116">
      <w:pPr>
        <w:pStyle w:val="Paragrafi"/>
        <w:rPr>
          <w:sz w:val="20"/>
          <w:lang w:val="it-IT"/>
        </w:rPr>
      </w:pPr>
      <w:r w:rsidRPr="00E2216D">
        <w:rPr>
          <w:sz w:val="20"/>
          <w:lang w:val="it-IT"/>
        </w:rPr>
        <w:t>- Rrëzimin e kërkesës.</w:t>
      </w:r>
    </w:p>
    <w:p w:rsidR="00280116" w:rsidRPr="00E2216D" w:rsidRDefault="00280116" w:rsidP="00280116">
      <w:pPr>
        <w:pStyle w:val="Paragrafi"/>
        <w:rPr>
          <w:sz w:val="20"/>
          <w:lang w:val="it-IT"/>
        </w:rPr>
      </w:pPr>
      <w:r w:rsidRPr="00E2216D">
        <w:rPr>
          <w:sz w:val="20"/>
          <w:lang w:val="it-IT"/>
        </w:rPr>
        <w:t>- Ky vendim është përfundimtar, i formës së prerë dhe hyn në fuqi ditën e botimit në Fletoren Zyrtare.</w:t>
      </w:r>
    </w:p>
    <w:p w:rsidR="00280116" w:rsidRPr="00E2216D" w:rsidRDefault="00280116" w:rsidP="00280116">
      <w:pPr>
        <w:pStyle w:val="Paragrafi"/>
        <w:rPr>
          <w:sz w:val="20"/>
          <w:lang w:val="it-IT"/>
        </w:rPr>
      </w:pPr>
    </w:p>
    <w:p w:rsidR="00280116" w:rsidRPr="00E2216D" w:rsidRDefault="00280116" w:rsidP="00280116">
      <w:pPr>
        <w:pStyle w:val="Paragrafi"/>
        <w:rPr>
          <w:sz w:val="20"/>
          <w:lang w:val="it-IT"/>
        </w:rPr>
      </w:pPr>
    </w:p>
    <w:p w:rsidR="00280116" w:rsidRPr="00E2216D" w:rsidRDefault="00280116" w:rsidP="00280116">
      <w:pPr>
        <w:pStyle w:val="TitulliTitull"/>
        <w:rPr>
          <w:sz w:val="20"/>
          <w:szCs w:val="20"/>
          <w:lang w:val="it-IT"/>
        </w:rPr>
      </w:pPr>
      <w:r w:rsidRPr="00E2216D">
        <w:rPr>
          <w:sz w:val="20"/>
          <w:szCs w:val="20"/>
          <w:lang w:val="it-IT"/>
        </w:rPr>
        <w:t>MENDIMI I PAKICËS</w:t>
      </w:r>
    </w:p>
    <w:p w:rsidR="00280116" w:rsidRPr="00E2216D" w:rsidRDefault="00280116" w:rsidP="00280116">
      <w:pPr>
        <w:pStyle w:val="TitulliTitull"/>
        <w:rPr>
          <w:sz w:val="20"/>
          <w:szCs w:val="20"/>
          <w:lang w:val="it-IT"/>
        </w:rPr>
      </w:pPr>
    </w:p>
    <w:p w:rsidR="00280116" w:rsidRPr="00E2216D" w:rsidRDefault="00280116" w:rsidP="00280116">
      <w:pPr>
        <w:pStyle w:val="Paragrafi"/>
        <w:rPr>
          <w:sz w:val="20"/>
          <w:lang w:val="it-IT"/>
        </w:rPr>
      </w:pPr>
      <w:r w:rsidRPr="00E2216D">
        <w:rPr>
          <w:sz w:val="20"/>
          <w:lang w:val="it-IT"/>
        </w:rPr>
        <w:t xml:space="preserve">Nuk jemi dakord me mendimin e shumicës. </w:t>
      </w:r>
    </w:p>
    <w:p w:rsidR="00280116" w:rsidRPr="00E2216D" w:rsidRDefault="00280116" w:rsidP="00280116">
      <w:pPr>
        <w:pStyle w:val="Paragrafi"/>
        <w:rPr>
          <w:sz w:val="20"/>
          <w:lang w:val="it-IT"/>
        </w:rPr>
      </w:pPr>
      <w:r w:rsidRPr="00E2216D">
        <w:rPr>
          <w:sz w:val="20"/>
          <w:lang w:val="it-IT"/>
        </w:rPr>
        <w:t>Shkaqet e pretenduara nga kërkuesi dhe që u vërtetuan gjatë shqyrtimit të çështjes në Gjykatën Kushtetuese, përbëjnë elemente të një procesi jo të rreguillt ligjor, në kuptim të nenit 42 të Kushtetutës dhe të nenit 6 të Konventës Evropiane për të Drejtat e Njeriut.</w:t>
      </w:r>
    </w:p>
    <w:p w:rsidR="00280116" w:rsidRPr="00E2216D" w:rsidRDefault="00280116" w:rsidP="00280116">
      <w:pPr>
        <w:pStyle w:val="Paragrafi"/>
        <w:rPr>
          <w:sz w:val="20"/>
          <w:lang w:val="it-IT"/>
        </w:rPr>
      </w:pPr>
      <w:r w:rsidRPr="00E2216D">
        <w:rPr>
          <w:sz w:val="20"/>
          <w:lang w:val="it-IT"/>
        </w:rPr>
        <w:t>Nga gjykimi i çështjes rezultoi se vendimi i KRRTRSH-së, me të cilin janë shfuqizuar vendimet e KRRT-së të Bashkisë për shesh dhe leje ndërtimi në favor të kërkuesit (Shoqëria “Rexhepi”) janë marrë në kohën që ishte në gjykim padia e këtij të fundit me objekt anulimin e lejeve të ndërtimit për të njëjtën sipërfaqe toke të dhëna nga KRRT-ja e Bashkisë në favor të subjektit të interesuar “TID” sh.p.k. Megjithatë, gjykata e apelit u bazua te vendimi i KRRTRSH-së dhe ndryshoi vendimin e gjykatës së rrethit duke rrëzuar padinë e kërkuesit. Meqënëse çështja e lejeve të ndërtimit në të njëjtin truall ishte në gjykim në Gjykatën e Rrethit Gjyqësor Tiranë, shqyrtimi i kërkesës për anulimin e lejeve të ndërtimit të dhëna në favor të kërkuesit nuk i takonte juridiksionit administrativ, por atij gjyqësor dhe kapërcimi i kufijve të këtij juridiksioni përbën element të procesit jo të rregullt ligjor. Jo vetëm kaq, por zgjidhja e çështjes nga gjykata e apelit është bërë duke u bazuar te ky vendim i KRRTRSH-së dhe kjo vjen në kundërshtim me nenin 36 të Kodit të Procedurës Civile, i cili edhe për të mbrojtur pavarësinë e gjykatave thekson se “asnjë institucion tjetër nuk ka të drejtë të pranojë për shqyrtim një mosmarrëveshje civile që është duke u gjykuar nga gjykata” dhe se “është e pavlefshme çdo marrëveshje që lidhet në kundërshtim me këtë dispozitë”.</w:t>
      </w:r>
    </w:p>
    <w:p w:rsidR="00280116" w:rsidRPr="00E2216D" w:rsidRDefault="00280116" w:rsidP="00280116">
      <w:pPr>
        <w:pStyle w:val="Paragrafi"/>
        <w:rPr>
          <w:sz w:val="20"/>
        </w:rPr>
      </w:pPr>
      <w:r w:rsidRPr="00E2216D">
        <w:rPr>
          <w:sz w:val="20"/>
          <w:lang w:val="it-IT"/>
        </w:rPr>
        <w:t xml:space="preserve">Gjykata e apelit ka pranuar si të mirëqenë pretendimin e subjektit të interesuar, sipas të cilit pronësia mbi sheshin e ndërtimit nuk i takon familjeve me të cilat ka lidhur kontratë sipërmarrje kërkuesi, por e familjeve me të cilat ka lidhur kontratë subjekti i interesuar. Është e vërtetë që nxjerrja e konkluzioneve për provat është kompetencë e gjykatës së rrethit gjyqësor dhe e gjykatës së apelit, por megjithatë, ky vlerësim kur bëhet në mënyrë arbitrare e të njëanshme, të çon në cenimin e parimit të procesit të rregullt ligjor. </w:t>
      </w:r>
      <w:r w:rsidRPr="00E2216D">
        <w:rPr>
          <w:sz w:val="20"/>
        </w:rPr>
        <w:t>Në çështjen në shqyrtim, përcaktimi i pronësisë së truallit kishte rëndësi kryesore dhe në kushtet kur eksperti përcaktoi mbivendosje, gjykata e apelit që pranoi një konkluzion të kundërt duhet të argumentonte në mënyrë korrekte, pra duke u bazuar në prova, konkluzionin e kundërt me ekspertin dhe dokumentacionin e dosjes për  pronësinë e truallit të dhënë për ndërtim. Parimi i barazisë së palëve në gjykim kërkon që jo vetëm secila palë në proces duhet të ketë mundësi të barabarta për të paraqitur pretendimet e veta, por edhe që gjykata në vendimin e saj, pa favorizuar asnjë prej tyre, t’u japë përgjigje pretendimeve të ngritura.</w:t>
      </w:r>
    </w:p>
    <w:p w:rsidR="00280116" w:rsidRPr="00E2216D" w:rsidRDefault="00280116" w:rsidP="00280116">
      <w:pPr>
        <w:pStyle w:val="Paragrafi"/>
        <w:rPr>
          <w:sz w:val="20"/>
        </w:rPr>
      </w:pPr>
    </w:p>
    <w:p w:rsidR="00280116" w:rsidRPr="00E2216D" w:rsidRDefault="00280116" w:rsidP="00280116">
      <w:pPr>
        <w:pStyle w:val="Paragrafi"/>
        <w:ind w:firstLine="0"/>
        <w:rPr>
          <w:sz w:val="20"/>
        </w:rPr>
      </w:pPr>
      <w:r w:rsidRPr="00E2216D">
        <w:rPr>
          <w:sz w:val="20"/>
        </w:rPr>
        <w:t>Anëtarë: K. Puto, Gj. Sauli</w:t>
      </w:r>
      <w:r w:rsidRPr="00E2216D">
        <w:rPr>
          <w:sz w:val="20"/>
        </w:rPr>
        <w:tab/>
      </w:r>
      <w:r w:rsidRPr="00E2216D">
        <w:rPr>
          <w:sz w:val="20"/>
        </w:rPr>
        <w:tab/>
      </w:r>
      <w:r w:rsidRPr="00E2216D">
        <w:rPr>
          <w:sz w:val="20"/>
        </w:rPr>
        <w:tab/>
      </w:r>
      <w:r w:rsidRPr="00E2216D">
        <w:rPr>
          <w:sz w:val="20"/>
        </w:rPr>
        <w:tab/>
      </w:r>
      <w:r w:rsidRPr="00E2216D">
        <w:rPr>
          <w:sz w:val="20"/>
        </w:rPr>
        <w:tab/>
      </w:r>
      <w:r w:rsidRPr="00E2216D">
        <w:rPr>
          <w:sz w:val="20"/>
        </w:rPr>
        <w:tab/>
      </w:r>
      <w:r w:rsidRPr="00E2216D">
        <w:rPr>
          <w:sz w:val="20"/>
        </w:rPr>
        <w:tab/>
      </w:r>
      <w:r w:rsidRPr="00E2216D">
        <w:rPr>
          <w:sz w:val="20"/>
        </w:rPr>
        <w:tab/>
      </w:r>
    </w:p>
    <w:p w:rsidR="00280116" w:rsidRPr="00E2216D" w:rsidRDefault="00280116" w:rsidP="00280116">
      <w:pPr>
        <w:pStyle w:val="Paragrafi"/>
        <w:rPr>
          <w:sz w:val="20"/>
        </w:rPr>
      </w:pPr>
      <w:r w:rsidRPr="00E2216D">
        <w:rPr>
          <w:sz w:val="20"/>
        </w:rPr>
        <w:tab/>
      </w:r>
      <w:r w:rsidRPr="00E2216D">
        <w:rPr>
          <w:sz w:val="20"/>
        </w:rPr>
        <w:tab/>
      </w:r>
      <w:r w:rsidRPr="00E2216D">
        <w:rPr>
          <w:sz w:val="20"/>
        </w:rPr>
        <w:tab/>
      </w:r>
      <w:r w:rsidRPr="00E2216D">
        <w:rPr>
          <w:sz w:val="20"/>
        </w:rPr>
        <w:tab/>
      </w:r>
      <w:r w:rsidRPr="00E2216D">
        <w:rPr>
          <w:sz w:val="20"/>
        </w:rPr>
        <w:tab/>
      </w:r>
      <w:r w:rsidRPr="00E2216D">
        <w:rPr>
          <w:sz w:val="20"/>
        </w:rPr>
        <w:tab/>
      </w:r>
      <w:r w:rsidRPr="00E2216D">
        <w:rPr>
          <w:sz w:val="20"/>
        </w:rPr>
        <w:tab/>
      </w:r>
    </w:p>
    <w:sectPr w:rsidR="00280116" w:rsidRPr="00E2216D" w:rsidSect="0063454E">
      <w:footerReference w:type="even" r:id="rId7"/>
      <w:footerReference w:type="default" r:id="rId8"/>
      <w:pgSz w:w="11907" w:h="16840" w:code="9"/>
      <w:pgMar w:top="1418" w:right="1418" w:bottom="1418" w:left="1418" w:header="0" w:footer="1134" w:gutter="0"/>
      <w:pgNumType w:start="262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454E" w:rsidRDefault="0063454E" w:rsidP="0063454E">
      <w:pPr>
        <w:pStyle w:val="Paragrafi"/>
      </w:pPr>
      <w:r>
        <w:separator/>
      </w:r>
    </w:p>
  </w:endnote>
  <w:endnote w:type="continuationSeparator" w:id="0">
    <w:p w:rsidR="0063454E" w:rsidRDefault="0063454E" w:rsidP="0063454E">
      <w:pPr>
        <w:pStyle w:val="Paragrafi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454E" w:rsidRDefault="0063454E" w:rsidP="0063454E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3454E" w:rsidRDefault="0063454E" w:rsidP="0063454E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454E" w:rsidRDefault="0063454E" w:rsidP="0063454E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97A03">
      <w:rPr>
        <w:rStyle w:val="PageNumber"/>
        <w:noProof/>
      </w:rPr>
      <w:t>2631</w:t>
    </w:r>
    <w:r>
      <w:rPr>
        <w:rStyle w:val="PageNumber"/>
      </w:rPr>
      <w:fldChar w:fldCharType="end"/>
    </w:r>
  </w:p>
  <w:p w:rsidR="0063454E" w:rsidRDefault="0063454E" w:rsidP="0063454E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454E" w:rsidRDefault="0063454E" w:rsidP="0063454E">
      <w:pPr>
        <w:pStyle w:val="Paragrafi"/>
      </w:pPr>
      <w:r>
        <w:separator/>
      </w:r>
    </w:p>
  </w:footnote>
  <w:footnote w:type="continuationSeparator" w:id="0">
    <w:p w:rsidR="0063454E" w:rsidRDefault="0063454E" w:rsidP="0063454E">
      <w:pPr>
        <w:pStyle w:val="Paragrafi"/>
      </w:pPr>
      <w:r>
        <w:continuationSeparator/>
      </w:r>
    </w:p>
  </w:footnote>
  <w:footnote w:id="1">
    <w:p w:rsidR="00280116" w:rsidRDefault="00280116" w:rsidP="00280116">
      <w:pPr>
        <w:pStyle w:val="FootnoteText"/>
      </w:pPr>
      <w:r>
        <w:rPr>
          <w:rStyle w:val="FootnoteReference"/>
        </w:rPr>
        <w:footnoteRef/>
      </w:r>
      <w:r>
        <w:t xml:space="preserve"> Borges kundër Belgjikës, 30 tetor 1991, paragrafi 24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80116"/>
    <w:rsid w:val="000178C2"/>
    <w:rsid w:val="00280116"/>
    <w:rsid w:val="004B1717"/>
    <w:rsid w:val="0063454E"/>
    <w:rsid w:val="00997A03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565273F-9895-44D8-9E05-DF0F8D4E5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0116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4B171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DDRESS">
    <w:name w:val="ADDRESS"/>
    <w:basedOn w:val="Normal"/>
    <w:rsid w:val="004B1717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4B1717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B1717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B171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B1717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4B1717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B1717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4B1717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4B1717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4B1717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4B171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4B1717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4B1717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4B1717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4B171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4B1717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B171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4B171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B1717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B171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B171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B1717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B1717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4B1717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B1717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4B1717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4B171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B1717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B1717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B1717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4B1717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B1717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4B1717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4B1717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B1717"/>
    <w:pPr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4B171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B171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4B1717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4B1717"/>
    <w:rPr>
      <w:rFonts w:ascii="CG Times" w:hAnsi="CG Times"/>
      <w:sz w:val="22"/>
      <w:lang w:eastAsia="en-US"/>
    </w:rPr>
  </w:style>
  <w:style w:type="paragraph" w:customStyle="1" w:styleId="text">
    <w:name w:val="text"/>
    <w:basedOn w:val="Normal"/>
    <w:rsid w:val="004B1717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4B1717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4B1717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4B171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B1717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B171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280116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280116"/>
    <w:rPr>
      <w:rFonts w:ascii="CG Times" w:hAnsi="CG Times"/>
      <w:caps/>
      <w:sz w:val="22"/>
      <w:szCs w:val="22"/>
      <w:lang w:val="en-GB" w:eastAsia="en-US" w:bidi="ar-SA"/>
    </w:rPr>
  </w:style>
  <w:style w:type="paragraph" w:styleId="Footer">
    <w:name w:val="footer"/>
    <w:basedOn w:val="Normal"/>
    <w:rsid w:val="00280116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280116"/>
  </w:style>
  <w:style w:type="paragraph" w:styleId="FootnoteText">
    <w:name w:val="footnote text"/>
    <w:basedOn w:val="Normal"/>
    <w:semiHidden/>
    <w:rsid w:val="00280116"/>
    <w:pPr>
      <w:widowControl/>
    </w:pPr>
    <w:rPr>
      <w:rFonts w:ascii="Times New Roman" w:hAnsi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semiHidden/>
    <w:rsid w:val="002801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2044</Words>
  <Characters>11652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13669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2019-03-16T15:13:00Z</dcterms:created>
  <dcterms:modified xsi:type="dcterms:W3CDTF">2019-03-16T15:13:00Z</dcterms:modified>
</cp:coreProperties>
</file>