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C01" w:rsidRPr="00310798" w:rsidRDefault="00955C01" w:rsidP="00955C01">
      <w:pPr>
        <w:pStyle w:val="Akti"/>
        <w:keepNext w:val="0"/>
      </w:pPr>
      <w:bookmarkStart w:id="0" w:name="_GoBack"/>
      <w:bookmarkEnd w:id="0"/>
      <w:r w:rsidRPr="00310798">
        <w:t>VENDIM</w:t>
      </w:r>
    </w:p>
    <w:p w:rsidR="00955C01" w:rsidRPr="00310798" w:rsidRDefault="00955C01" w:rsidP="00955C01">
      <w:pPr>
        <w:pStyle w:val="NumriData"/>
        <w:keepNext w:val="0"/>
      </w:pPr>
      <w:r w:rsidRPr="00310798">
        <w:t>Nr.34, datë</w:t>
      </w:r>
      <w:r>
        <w:t xml:space="preserve"> </w:t>
      </w:r>
      <w:r w:rsidRPr="00310798">
        <w:t>3.10.2007</w:t>
      </w:r>
    </w:p>
    <w:p w:rsidR="00955C01" w:rsidRPr="00310798" w:rsidRDefault="00955C01" w:rsidP="00955C01">
      <w:pPr>
        <w:pStyle w:val="Paragrafi"/>
        <w:jc w:val="center"/>
        <w:rPr>
          <w:lang w:val="sq-AL"/>
        </w:rPr>
      </w:pPr>
    </w:p>
    <w:p w:rsidR="00955C01" w:rsidRPr="00310798" w:rsidRDefault="00955C01" w:rsidP="00955C01">
      <w:pPr>
        <w:pStyle w:val="Titulli"/>
        <w:keepNext w:val="0"/>
      </w:pPr>
      <w:r w:rsidRPr="00310798">
        <w:t>NË EMËR TË REPUBLIKËS SË SHQIPËRISË</w:t>
      </w:r>
    </w:p>
    <w:p w:rsidR="00955C01" w:rsidRPr="00310798" w:rsidRDefault="00955C01" w:rsidP="00955C01">
      <w:pPr>
        <w:pStyle w:val="Paragrafi"/>
        <w:rPr>
          <w:lang w:val="sq-AL"/>
        </w:rPr>
      </w:pPr>
    </w:p>
    <w:p w:rsidR="00955C01" w:rsidRDefault="00955C01" w:rsidP="00955C01">
      <w:pPr>
        <w:pStyle w:val="Paragrafi"/>
        <w:rPr>
          <w:lang w:val="sq-AL"/>
        </w:rPr>
      </w:pPr>
      <w:r w:rsidRPr="00310798">
        <w:rPr>
          <w:lang w:val="sq-AL"/>
        </w:rPr>
        <w:t>Gjykata Kushtetuese e Republikës së Shqipërisë, e përbërë nga:</w:t>
      </w:r>
    </w:p>
    <w:p w:rsidR="00955C01" w:rsidRPr="00310798" w:rsidRDefault="00955C01" w:rsidP="00955C01">
      <w:pPr>
        <w:pStyle w:val="Paragrafi"/>
        <w:rPr>
          <w:lang w:val="sq-AL"/>
        </w:rPr>
      </w:pPr>
    </w:p>
    <w:p w:rsidR="00955C01" w:rsidRPr="00310798" w:rsidRDefault="00955C01" w:rsidP="00955C01">
      <w:pPr>
        <w:pStyle w:val="Paragrafi"/>
        <w:ind w:firstLine="0"/>
        <w:rPr>
          <w:lang w:val="sq-AL"/>
        </w:rPr>
      </w:pPr>
      <w:r w:rsidRPr="00310798">
        <w:rPr>
          <w:lang w:val="sq-AL"/>
        </w:rPr>
        <w:tab/>
        <w:t>Vladimir Kristo</w:t>
      </w:r>
      <w:r w:rsidRPr="00310798">
        <w:rPr>
          <w:lang w:val="sq-AL"/>
        </w:rPr>
        <w:tab/>
      </w:r>
      <w:r w:rsidRPr="00310798">
        <w:rPr>
          <w:lang w:val="sq-AL"/>
        </w:rPr>
        <w:tab/>
        <w:t>Kryetar  i Gjykatës Kushtetuese,</w:t>
      </w:r>
    </w:p>
    <w:p w:rsidR="00955C01" w:rsidRPr="00310798" w:rsidRDefault="00955C01" w:rsidP="00955C01">
      <w:pPr>
        <w:pStyle w:val="Paragrafi"/>
        <w:rPr>
          <w:lang w:val="sq-AL"/>
        </w:rPr>
      </w:pPr>
      <w:r w:rsidRPr="00310798">
        <w:rPr>
          <w:lang w:val="sq-AL"/>
        </w:rPr>
        <w:t>Gjergj Sauli</w:t>
      </w:r>
      <w:r w:rsidRPr="00310798">
        <w:rPr>
          <w:lang w:val="sq-AL"/>
        </w:rPr>
        <w:tab/>
      </w:r>
      <w:r w:rsidRPr="00310798">
        <w:rPr>
          <w:lang w:val="sq-AL"/>
        </w:rPr>
        <w:tab/>
        <w:t>Anëtar   i</w:t>
      </w:r>
      <w:r w:rsidRPr="00310798">
        <w:rPr>
          <w:lang w:val="sq-AL"/>
        </w:rPr>
        <w:tab/>
        <w:t>“</w:t>
      </w:r>
      <w:r w:rsidRPr="00310798">
        <w:rPr>
          <w:lang w:val="sq-AL"/>
        </w:rPr>
        <w:tab/>
        <w:t xml:space="preserve">“ </w:t>
      </w:r>
      <w:r w:rsidRPr="00310798">
        <w:rPr>
          <w:lang w:val="sq-AL"/>
        </w:rPr>
        <w:tab/>
      </w:r>
    </w:p>
    <w:p w:rsidR="00955C01" w:rsidRPr="00310798" w:rsidRDefault="00955C01" w:rsidP="00955C01">
      <w:pPr>
        <w:pStyle w:val="Paragrafi"/>
        <w:rPr>
          <w:lang w:val="sq-AL"/>
        </w:rPr>
      </w:pPr>
      <w:r w:rsidRPr="00310798">
        <w:rPr>
          <w:lang w:val="sq-AL"/>
        </w:rPr>
        <w:t>Fehmi Abdiu</w:t>
      </w:r>
      <w:r w:rsidRPr="00310798">
        <w:rPr>
          <w:lang w:val="sq-AL"/>
        </w:rPr>
        <w:tab/>
      </w:r>
      <w:r w:rsidRPr="00310798">
        <w:rPr>
          <w:lang w:val="sq-AL"/>
        </w:rPr>
        <w:tab/>
        <w:t xml:space="preserve">Anëtar   i </w:t>
      </w:r>
      <w:r w:rsidRPr="00310798">
        <w:rPr>
          <w:lang w:val="sq-AL"/>
        </w:rPr>
        <w:tab/>
        <w:t>“</w:t>
      </w:r>
      <w:r w:rsidRPr="00310798">
        <w:rPr>
          <w:lang w:val="sq-AL"/>
        </w:rPr>
        <w:tab/>
        <w:t>“</w:t>
      </w:r>
      <w:r w:rsidRPr="00310798">
        <w:rPr>
          <w:lang w:val="sq-AL"/>
        </w:rPr>
        <w:tab/>
      </w:r>
    </w:p>
    <w:p w:rsidR="00955C01" w:rsidRPr="00310798" w:rsidRDefault="00955C01" w:rsidP="00955C01">
      <w:pPr>
        <w:pStyle w:val="Paragrafi"/>
        <w:rPr>
          <w:lang w:val="sq-AL"/>
        </w:rPr>
      </w:pPr>
      <w:r w:rsidRPr="00310798">
        <w:rPr>
          <w:lang w:val="sq-AL"/>
        </w:rPr>
        <w:t>Kujtim Puto</w:t>
      </w:r>
      <w:r w:rsidRPr="00310798">
        <w:rPr>
          <w:lang w:val="sq-AL"/>
        </w:rPr>
        <w:tab/>
      </w:r>
      <w:r w:rsidRPr="00310798">
        <w:rPr>
          <w:lang w:val="sq-AL"/>
        </w:rPr>
        <w:tab/>
        <w:t xml:space="preserve">Anëtar   i </w:t>
      </w:r>
      <w:r w:rsidRPr="00310798">
        <w:rPr>
          <w:lang w:val="sq-AL"/>
        </w:rPr>
        <w:tab/>
        <w:t>“</w:t>
      </w:r>
      <w:r w:rsidRPr="00310798">
        <w:rPr>
          <w:lang w:val="sq-AL"/>
        </w:rPr>
        <w:tab/>
        <w:t>“</w:t>
      </w:r>
      <w:r w:rsidRPr="00310798">
        <w:rPr>
          <w:lang w:val="sq-AL"/>
        </w:rPr>
        <w:tab/>
      </w:r>
    </w:p>
    <w:p w:rsidR="00955C01" w:rsidRPr="00310798" w:rsidRDefault="00955C01" w:rsidP="00955C01">
      <w:pPr>
        <w:pStyle w:val="Paragrafi"/>
        <w:rPr>
          <w:lang w:val="sq-AL"/>
        </w:rPr>
      </w:pPr>
      <w:r w:rsidRPr="00310798">
        <w:rPr>
          <w:lang w:val="sq-AL"/>
        </w:rPr>
        <w:t>Xhezair Zaganjori</w:t>
      </w:r>
      <w:r w:rsidRPr="00310798">
        <w:rPr>
          <w:lang w:val="sq-AL"/>
        </w:rPr>
        <w:tab/>
        <w:t xml:space="preserve">Anëtar   i </w:t>
      </w:r>
      <w:r w:rsidRPr="00310798">
        <w:rPr>
          <w:lang w:val="sq-AL"/>
        </w:rPr>
        <w:tab/>
        <w:t>“</w:t>
      </w:r>
      <w:r w:rsidRPr="00310798">
        <w:rPr>
          <w:lang w:val="sq-AL"/>
        </w:rPr>
        <w:tab/>
        <w:t>“</w:t>
      </w:r>
      <w:r w:rsidRPr="00310798">
        <w:rPr>
          <w:lang w:val="sq-AL"/>
        </w:rPr>
        <w:tab/>
      </w:r>
    </w:p>
    <w:p w:rsidR="00955C01" w:rsidRPr="00310798" w:rsidRDefault="00955C01" w:rsidP="00955C01">
      <w:pPr>
        <w:pStyle w:val="Paragrafi"/>
        <w:rPr>
          <w:lang w:val="sq-AL"/>
        </w:rPr>
      </w:pPr>
      <w:r w:rsidRPr="00310798">
        <w:rPr>
          <w:lang w:val="sq-AL"/>
        </w:rPr>
        <w:t>Petrit Plloçi</w:t>
      </w:r>
      <w:r w:rsidRPr="00310798">
        <w:rPr>
          <w:lang w:val="sq-AL"/>
        </w:rPr>
        <w:tab/>
      </w:r>
      <w:r w:rsidRPr="00310798">
        <w:rPr>
          <w:lang w:val="sq-AL"/>
        </w:rPr>
        <w:tab/>
        <w:t>Anëtar   i</w:t>
      </w:r>
      <w:r w:rsidRPr="00310798">
        <w:rPr>
          <w:lang w:val="sq-AL"/>
        </w:rPr>
        <w:tab/>
        <w:t>“</w:t>
      </w:r>
      <w:r w:rsidRPr="00310798">
        <w:rPr>
          <w:lang w:val="sq-AL"/>
        </w:rPr>
        <w:tab/>
        <w:t>“</w:t>
      </w:r>
      <w:r w:rsidRPr="00310798">
        <w:rPr>
          <w:lang w:val="sq-AL"/>
        </w:rPr>
        <w:tab/>
      </w:r>
    </w:p>
    <w:p w:rsidR="00955C01" w:rsidRPr="00310798" w:rsidRDefault="00955C01" w:rsidP="00955C01">
      <w:pPr>
        <w:pStyle w:val="Paragrafi"/>
        <w:ind w:firstLine="0"/>
        <w:rPr>
          <w:lang w:val="sq-AL"/>
        </w:rPr>
      </w:pPr>
      <w:r w:rsidRPr="00310798">
        <w:rPr>
          <w:lang w:val="sq-AL"/>
        </w:rPr>
        <w:tab/>
        <w:t>Sokol Sadushi</w:t>
      </w:r>
      <w:r w:rsidRPr="00310798">
        <w:rPr>
          <w:lang w:val="sq-AL"/>
        </w:rPr>
        <w:tab/>
      </w:r>
      <w:r w:rsidRPr="00310798">
        <w:rPr>
          <w:lang w:val="sq-AL"/>
        </w:rPr>
        <w:tab/>
        <w:t>Anëtar   i</w:t>
      </w:r>
      <w:r w:rsidRPr="00310798">
        <w:rPr>
          <w:lang w:val="sq-AL"/>
        </w:rPr>
        <w:tab/>
        <w:t>“</w:t>
      </w:r>
      <w:r w:rsidRPr="00310798">
        <w:rPr>
          <w:lang w:val="sq-AL"/>
        </w:rPr>
        <w:tab/>
        <w:t>“</w:t>
      </w:r>
      <w:r w:rsidRPr="00310798">
        <w:rPr>
          <w:lang w:val="sq-AL"/>
        </w:rPr>
        <w:tab/>
      </w:r>
    </w:p>
    <w:p w:rsidR="00955C01" w:rsidRPr="00310798" w:rsidRDefault="00955C01" w:rsidP="00955C01">
      <w:pPr>
        <w:pStyle w:val="Paragrafi"/>
        <w:rPr>
          <w:lang w:val="sq-AL"/>
        </w:rPr>
      </w:pPr>
      <w:r w:rsidRPr="00310798">
        <w:rPr>
          <w:lang w:val="sq-AL"/>
        </w:rPr>
        <w:t>Sokol Berberi</w:t>
      </w:r>
      <w:r w:rsidRPr="00310798">
        <w:rPr>
          <w:lang w:val="sq-AL"/>
        </w:rPr>
        <w:tab/>
      </w:r>
      <w:r w:rsidRPr="00310798">
        <w:rPr>
          <w:lang w:val="sq-AL"/>
        </w:rPr>
        <w:tab/>
        <w:t xml:space="preserve">Anëtar   i </w:t>
      </w:r>
      <w:r w:rsidRPr="00310798">
        <w:rPr>
          <w:lang w:val="sq-AL"/>
        </w:rPr>
        <w:tab/>
        <w:t>“</w:t>
      </w:r>
      <w:r w:rsidRPr="00310798">
        <w:rPr>
          <w:lang w:val="sq-AL"/>
        </w:rPr>
        <w:tab/>
        <w:t>“</w:t>
      </w:r>
      <w:r w:rsidRPr="00310798">
        <w:rPr>
          <w:lang w:val="sq-AL"/>
        </w:rPr>
        <w:tab/>
        <w:t xml:space="preserve">   </w:t>
      </w:r>
    </w:p>
    <w:p w:rsidR="00955C01" w:rsidRDefault="00955C01" w:rsidP="00955C01">
      <w:pPr>
        <w:pStyle w:val="Paragrafi"/>
        <w:rPr>
          <w:lang w:val="sq-AL"/>
        </w:rPr>
      </w:pPr>
      <w:r w:rsidRPr="00310798">
        <w:rPr>
          <w:lang w:val="sq-AL"/>
        </w:rPr>
        <w:t>Kristofor Peçi</w:t>
      </w:r>
      <w:r w:rsidRPr="00310798">
        <w:rPr>
          <w:lang w:val="sq-AL"/>
        </w:rPr>
        <w:tab/>
      </w:r>
      <w:r w:rsidRPr="00310798">
        <w:rPr>
          <w:lang w:val="sq-AL"/>
        </w:rPr>
        <w:tab/>
        <w:t>Anëtar   i</w:t>
      </w:r>
      <w:r w:rsidRPr="00310798">
        <w:rPr>
          <w:lang w:val="sq-AL"/>
        </w:rPr>
        <w:tab/>
        <w:t>“</w:t>
      </w:r>
      <w:r w:rsidRPr="00310798">
        <w:rPr>
          <w:lang w:val="sq-AL"/>
        </w:rPr>
        <w:tab/>
        <w:t>“</w:t>
      </w:r>
    </w:p>
    <w:p w:rsidR="00955C01" w:rsidRPr="00310798" w:rsidRDefault="00955C01" w:rsidP="00955C01">
      <w:pPr>
        <w:pStyle w:val="Paragrafi"/>
        <w:rPr>
          <w:lang w:val="sq-AL"/>
        </w:rPr>
      </w:pPr>
      <w:r w:rsidRPr="00310798">
        <w:rPr>
          <w:lang w:val="sq-AL"/>
        </w:rPr>
        <w:tab/>
      </w:r>
    </w:p>
    <w:p w:rsidR="00955C01" w:rsidRPr="00310798" w:rsidRDefault="00955C01" w:rsidP="00955C01">
      <w:pPr>
        <w:pStyle w:val="Paragrafi"/>
        <w:rPr>
          <w:lang w:val="sq-AL"/>
        </w:rPr>
      </w:pPr>
      <w:r w:rsidRPr="00310798">
        <w:rPr>
          <w:lang w:val="sq-AL"/>
        </w:rPr>
        <w:t>me sekre</w:t>
      </w:r>
      <w:r>
        <w:rPr>
          <w:lang w:val="sq-AL"/>
        </w:rPr>
        <w:t>tare Brunilda Bara, në datë 19.</w:t>
      </w:r>
      <w:r w:rsidRPr="00310798">
        <w:rPr>
          <w:lang w:val="sq-AL"/>
        </w:rPr>
        <w:t>6.2007, mori në shqyrtim në seancë gjyqësore me dyer të hapura çështjen nr.39 Akti, që i përket:</w:t>
      </w:r>
    </w:p>
    <w:p w:rsidR="00955C01" w:rsidRPr="00310798" w:rsidRDefault="00955C01" w:rsidP="00955C01">
      <w:pPr>
        <w:pStyle w:val="Paragrafi"/>
        <w:rPr>
          <w:lang w:val="sq-AL"/>
        </w:rPr>
      </w:pPr>
      <w:r w:rsidRPr="00310798">
        <w:rPr>
          <w:lang w:val="sq-AL"/>
        </w:rPr>
        <w:t>KËRKUES:</w:t>
      </w:r>
      <w:r>
        <w:rPr>
          <w:lang w:val="sq-AL"/>
        </w:rPr>
        <w:t xml:space="preserve"> 1.</w:t>
      </w:r>
      <w:r w:rsidRPr="00310798">
        <w:rPr>
          <w:lang w:val="sq-AL"/>
        </w:rPr>
        <w:t>VEHAP LAMAJ,  përfaqësuar nga avokat Genc Gjokutaj, me prokurë.</w:t>
      </w:r>
    </w:p>
    <w:p w:rsidR="00955C01" w:rsidRPr="00310798" w:rsidRDefault="00955C01" w:rsidP="00955C01">
      <w:pPr>
        <w:pStyle w:val="Paragrafi"/>
        <w:rPr>
          <w:lang w:val="sq-AL"/>
        </w:rPr>
      </w:pPr>
      <w:r w:rsidRPr="00310798">
        <w:rPr>
          <w:lang w:val="sq-AL"/>
        </w:rPr>
        <w:t>2. ZHULJETA LAMAJ, përfaqësuar nga avokat Artan Zeneli, me prokurë.</w:t>
      </w:r>
    </w:p>
    <w:p w:rsidR="00955C01" w:rsidRPr="00310798" w:rsidRDefault="00955C01" w:rsidP="00955C01">
      <w:pPr>
        <w:pStyle w:val="Paragrafi"/>
        <w:rPr>
          <w:lang w:val="sq-AL"/>
        </w:rPr>
      </w:pPr>
      <w:r w:rsidRPr="00310798">
        <w:rPr>
          <w:lang w:val="sq-AL"/>
        </w:rPr>
        <w:t>3. ANASTASIOS PETROUPOLOS, përfaqësuar nga avokat Paskal Haxhi, me prokurë.</w:t>
      </w:r>
    </w:p>
    <w:p w:rsidR="00955C01" w:rsidRPr="00310798" w:rsidRDefault="00955C01" w:rsidP="00955C01">
      <w:pPr>
        <w:pStyle w:val="Paragrafi"/>
        <w:rPr>
          <w:lang w:val="sq-AL"/>
        </w:rPr>
      </w:pPr>
      <w:r w:rsidRPr="00310798">
        <w:rPr>
          <w:lang w:val="sq-AL"/>
        </w:rPr>
        <w:t>SUBJEKTE TË INTERESUARA:</w:t>
      </w:r>
      <w:r w:rsidRPr="00310798">
        <w:rPr>
          <w:lang w:val="sq-AL"/>
        </w:rPr>
        <w:tab/>
      </w:r>
    </w:p>
    <w:p w:rsidR="00955C01" w:rsidRPr="00310798" w:rsidRDefault="00955C01" w:rsidP="00955C01">
      <w:pPr>
        <w:pStyle w:val="Paragrafi"/>
        <w:rPr>
          <w:lang w:val="sq-AL"/>
        </w:rPr>
      </w:pPr>
      <w:r w:rsidRPr="00310798">
        <w:rPr>
          <w:lang w:val="sq-AL"/>
        </w:rPr>
        <w:t>1. MINISTRIA E BRENDSHME, përfaqësuar nga Enton Drogu, me autorizim.</w:t>
      </w:r>
    </w:p>
    <w:p w:rsidR="00955C01" w:rsidRPr="00310798" w:rsidRDefault="00955C01" w:rsidP="00955C01">
      <w:pPr>
        <w:pStyle w:val="Paragrafi"/>
        <w:rPr>
          <w:lang w:val="sq-AL"/>
        </w:rPr>
      </w:pPr>
      <w:r w:rsidRPr="00310798">
        <w:rPr>
          <w:lang w:val="sq-AL"/>
        </w:rPr>
        <w:t>2. DREJTORIA E PËRGJITHSHME E DOGANAVE, përfaqësuar nga Shamet Shabani e Ervina Domi, me autorizim.</w:t>
      </w:r>
    </w:p>
    <w:p w:rsidR="00955C01" w:rsidRPr="00310798" w:rsidRDefault="00955C01" w:rsidP="00955C01">
      <w:pPr>
        <w:pStyle w:val="Paragrafi"/>
        <w:rPr>
          <w:lang w:val="sq-AL"/>
        </w:rPr>
      </w:pPr>
      <w:r w:rsidRPr="00310798">
        <w:rPr>
          <w:lang w:val="sq-AL"/>
        </w:rPr>
        <w:t>3. SHOQËRITË “M.LEKA” NË ADMINISTRIM, “VEFA” NË ADMINISTRIM, “GJALLICA” NË ADMINISTRIM, “KAMBERI” NË ADMINISTRIM, “CENAJ” NË ADMINISTRIM, në mungesë.</w:t>
      </w:r>
    </w:p>
    <w:p w:rsidR="00955C01" w:rsidRPr="00310798" w:rsidRDefault="00955C01" w:rsidP="00955C01">
      <w:pPr>
        <w:pStyle w:val="Paragrafi"/>
        <w:rPr>
          <w:lang w:val="sq-AL"/>
        </w:rPr>
      </w:pPr>
      <w:r w:rsidRPr="00310798">
        <w:rPr>
          <w:lang w:val="sq-AL"/>
        </w:rPr>
        <w:t>OBJEKTI: Shfuqizimi si i papajtueshëm me Kushtetutën i vendimit nr.13, datë 9.3.2006 të Kolegjeve të Bashkuara të Gjykatës së Lartë.</w:t>
      </w:r>
    </w:p>
    <w:p w:rsidR="00955C01" w:rsidRPr="00310798" w:rsidRDefault="00955C01" w:rsidP="00955C01">
      <w:pPr>
        <w:pStyle w:val="Paragrafi"/>
        <w:rPr>
          <w:lang w:val="sq-AL"/>
        </w:rPr>
      </w:pPr>
      <w:r w:rsidRPr="00310798">
        <w:rPr>
          <w:lang w:val="sq-AL"/>
        </w:rPr>
        <w:t>BAZA LIGJORE: Nenet 42, 43, 131/f e 134/g të Kushtetutës; neni 6 i Konventës  Europiane për të Drejtat e Njeriut</w:t>
      </w:r>
      <w:r>
        <w:rPr>
          <w:lang w:val="sq-AL"/>
        </w:rPr>
        <w:t>,</w:t>
      </w:r>
      <w:r w:rsidRPr="00310798">
        <w:rPr>
          <w:lang w:val="sq-AL"/>
        </w:rPr>
        <w:t xml:space="preserve"> si dhe neni 44 i ligjit nr.8577, datë 10.2.2000 “Për organizimin dhe funksionimin e Gjykatës Kushtetuese të Republikës së Shqipërisë”.</w:t>
      </w:r>
    </w:p>
    <w:p w:rsidR="00955C01" w:rsidRPr="00310798" w:rsidRDefault="00955C01" w:rsidP="00955C01">
      <w:pPr>
        <w:pStyle w:val="Paragrafi"/>
        <w:rPr>
          <w:lang w:val="sq-AL"/>
        </w:rPr>
      </w:pPr>
      <w:r w:rsidRPr="00310798">
        <w:rPr>
          <w:lang w:val="sq-AL"/>
        </w:rPr>
        <w:t>Kërkuesit kanë parashtruar këto shkaqe për shfuqizimin e vendimit:</w:t>
      </w:r>
    </w:p>
    <w:p w:rsidR="00955C01" w:rsidRPr="00310798" w:rsidRDefault="00955C01" w:rsidP="00955C01">
      <w:pPr>
        <w:pStyle w:val="Paragrafi"/>
        <w:rPr>
          <w:lang w:val="sq-AL"/>
        </w:rPr>
      </w:pPr>
      <w:r w:rsidRPr="00310798">
        <w:rPr>
          <w:lang w:val="sq-AL"/>
        </w:rPr>
        <w:t>1. Njërit prej kërkuesve, që ka qenë person i tretë në gjykim, nuk i është komunikuar rekursi i ushtruar nga pala tjetër dhe për pasojë, është privuar nga pjesëmarrja në gjykim në gjykatë;</w:t>
      </w:r>
    </w:p>
    <w:p w:rsidR="00955C01" w:rsidRPr="00310798" w:rsidRDefault="00955C01" w:rsidP="00955C01">
      <w:pPr>
        <w:pStyle w:val="Paragrafi"/>
        <w:rPr>
          <w:lang w:val="sq-AL"/>
        </w:rPr>
      </w:pPr>
      <w:r w:rsidRPr="00310798">
        <w:rPr>
          <w:lang w:val="sq-AL"/>
        </w:rPr>
        <w:t>2. Subjektet që kanë ushtruar rekurs në Gjykatën e Lartë nuk legjitimohen për ta bërë atë, prandaj Gjykata e Lartë, në shqyrtimin e çështjes, është vënë në lëvizje nga subjekte të palegjitimuara;</w:t>
      </w:r>
    </w:p>
    <w:p w:rsidR="00955C01" w:rsidRPr="00310798" w:rsidRDefault="00955C01" w:rsidP="00955C01">
      <w:pPr>
        <w:pStyle w:val="Paragrafi"/>
        <w:rPr>
          <w:lang w:val="sq-AL"/>
        </w:rPr>
      </w:pPr>
      <w:r w:rsidRPr="00310798">
        <w:rPr>
          <w:lang w:val="sq-AL"/>
        </w:rPr>
        <w:t>3. Kolegjet e Bashkuara të Gjykatës së Lartë kanë zhvilluar proces të parregullt, pasi kanë kryer një sërë shkeljesh që cenojnë standardet kushtetuese. Vendimi bazohet kryesisht në provat e parashtruara dhe të argumentuara nga pala e paditur, kur Gjykata e kishte për detyrë të analizonte në mënyrë të gjithanshme provat dhe faktet e paraqitura nga të dy</w:t>
      </w:r>
      <w:r>
        <w:rPr>
          <w:lang w:val="sq-AL"/>
        </w:rPr>
        <w:t>ja</w:t>
      </w:r>
      <w:r w:rsidRPr="00310798">
        <w:rPr>
          <w:lang w:val="sq-AL"/>
        </w:rPr>
        <w:t xml:space="preserve"> palët. </w:t>
      </w:r>
    </w:p>
    <w:p w:rsidR="00955C01" w:rsidRPr="00310798" w:rsidRDefault="00955C01" w:rsidP="00955C01">
      <w:pPr>
        <w:pStyle w:val="Paragrafi"/>
        <w:ind w:firstLine="0"/>
        <w:rPr>
          <w:lang w:val="sq-AL"/>
        </w:rPr>
      </w:pPr>
    </w:p>
    <w:p w:rsidR="00955C01" w:rsidRPr="00955C01" w:rsidRDefault="00955C01" w:rsidP="00955C01">
      <w:pPr>
        <w:pStyle w:val="Institucioni"/>
        <w:keepNext w:val="0"/>
        <w:rPr>
          <w:lang w:val="sq-AL"/>
        </w:rPr>
      </w:pPr>
      <w:r w:rsidRPr="00955C01">
        <w:rPr>
          <w:lang w:val="sq-AL"/>
        </w:rPr>
        <w:t>GJYKATA KUSHTETUESE,</w:t>
      </w:r>
    </w:p>
    <w:p w:rsidR="00955C01" w:rsidRPr="00310798" w:rsidRDefault="00955C01" w:rsidP="00955C01">
      <w:pPr>
        <w:pStyle w:val="Paragrafi"/>
        <w:rPr>
          <w:lang w:val="sq-AL"/>
        </w:rPr>
      </w:pPr>
    </w:p>
    <w:p w:rsidR="00955C01" w:rsidRPr="00310798" w:rsidRDefault="00955C01" w:rsidP="00955C01">
      <w:pPr>
        <w:pStyle w:val="Paragrafi"/>
        <w:rPr>
          <w:lang w:val="sq-AL"/>
        </w:rPr>
      </w:pPr>
      <w:r w:rsidRPr="00310798">
        <w:rPr>
          <w:lang w:val="sq-AL"/>
        </w:rPr>
        <w:t>pasi dëgjoi relatorin e çështjes Kristofor Peçin, përfaqësuesit e kërkuesve, përfaqësuesit e  subjekteve të interesuara dhe shqyrtoi çështjen në tërësi,</w:t>
      </w:r>
    </w:p>
    <w:p w:rsidR="00955C01" w:rsidRDefault="00955C01" w:rsidP="00955C01">
      <w:pPr>
        <w:pStyle w:val="Paragrafi"/>
        <w:rPr>
          <w:lang w:val="sq-AL"/>
        </w:rPr>
      </w:pPr>
    </w:p>
    <w:p w:rsidR="00955C01" w:rsidRDefault="00955C01" w:rsidP="00955C01">
      <w:pPr>
        <w:pStyle w:val="Paragrafi"/>
        <w:rPr>
          <w:lang w:val="sq-AL"/>
        </w:rPr>
      </w:pPr>
    </w:p>
    <w:p w:rsidR="00955C01" w:rsidRPr="00310798" w:rsidRDefault="00955C01" w:rsidP="00955C01">
      <w:pPr>
        <w:pStyle w:val="Paragrafi"/>
        <w:rPr>
          <w:lang w:val="sq-AL"/>
        </w:rPr>
      </w:pPr>
    </w:p>
    <w:p w:rsidR="00955C01" w:rsidRPr="00955C01" w:rsidRDefault="00955C01" w:rsidP="00955C01">
      <w:pPr>
        <w:pStyle w:val="VENDOSI"/>
        <w:keepNext w:val="0"/>
        <w:rPr>
          <w:lang w:val="sq-AL"/>
        </w:rPr>
      </w:pPr>
      <w:r w:rsidRPr="00955C01">
        <w:rPr>
          <w:lang w:val="sq-AL"/>
        </w:rPr>
        <w:t>VËREN:</w:t>
      </w:r>
    </w:p>
    <w:p w:rsidR="00955C01" w:rsidRPr="00310798" w:rsidRDefault="00955C01" w:rsidP="00955C01">
      <w:pPr>
        <w:pStyle w:val="Paragrafi"/>
        <w:rPr>
          <w:lang w:val="sq-AL"/>
        </w:rPr>
      </w:pPr>
    </w:p>
    <w:p w:rsidR="00955C01" w:rsidRPr="00310798" w:rsidRDefault="00955C01" w:rsidP="00955C01">
      <w:pPr>
        <w:pStyle w:val="Paragrafi"/>
        <w:rPr>
          <w:lang w:val="sq-AL"/>
        </w:rPr>
      </w:pPr>
      <w:r w:rsidRPr="00310798">
        <w:rPr>
          <w:lang w:val="sq-AL"/>
        </w:rPr>
        <w:t xml:space="preserve">Me padinë objekt gjykimi, paditësit Vajdin Lamaj dhe Anastasios Petropoulos kanë kërkuar të njihen pronarë të vetëm të objektit “Bar </w:t>
      </w:r>
      <w:r>
        <w:rPr>
          <w:lang w:val="sq-AL"/>
        </w:rPr>
        <w:t>r</w:t>
      </w:r>
      <w:r w:rsidRPr="00310798">
        <w:rPr>
          <w:lang w:val="sq-AL"/>
        </w:rPr>
        <w:t xml:space="preserve">estorant Drini”, duke u konstatuar pavlefshmëria absolute e </w:t>
      </w:r>
      <w:r w:rsidRPr="00310798">
        <w:rPr>
          <w:lang w:val="sq-AL"/>
        </w:rPr>
        <w:lastRenderedPageBreak/>
        <w:t>kontratës së shitblerjes datë 14.12.1999, të lidhur ndërmjet të paditurve.</w:t>
      </w:r>
    </w:p>
    <w:p w:rsidR="00955C01" w:rsidRPr="00310798" w:rsidRDefault="00955C01" w:rsidP="00955C01">
      <w:pPr>
        <w:pStyle w:val="Paragrafi"/>
        <w:rPr>
          <w:lang w:val="sq-AL"/>
        </w:rPr>
      </w:pPr>
      <w:r w:rsidRPr="00310798">
        <w:rPr>
          <w:lang w:val="sq-AL"/>
        </w:rPr>
        <w:t>Në përfundim të gjykimit, Gjykata e Rrethit Gjyqësor Tiranë</w:t>
      </w:r>
      <w:r>
        <w:rPr>
          <w:lang w:val="sq-AL"/>
        </w:rPr>
        <w:t>, me vendimin nr.3127, datë 12.</w:t>
      </w:r>
      <w:r w:rsidRPr="00310798">
        <w:rPr>
          <w:lang w:val="sq-AL"/>
        </w:rPr>
        <w:t>7.2002, k</w:t>
      </w:r>
      <w:r>
        <w:rPr>
          <w:lang w:val="sq-AL"/>
        </w:rPr>
        <w:t>a vendosur: “Rrëzimin e kërkesë</w:t>
      </w:r>
      <w:r w:rsidRPr="00310798">
        <w:rPr>
          <w:lang w:val="sq-AL"/>
        </w:rPr>
        <w:t>padisë si të pabazuar në ligj dhe në prova”.</w:t>
      </w:r>
    </w:p>
    <w:p w:rsidR="00955C01" w:rsidRPr="00310798" w:rsidRDefault="00955C01" w:rsidP="00955C01">
      <w:pPr>
        <w:pStyle w:val="Paragrafi"/>
        <w:rPr>
          <w:lang w:val="sq-AL"/>
        </w:rPr>
      </w:pPr>
      <w:r w:rsidRPr="00310798">
        <w:rPr>
          <w:lang w:val="sq-AL"/>
        </w:rPr>
        <w:t>Gjykata e Apelit Tiranë, me vendimin nr.662, datë 23.5.2003 ka vendosur: “-Ndryshimin e vendimit nr.3127, datë 12.7.2002 të Gjykatës së Rrethit Gjyqës</w:t>
      </w:r>
      <w:r>
        <w:rPr>
          <w:lang w:val="sq-AL"/>
        </w:rPr>
        <w:t>or Tiranë; - Pranimin e kërkesë</w:t>
      </w:r>
      <w:r w:rsidRPr="00310798">
        <w:rPr>
          <w:lang w:val="sq-AL"/>
        </w:rPr>
        <w:t>padisë së ngritur nga paditësit V.Lamaj dhe A.Petropoulos; - Konstatimin e pavlefshëm të kontratës së shitjes me nr.1987 Rep., dhe nr.353 Kol., datë 14.12.1999, të lidhur midis admi</w:t>
      </w:r>
      <w:r>
        <w:rPr>
          <w:lang w:val="sq-AL"/>
        </w:rPr>
        <w:t>nistratorëve të shoqërive</w:t>
      </w:r>
      <w:r w:rsidRPr="00310798">
        <w:rPr>
          <w:lang w:val="sq-AL"/>
        </w:rPr>
        <w:t xml:space="preserve"> “M.Leka”, “Gjallica”, “Vefa”, “Silva”, “Cenaj”, “Kamberi” si shitës; dhe Ministria e Pushtetit Lokal, Drejtoria e Përgjithshme e Doganav</w:t>
      </w:r>
      <w:r>
        <w:rPr>
          <w:lang w:val="sq-AL"/>
        </w:rPr>
        <w:t>e si blerës; për objektin “Bar r</w:t>
      </w:r>
      <w:r w:rsidRPr="00310798">
        <w:rPr>
          <w:lang w:val="sq-AL"/>
        </w:rPr>
        <w:t>estorant Drini”; - Fshirjen nga Regjistri i Pasurive të Paluajtshm</w:t>
      </w:r>
      <w:r>
        <w:rPr>
          <w:lang w:val="sq-AL"/>
        </w:rPr>
        <w:t>e të pronës për objektin “Kafe b</w:t>
      </w:r>
      <w:r w:rsidRPr="00310798">
        <w:rPr>
          <w:lang w:val="sq-AL"/>
        </w:rPr>
        <w:t>ar Drini” për Ministrinë e Pushtetit Lokal dhe Drejtorinë e Përgjithshme të Doganave; - Urdhërimin e Zyrës së Regjistrimit të Pasurive të Paluajtshme të regjis</w:t>
      </w:r>
      <w:r>
        <w:rPr>
          <w:lang w:val="sq-AL"/>
        </w:rPr>
        <w:t>trojë objektin restorant “Kafe b</w:t>
      </w:r>
      <w:r w:rsidRPr="00310798">
        <w:rPr>
          <w:lang w:val="sq-AL"/>
        </w:rPr>
        <w:t xml:space="preserve">ar Drini” në emër të paditësve Vajdin Lamaj dhe Anastasios Petropoulos”.  </w:t>
      </w:r>
    </w:p>
    <w:p w:rsidR="00955C01" w:rsidRPr="00310798" w:rsidRDefault="00955C01" w:rsidP="00955C01">
      <w:pPr>
        <w:pStyle w:val="Paragrafi"/>
        <w:rPr>
          <w:lang w:val="sq-AL"/>
        </w:rPr>
      </w:pPr>
      <w:r w:rsidRPr="00310798">
        <w:rPr>
          <w:lang w:val="sq-AL"/>
        </w:rPr>
        <w:t>Kolegjet e Bashkuara të Gjykatës së Lartë, me vendimin nr.13, datë 9.3.2006, kanë vendosur prishjen e vendimit të Gjykatës së  Apelit Tiranë dhe lënien në fuqi të vendimit të Gjykatës së Rrethit Gjyqësor Tiranë.</w:t>
      </w:r>
    </w:p>
    <w:p w:rsidR="00955C01" w:rsidRPr="00310798" w:rsidRDefault="00955C01" w:rsidP="00955C01">
      <w:pPr>
        <w:pStyle w:val="Paragrafi"/>
        <w:rPr>
          <w:lang w:val="sq-AL"/>
        </w:rPr>
      </w:pPr>
      <w:r w:rsidRPr="00310798">
        <w:rPr>
          <w:lang w:val="sq-AL"/>
        </w:rPr>
        <w:t>Gjykata Kushtetuese vlerëson se nga tërësia e pretendimeve dhe shkaqeve të ngritura në kërkesë, kontrolli kushtetues duhet të përqendrohet në shkeljet që cenojnë standardet e procesit të rregullt ligjor. Kërkuesi Vehap Lamaj, që në fillim të procesit në shkallë të parë, mbi kërkesën e paditësve, i është bashkuar çështjes si person i tretë dhe si i tillë është trajtuar dhe ka marrë pjesë në të dy</w:t>
      </w:r>
      <w:r>
        <w:rPr>
          <w:lang w:val="sq-AL"/>
        </w:rPr>
        <w:t>ja</w:t>
      </w:r>
      <w:r w:rsidRPr="00310798">
        <w:rPr>
          <w:lang w:val="sq-AL"/>
        </w:rPr>
        <w:t xml:space="preserve"> shkallët e gjykimit, duke pasur të gjitha të drejtat e palëve në gjykim, sipas nenit 195 të Kodit të Procedurës</w:t>
      </w:r>
      <w:r>
        <w:rPr>
          <w:lang w:val="sq-AL"/>
        </w:rPr>
        <w:t xml:space="preserve"> Civile. Me vendimin e Gjykatës së A</w:t>
      </w:r>
      <w:r w:rsidRPr="00310798">
        <w:rPr>
          <w:lang w:val="sq-AL"/>
        </w:rPr>
        <w:t>pelit, të dhënë në favor të tij, u krijua një stabilitet në zgjidhjen e konfliktit dhe njëkohësisht një garanci juridike, e cila mund të cenohet vetëm në kushtet e parashikuara në ligj. Gjykata Kushtetuese konstaton se kërkuesit Vehap Lamaj nuk i është komunikuar kopja e rekursit të ushtruar nga pala tjetër ndaj vendimit të Gjykatës së Apelit Tiranë.</w:t>
      </w:r>
    </w:p>
    <w:p w:rsidR="00955C01" w:rsidRPr="00310798" w:rsidRDefault="00955C01" w:rsidP="00955C01">
      <w:pPr>
        <w:pStyle w:val="Paragrafi"/>
        <w:rPr>
          <w:lang w:val="sq-AL"/>
        </w:rPr>
      </w:pPr>
      <w:r w:rsidRPr="00310798">
        <w:rPr>
          <w:lang w:val="sq-AL"/>
        </w:rPr>
        <w:t>Rekursi</w:t>
      </w:r>
      <w:r>
        <w:rPr>
          <w:lang w:val="sq-AL"/>
        </w:rPr>
        <w:t xml:space="preserve"> që ushtrohet ndaj vendimit të Gjykatës së A</w:t>
      </w:r>
      <w:r w:rsidRPr="00310798">
        <w:rPr>
          <w:lang w:val="sq-AL"/>
        </w:rPr>
        <w:t>pelit, i duhet njoftuar palës së interesuar, për t’i dhënë asaj mundësi për të marrë pjesë në gjykimin e çështjes në Gjykatën e Lartë dhe për t’u mbrojtuar.</w:t>
      </w:r>
    </w:p>
    <w:p w:rsidR="00955C01" w:rsidRPr="00310798" w:rsidRDefault="00955C01" w:rsidP="00955C01">
      <w:pPr>
        <w:pStyle w:val="Paragrafi"/>
        <w:rPr>
          <w:lang w:val="sq-AL"/>
        </w:rPr>
      </w:pPr>
      <w:r w:rsidRPr="00310798">
        <w:rPr>
          <w:lang w:val="sq-AL"/>
        </w:rPr>
        <w:t>Në rastin në shqyrtim, moskomunikimi i rekursit i ka mohuar kërkuesit të drejtën e pjesëmarrjes në gjykim në gjykatë dhe të mbrojtjes, gjë që e bëri procesin të parregullt në kuptimin kushtetues. Privimi i palës në proces nga mundësia, që nëpërmjet përfaqësimit të mbrojë interesat e veta në gjykim, është konsideruar shkelje e standardeve të procesit të rregullt në shumë vendime të Gjykatës Kushtetuese.</w:t>
      </w:r>
      <w:r w:rsidRPr="00310798">
        <w:rPr>
          <w:vertAlign w:val="superscript"/>
          <w:lang w:val="sq-AL"/>
        </w:rPr>
        <w:footnoteReference w:id="1"/>
      </w:r>
    </w:p>
    <w:p w:rsidR="00955C01" w:rsidRPr="00310798" w:rsidRDefault="00955C01" w:rsidP="00955C01">
      <w:pPr>
        <w:pStyle w:val="Paragrafi"/>
        <w:rPr>
          <w:lang w:val="sq-AL"/>
        </w:rPr>
      </w:pPr>
      <w:r w:rsidRPr="00310798">
        <w:rPr>
          <w:lang w:val="sq-AL"/>
        </w:rPr>
        <w:t>E drejta për t’u mbrojtur, e cila realizohet nëpërmjet të drejtës për të qenë i pranishëm në gjykim, përbën një aspekt të rëndësishëm të procesit të rregullt ligjor. Realizimi i kësaj të drejte shtron para organeve gjyqësore detyrimin për të njoftuar palët dhe mbrojtësit e tyre për datën dhe orën e zhvillimit të seancës, për të siguruar praninë e tyre dhe për të mos i përjashtuar padrejtësisht nga gjykimi.</w:t>
      </w:r>
    </w:p>
    <w:p w:rsidR="00955C01" w:rsidRPr="00310798" w:rsidRDefault="00955C01" w:rsidP="00955C01">
      <w:pPr>
        <w:pStyle w:val="Paragrafi"/>
        <w:rPr>
          <w:lang w:val="sq-AL"/>
        </w:rPr>
      </w:pPr>
      <w:r w:rsidRPr="00310798">
        <w:rPr>
          <w:lang w:val="sq-AL"/>
        </w:rPr>
        <w:t>Gjykata Kushtetuese, nëpërmjet vendimeve të saj, ka vënë në dukje se pjesëmarrja e palëve në gjykim, dëgjimi i pretendimeve të tyre për provat dhe interpretimin e ligjit në çështjen konkrete garantohet nga neni 42 i Kushtetutës dhe neni 6 i Konventës Evropiane për të Drejtat e Njeriut dhe se kjo pjesëmarrje, i shërben palëve për të bërë një mbrojtje sa më efektive, por njëkohësisht është dhe në interes të drejtësisë.</w:t>
      </w:r>
    </w:p>
    <w:p w:rsidR="00955C01" w:rsidRPr="00310798" w:rsidRDefault="00955C01" w:rsidP="00955C01">
      <w:pPr>
        <w:pStyle w:val="Paragrafi"/>
        <w:rPr>
          <w:lang w:val="sq-AL"/>
        </w:rPr>
      </w:pPr>
      <w:r w:rsidRPr="00310798">
        <w:rPr>
          <w:lang w:val="sq-AL"/>
        </w:rPr>
        <w:t>Lidhur me pretendimin e kërkuesit për moslegjitimim të subjekteve për të ushtruar rekurs, Gjykata Kushtetuese vlerëson se, në rastin konkret, Avokati i Shtetit legjitimohet të us</w:t>
      </w:r>
      <w:r>
        <w:rPr>
          <w:lang w:val="sq-AL"/>
        </w:rPr>
        <w:t>htrojë rekurs ndaj vendimit të G</w:t>
      </w:r>
      <w:r w:rsidRPr="00310798">
        <w:rPr>
          <w:lang w:val="sq-AL"/>
        </w:rPr>
        <w:t>jyk</w:t>
      </w:r>
      <w:r>
        <w:rPr>
          <w:lang w:val="sq-AL"/>
        </w:rPr>
        <w:t>atës së A</w:t>
      </w:r>
      <w:r w:rsidRPr="00310798">
        <w:rPr>
          <w:lang w:val="sq-AL"/>
        </w:rPr>
        <w:t>pelit. Avokatura e Shtetit përfaqëson dhe mbron në gjyq interesat pasurore të shtetit për investimet e tij në subjektet publike ose private. Sipas nenit 1</w:t>
      </w:r>
      <w:r>
        <w:rPr>
          <w:lang w:val="sq-AL"/>
        </w:rPr>
        <w:t>,</w:t>
      </w:r>
      <w:r w:rsidRPr="00310798">
        <w:rPr>
          <w:lang w:val="sq-AL"/>
        </w:rPr>
        <w:t xml:space="preserve"> pika 3 të ligjit nr.8551, datë 18.11.1999 “Për Avokaturën e Shtetit”, “Avokatura e Shtetit ushtron përfaqësimin dhe mbrojtjen në gjyq pa autorizim të posaçëm të të përfaqësuarit”, prandaj vënia në lëvizje e Gjykatës së Lartë për shqyrtimin e çështjes nuk është bërë nga subjekte të palegjitimuara.</w:t>
      </w:r>
    </w:p>
    <w:p w:rsidR="00955C01" w:rsidRPr="00310798" w:rsidRDefault="00955C01" w:rsidP="00955C01">
      <w:pPr>
        <w:pStyle w:val="Paragrafi"/>
        <w:rPr>
          <w:lang w:val="sq-AL"/>
        </w:rPr>
      </w:pPr>
      <w:r w:rsidRPr="00310798">
        <w:rPr>
          <w:lang w:val="sq-AL"/>
        </w:rPr>
        <w:t xml:space="preserve">Përfundimisht, Gjykata Kushtetuese çmon se kërkesa e paraqitur nga kërkuesit është e drejtë. </w:t>
      </w:r>
      <w:r w:rsidRPr="00310798">
        <w:rPr>
          <w:lang w:val="sq-AL"/>
        </w:rPr>
        <w:lastRenderedPageBreak/>
        <w:t>Kjo për arsye se gjykimi i çështjes pa iu njoftuar rekursi palës së interesuar dhe pa siguruar pjesëmarrjen e saj në gjykim, ka cenuar të drejtën për një proces të rregullt ligjor, parashikuar nga neni 42 i Kushtetutës dhe nga neni 6 i Konventës Europiane për të Drejtat e Njeriut.</w:t>
      </w:r>
    </w:p>
    <w:p w:rsidR="00955C01" w:rsidRPr="00310798" w:rsidRDefault="00955C01" w:rsidP="00955C01">
      <w:pPr>
        <w:pStyle w:val="Paragrafi"/>
        <w:ind w:firstLine="0"/>
        <w:rPr>
          <w:lang w:val="sq-AL"/>
        </w:rPr>
      </w:pPr>
    </w:p>
    <w:p w:rsidR="00955C01" w:rsidRPr="00955C01" w:rsidRDefault="00955C01" w:rsidP="00955C01">
      <w:pPr>
        <w:pStyle w:val="VENDOSI"/>
        <w:keepNext w:val="0"/>
        <w:rPr>
          <w:lang w:val="sq-AL"/>
        </w:rPr>
      </w:pPr>
      <w:r w:rsidRPr="00955C01">
        <w:rPr>
          <w:lang w:val="sq-AL"/>
        </w:rPr>
        <w:t>PËR KËTO ARSYE,</w:t>
      </w:r>
    </w:p>
    <w:p w:rsidR="00955C01" w:rsidRPr="00946951" w:rsidRDefault="00955C01" w:rsidP="00955C01">
      <w:pPr>
        <w:pStyle w:val="Paragrafi"/>
        <w:ind w:firstLine="0"/>
        <w:rPr>
          <w:sz w:val="14"/>
          <w:lang w:val="sq-AL"/>
        </w:rPr>
      </w:pPr>
    </w:p>
    <w:p w:rsidR="00955C01" w:rsidRPr="00310798" w:rsidRDefault="00955C01" w:rsidP="00955C01">
      <w:pPr>
        <w:pStyle w:val="Paragrafi"/>
        <w:rPr>
          <w:lang w:val="sq-AL"/>
        </w:rPr>
      </w:pPr>
      <w:r w:rsidRPr="00310798">
        <w:rPr>
          <w:lang w:val="sq-AL"/>
        </w:rPr>
        <w:t>Gjykata Kushtetuese e Republikës së Shqipërisë, në mbështetje të nenit 131/f të Kushtetutës dhe nenit 72 e vijues të ligjit nr.8577, datë 10.2.2000 “Për organizimin dhe funksionimin e Gjykatës Kushtetuese të Republikës së Shqipërisë”, me shumicë votash,</w:t>
      </w:r>
    </w:p>
    <w:p w:rsidR="00955C01" w:rsidRPr="00946951" w:rsidRDefault="00955C01" w:rsidP="00955C01">
      <w:pPr>
        <w:pStyle w:val="Paragrafi"/>
        <w:rPr>
          <w:sz w:val="16"/>
          <w:lang w:val="sq-AL"/>
        </w:rPr>
      </w:pPr>
    </w:p>
    <w:p w:rsidR="00955C01" w:rsidRPr="00955C01" w:rsidRDefault="00955C01" w:rsidP="00955C01">
      <w:pPr>
        <w:pStyle w:val="VENDOSI"/>
        <w:keepNext w:val="0"/>
        <w:rPr>
          <w:lang w:val="sq-AL"/>
        </w:rPr>
      </w:pPr>
      <w:r w:rsidRPr="00955C01">
        <w:rPr>
          <w:lang w:val="sq-AL"/>
        </w:rPr>
        <w:t>VENDOSI:</w:t>
      </w:r>
    </w:p>
    <w:p w:rsidR="00955C01" w:rsidRPr="00946951" w:rsidRDefault="00955C01" w:rsidP="00955C01">
      <w:pPr>
        <w:pStyle w:val="Paragrafi"/>
        <w:rPr>
          <w:sz w:val="14"/>
          <w:lang w:val="sq-AL"/>
        </w:rPr>
      </w:pPr>
    </w:p>
    <w:p w:rsidR="00955C01" w:rsidRPr="00310798" w:rsidRDefault="00955C01" w:rsidP="00955C01">
      <w:pPr>
        <w:pStyle w:val="Paragrafi"/>
        <w:rPr>
          <w:lang w:val="sq-AL"/>
        </w:rPr>
      </w:pPr>
      <w:r w:rsidRPr="00310798">
        <w:rPr>
          <w:lang w:val="sq-AL"/>
        </w:rPr>
        <w:t>- Shfuqizimin si të papajtueshëm me Kushtetutën të vendimit nr.13, datë 9.3.2006 të Kolegjeve të Bashkuara të Gjykatës së Lartë.</w:t>
      </w:r>
    </w:p>
    <w:p w:rsidR="00955C01" w:rsidRPr="00310798" w:rsidRDefault="00955C01" w:rsidP="00955C01">
      <w:pPr>
        <w:pStyle w:val="Paragrafi"/>
        <w:rPr>
          <w:lang w:val="sq-AL"/>
        </w:rPr>
      </w:pPr>
      <w:r w:rsidRPr="00310798">
        <w:rPr>
          <w:lang w:val="sq-AL"/>
        </w:rPr>
        <w:t>-  Dërgimin e çështjes për gjykim në Kolegjet e Bashkuara të Gjykatës së Lartë.</w:t>
      </w:r>
    </w:p>
    <w:p w:rsidR="00955C01" w:rsidRPr="00310798" w:rsidRDefault="00955C01" w:rsidP="00955C01">
      <w:pPr>
        <w:pStyle w:val="Paragrafi"/>
        <w:rPr>
          <w:lang w:val="sq-AL"/>
        </w:rPr>
      </w:pPr>
      <w:r w:rsidRPr="00310798">
        <w:rPr>
          <w:lang w:val="sq-AL"/>
        </w:rPr>
        <w:t>Ky vendim është përfundimtar, i formës së prerë dhe hyn në fuqi ditën e botimit në Fletoren Zyrtare.</w:t>
      </w:r>
    </w:p>
    <w:p w:rsidR="00955C01" w:rsidRPr="00310798" w:rsidRDefault="00955C01" w:rsidP="00955C01">
      <w:pPr>
        <w:pStyle w:val="Paragrafi"/>
        <w:rPr>
          <w:lang w:val="sq-AL"/>
        </w:rPr>
      </w:pPr>
      <w:r w:rsidRPr="00310798">
        <w:rPr>
          <w:lang w:val="sq-AL"/>
        </w:rPr>
        <w:t>Anëtarë: F.Abdiu, Gj.Sauli, K.Peçi, S.Berberi, S.Sadushi.</w:t>
      </w:r>
    </w:p>
    <w:p w:rsidR="00955C01" w:rsidRPr="00310798" w:rsidRDefault="00955C01" w:rsidP="00955C01">
      <w:pPr>
        <w:pStyle w:val="Paragrafi"/>
        <w:rPr>
          <w:lang w:val="sq-AL"/>
        </w:rPr>
      </w:pPr>
      <w:r w:rsidRPr="00310798">
        <w:rPr>
          <w:lang w:val="sq-AL"/>
        </w:rPr>
        <w:t>Anëtarë kundër: V.Kristo (kryetar), P.Plloçi, Xh.Zaganjori, K.Puto.</w:t>
      </w:r>
    </w:p>
    <w:p w:rsidR="00955C01" w:rsidRPr="00946951" w:rsidRDefault="00955C01" w:rsidP="00955C01">
      <w:pPr>
        <w:pStyle w:val="TitulliTitull"/>
        <w:keepNext w:val="0"/>
        <w:jc w:val="left"/>
        <w:rPr>
          <w:lang w:val="sq-AL"/>
        </w:rPr>
      </w:pPr>
    </w:p>
    <w:p w:rsidR="00955C01" w:rsidRPr="00946951" w:rsidRDefault="00955C01" w:rsidP="00955C01">
      <w:pPr>
        <w:pStyle w:val="TitulliTitull"/>
        <w:keepNext w:val="0"/>
        <w:rPr>
          <w:lang w:val="sq-AL"/>
        </w:rPr>
      </w:pPr>
      <w:r w:rsidRPr="00946951">
        <w:rPr>
          <w:lang w:val="sq-AL"/>
        </w:rPr>
        <w:t>Shpallje kërkese për shpronësim publik</w:t>
      </w:r>
    </w:p>
    <w:p w:rsidR="00955C01" w:rsidRPr="00946951" w:rsidRDefault="00955C01" w:rsidP="00955C01">
      <w:pPr>
        <w:pStyle w:val="Paragrafi"/>
        <w:rPr>
          <w:sz w:val="14"/>
          <w:lang w:val="sq-AL"/>
        </w:rPr>
      </w:pPr>
    </w:p>
    <w:p w:rsidR="00955C01" w:rsidRDefault="00955C01" w:rsidP="00955C01">
      <w:pPr>
        <w:pStyle w:val="Paragrafi"/>
        <w:rPr>
          <w:lang w:val="sq-AL"/>
        </w:rPr>
      </w:pPr>
      <w:r>
        <w:rPr>
          <w:lang w:val="sq-AL"/>
        </w:rPr>
        <w:t>Ministria e Punëve Publike, Transportit dhe Telekomunikacionit shpall kërkesën për shpronësim për interes publik, të pasurive të paluajtshme, pronë private, që preken nga rehabilitimi i rrëshqitjes “Guri i Renzit” Librazhd.</w:t>
      </w:r>
    </w:p>
    <w:p w:rsidR="00955C01" w:rsidRDefault="00955C01" w:rsidP="00955C01">
      <w:pPr>
        <w:pStyle w:val="Paragrafi"/>
        <w:rPr>
          <w:lang w:val="sq-AL"/>
        </w:rPr>
      </w:pPr>
      <w:r>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955C01" w:rsidRDefault="00955C01" w:rsidP="00955C01">
      <w:pPr>
        <w:pStyle w:val="Paragrafi"/>
        <w:rPr>
          <w:lang w:val="sq-AL"/>
        </w:rPr>
      </w:pPr>
      <w:r>
        <w:rPr>
          <w:lang w:val="sq-AL"/>
        </w:rPr>
        <w:t>Pronari që ka emrin në listën emërore dhe personat e tretë, brenda 15 ditëve nga plotësimi i këtij afati për publikim, kanë të drejtë të paraqesin pretendimet e tyre lidhur me çmimin, sipërfaqen e titullin e pronësisë, apo llojin e pasurisë që kanë në pronësi, të shoqëruara me dokumentet përkatëse në Ministrinë kompetente (Ministria e Punëve Publike, Transportit dhe Telekomunikacionit).</w:t>
      </w:r>
    </w:p>
    <w:p w:rsidR="00955C01" w:rsidRDefault="00955C01" w:rsidP="00955C01">
      <w:pPr>
        <w:pStyle w:val="Paragrafi"/>
        <w:rPr>
          <w:lang w:val="sq-AL"/>
        </w:rPr>
      </w:pPr>
      <w:r>
        <w:rPr>
          <w:lang w:val="sq-AL"/>
        </w:rPr>
        <w:t>Pronari për të cilin në kolonën shënime në tabelën e publikuar, është bërë shënimi “Plotësim dokumentacioni”, do të kompensohet për efekt shpronësimi pas miratimit të kërkesës për shpronësim nga Këshilli i Ministrave dhe pasi të ketë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55C01" w:rsidRDefault="00955C01" w:rsidP="00955C01">
      <w:pPr>
        <w:pStyle w:val="Paragrafi"/>
        <w:rPr>
          <w:lang w:val="sq-AL"/>
        </w:rPr>
      </w:pPr>
      <w:r>
        <w:rPr>
          <w:lang w:val="sq-AL"/>
        </w:rPr>
        <w:t>Vlera totale e këtij shpronësimi është 510 000 (pesëqind e dhjetë mijë) lekë.</w:t>
      </w:r>
    </w:p>
    <w:p w:rsidR="00955C01" w:rsidRDefault="00955C01" w:rsidP="00955C01">
      <w:pPr>
        <w:pStyle w:val="Paragrafi"/>
        <w:rPr>
          <w:lang w:val="sq-AL"/>
        </w:rPr>
      </w:pPr>
    </w:p>
    <w:tbl>
      <w:tblPr>
        <w:tblStyle w:val="TableGrid"/>
        <w:tblW w:w="0" w:type="auto"/>
        <w:tblLook w:val="01E0" w:firstRow="1" w:lastRow="1" w:firstColumn="1" w:lastColumn="1" w:noHBand="0" w:noVBand="0"/>
      </w:tblPr>
      <w:tblGrid>
        <w:gridCol w:w="722"/>
        <w:gridCol w:w="1826"/>
        <w:gridCol w:w="1316"/>
        <w:gridCol w:w="1296"/>
        <w:gridCol w:w="1279"/>
        <w:gridCol w:w="1278"/>
        <w:gridCol w:w="1570"/>
      </w:tblGrid>
      <w:tr w:rsidR="00955C01" w:rsidRPr="00C46C03">
        <w:tc>
          <w:tcPr>
            <w:tcW w:w="722" w:type="dxa"/>
          </w:tcPr>
          <w:p w:rsidR="00955C01" w:rsidRPr="00C46C03" w:rsidRDefault="00955C01" w:rsidP="009F3484">
            <w:pPr>
              <w:pStyle w:val="Tabele"/>
              <w:widowControl w:val="0"/>
              <w:jc w:val="center"/>
              <w:rPr>
                <w:sz w:val="21"/>
                <w:szCs w:val="21"/>
              </w:rPr>
            </w:pPr>
            <w:r w:rsidRPr="00C46C03">
              <w:rPr>
                <w:sz w:val="21"/>
                <w:szCs w:val="21"/>
              </w:rPr>
              <w:t>Nr.</w:t>
            </w:r>
          </w:p>
        </w:tc>
        <w:tc>
          <w:tcPr>
            <w:tcW w:w="1826" w:type="dxa"/>
          </w:tcPr>
          <w:p w:rsidR="00955C01" w:rsidRPr="00C46C03" w:rsidRDefault="00955C01" w:rsidP="009F3484">
            <w:pPr>
              <w:pStyle w:val="Tabele"/>
              <w:widowControl w:val="0"/>
              <w:jc w:val="center"/>
              <w:rPr>
                <w:sz w:val="21"/>
                <w:szCs w:val="21"/>
              </w:rPr>
            </w:pPr>
            <w:r w:rsidRPr="00C46C03">
              <w:rPr>
                <w:sz w:val="21"/>
                <w:szCs w:val="21"/>
              </w:rPr>
              <w:t>Emri</w:t>
            </w:r>
          </w:p>
        </w:tc>
        <w:tc>
          <w:tcPr>
            <w:tcW w:w="1316" w:type="dxa"/>
          </w:tcPr>
          <w:p w:rsidR="00955C01" w:rsidRPr="00C46C03" w:rsidRDefault="00955C01" w:rsidP="009F3484">
            <w:pPr>
              <w:pStyle w:val="Tabele"/>
              <w:widowControl w:val="0"/>
              <w:jc w:val="center"/>
              <w:rPr>
                <w:sz w:val="21"/>
                <w:szCs w:val="21"/>
              </w:rPr>
            </w:pPr>
            <w:r w:rsidRPr="00C46C03">
              <w:rPr>
                <w:sz w:val="21"/>
                <w:szCs w:val="21"/>
              </w:rPr>
              <w:t>Nr.pasurisë</w:t>
            </w:r>
          </w:p>
        </w:tc>
        <w:tc>
          <w:tcPr>
            <w:tcW w:w="1296" w:type="dxa"/>
          </w:tcPr>
          <w:p w:rsidR="00955C01" w:rsidRPr="00C46C03" w:rsidRDefault="00955C01" w:rsidP="009F3484">
            <w:pPr>
              <w:pStyle w:val="Tabele"/>
              <w:widowControl w:val="0"/>
              <w:jc w:val="center"/>
              <w:rPr>
                <w:sz w:val="21"/>
                <w:szCs w:val="21"/>
              </w:rPr>
            </w:pPr>
            <w:r w:rsidRPr="00C46C03">
              <w:rPr>
                <w:sz w:val="21"/>
                <w:szCs w:val="21"/>
              </w:rPr>
              <w:t>Sipërfaqe m</w:t>
            </w:r>
            <w:r w:rsidRPr="00C46C03">
              <w:rPr>
                <w:sz w:val="21"/>
                <w:szCs w:val="21"/>
                <w:vertAlign w:val="superscript"/>
              </w:rPr>
              <w:t>2</w:t>
            </w:r>
          </w:p>
        </w:tc>
        <w:tc>
          <w:tcPr>
            <w:tcW w:w="1279" w:type="dxa"/>
          </w:tcPr>
          <w:p w:rsidR="00955C01" w:rsidRPr="00C46C03" w:rsidRDefault="00955C01" w:rsidP="009F3484">
            <w:pPr>
              <w:pStyle w:val="Tabele"/>
              <w:widowControl w:val="0"/>
              <w:jc w:val="center"/>
              <w:rPr>
                <w:sz w:val="21"/>
                <w:szCs w:val="21"/>
              </w:rPr>
            </w:pPr>
            <w:r w:rsidRPr="00C46C03">
              <w:rPr>
                <w:sz w:val="21"/>
                <w:szCs w:val="21"/>
              </w:rPr>
              <w:t>Çmimi lekë/m</w:t>
            </w:r>
            <w:r w:rsidRPr="00C46C03">
              <w:rPr>
                <w:sz w:val="21"/>
                <w:szCs w:val="21"/>
                <w:vertAlign w:val="superscript"/>
              </w:rPr>
              <w:t>2</w:t>
            </w:r>
          </w:p>
        </w:tc>
        <w:tc>
          <w:tcPr>
            <w:tcW w:w="1278" w:type="dxa"/>
          </w:tcPr>
          <w:p w:rsidR="00955C01" w:rsidRPr="00C46C03" w:rsidRDefault="00955C01" w:rsidP="009F3484">
            <w:pPr>
              <w:pStyle w:val="Tabele"/>
              <w:widowControl w:val="0"/>
              <w:jc w:val="center"/>
              <w:rPr>
                <w:sz w:val="21"/>
                <w:szCs w:val="21"/>
              </w:rPr>
            </w:pPr>
            <w:r w:rsidRPr="00C46C03">
              <w:rPr>
                <w:sz w:val="21"/>
                <w:szCs w:val="21"/>
              </w:rPr>
              <w:t>Vlera lekë</w:t>
            </w:r>
          </w:p>
        </w:tc>
        <w:tc>
          <w:tcPr>
            <w:tcW w:w="1570" w:type="dxa"/>
          </w:tcPr>
          <w:p w:rsidR="00955C01" w:rsidRPr="00C46C03" w:rsidRDefault="00955C01" w:rsidP="009F3484">
            <w:pPr>
              <w:pStyle w:val="Tabele"/>
              <w:widowControl w:val="0"/>
              <w:jc w:val="center"/>
              <w:rPr>
                <w:sz w:val="21"/>
                <w:szCs w:val="21"/>
              </w:rPr>
            </w:pPr>
            <w:r w:rsidRPr="00C46C03">
              <w:rPr>
                <w:sz w:val="21"/>
                <w:szCs w:val="21"/>
              </w:rPr>
              <w:t>Shënime</w:t>
            </w:r>
          </w:p>
        </w:tc>
      </w:tr>
      <w:tr w:rsidR="00955C01" w:rsidRPr="00C46C03">
        <w:tc>
          <w:tcPr>
            <w:tcW w:w="722" w:type="dxa"/>
          </w:tcPr>
          <w:p w:rsidR="00955C01" w:rsidRPr="00C46C03" w:rsidRDefault="00955C01" w:rsidP="009F3484">
            <w:pPr>
              <w:pStyle w:val="Tabele"/>
              <w:widowControl w:val="0"/>
              <w:jc w:val="center"/>
              <w:rPr>
                <w:sz w:val="21"/>
                <w:szCs w:val="21"/>
              </w:rPr>
            </w:pPr>
            <w:r w:rsidRPr="00C46C03">
              <w:rPr>
                <w:sz w:val="21"/>
                <w:szCs w:val="21"/>
              </w:rPr>
              <w:t>1</w:t>
            </w:r>
            <w:r>
              <w:rPr>
                <w:sz w:val="21"/>
                <w:szCs w:val="21"/>
              </w:rPr>
              <w:t>.</w:t>
            </w:r>
          </w:p>
        </w:tc>
        <w:tc>
          <w:tcPr>
            <w:tcW w:w="1826" w:type="dxa"/>
          </w:tcPr>
          <w:p w:rsidR="00955C01" w:rsidRPr="00C46C03" w:rsidRDefault="00955C01" w:rsidP="009F3484">
            <w:pPr>
              <w:pStyle w:val="Tabele"/>
              <w:widowControl w:val="0"/>
              <w:rPr>
                <w:sz w:val="21"/>
                <w:szCs w:val="21"/>
              </w:rPr>
            </w:pPr>
            <w:r>
              <w:rPr>
                <w:sz w:val="21"/>
                <w:szCs w:val="21"/>
              </w:rPr>
              <w:t xml:space="preserve">Shefki Mehmet </w:t>
            </w:r>
            <w:r w:rsidRPr="00C46C03">
              <w:rPr>
                <w:sz w:val="21"/>
                <w:szCs w:val="21"/>
              </w:rPr>
              <w:t>Dosku</w:t>
            </w:r>
          </w:p>
        </w:tc>
        <w:tc>
          <w:tcPr>
            <w:tcW w:w="1316" w:type="dxa"/>
          </w:tcPr>
          <w:p w:rsidR="00955C01" w:rsidRPr="00C46C03" w:rsidRDefault="00955C01" w:rsidP="009F3484">
            <w:pPr>
              <w:pStyle w:val="Tabele"/>
              <w:widowControl w:val="0"/>
              <w:jc w:val="center"/>
              <w:rPr>
                <w:sz w:val="21"/>
                <w:szCs w:val="21"/>
              </w:rPr>
            </w:pPr>
            <w:r w:rsidRPr="00C46C03">
              <w:rPr>
                <w:sz w:val="21"/>
                <w:szCs w:val="21"/>
              </w:rPr>
              <w:t>596</w:t>
            </w:r>
          </w:p>
        </w:tc>
        <w:tc>
          <w:tcPr>
            <w:tcW w:w="1296" w:type="dxa"/>
          </w:tcPr>
          <w:p w:rsidR="00955C01" w:rsidRPr="00C46C03" w:rsidRDefault="00955C01" w:rsidP="009F3484">
            <w:pPr>
              <w:pStyle w:val="Tabele"/>
              <w:widowControl w:val="0"/>
              <w:jc w:val="center"/>
              <w:rPr>
                <w:sz w:val="21"/>
                <w:szCs w:val="21"/>
              </w:rPr>
            </w:pPr>
            <w:r w:rsidRPr="00C46C03">
              <w:rPr>
                <w:sz w:val="21"/>
                <w:szCs w:val="21"/>
              </w:rPr>
              <w:t>850</w:t>
            </w:r>
          </w:p>
        </w:tc>
        <w:tc>
          <w:tcPr>
            <w:tcW w:w="1279" w:type="dxa"/>
          </w:tcPr>
          <w:p w:rsidR="00955C01" w:rsidRPr="00C46C03" w:rsidRDefault="00955C01" w:rsidP="009F3484">
            <w:pPr>
              <w:pStyle w:val="Tabele"/>
              <w:widowControl w:val="0"/>
              <w:jc w:val="center"/>
              <w:rPr>
                <w:sz w:val="21"/>
                <w:szCs w:val="21"/>
              </w:rPr>
            </w:pPr>
            <w:r w:rsidRPr="00C46C03">
              <w:rPr>
                <w:sz w:val="21"/>
                <w:szCs w:val="21"/>
              </w:rPr>
              <w:t>600</w:t>
            </w:r>
          </w:p>
        </w:tc>
        <w:tc>
          <w:tcPr>
            <w:tcW w:w="1278" w:type="dxa"/>
          </w:tcPr>
          <w:p w:rsidR="00955C01" w:rsidRPr="00C46C03" w:rsidRDefault="00955C01" w:rsidP="009F3484">
            <w:pPr>
              <w:pStyle w:val="Tabele"/>
              <w:widowControl w:val="0"/>
              <w:jc w:val="center"/>
              <w:rPr>
                <w:sz w:val="21"/>
                <w:szCs w:val="21"/>
              </w:rPr>
            </w:pPr>
            <w:r w:rsidRPr="00C46C03">
              <w:rPr>
                <w:sz w:val="21"/>
                <w:szCs w:val="21"/>
              </w:rPr>
              <w:t>510000</w:t>
            </w:r>
          </w:p>
        </w:tc>
        <w:tc>
          <w:tcPr>
            <w:tcW w:w="1570" w:type="dxa"/>
          </w:tcPr>
          <w:p w:rsidR="00955C01" w:rsidRPr="00C46C03" w:rsidRDefault="00955C01" w:rsidP="009F3484">
            <w:pPr>
              <w:pStyle w:val="Tabele"/>
              <w:widowControl w:val="0"/>
              <w:rPr>
                <w:sz w:val="21"/>
                <w:szCs w:val="21"/>
              </w:rPr>
            </w:pPr>
            <w:r w:rsidRPr="00C46C03">
              <w:rPr>
                <w:sz w:val="21"/>
                <w:szCs w:val="21"/>
              </w:rPr>
              <w:t>Plotë</w:t>
            </w:r>
            <w:r>
              <w:rPr>
                <w:sz w:val="21"/>
                <w:szCs w:val="21"/>
              </w:rPr>
              <w:t xml:space="preserve">sim </w:t>
            </w:r>
            <w:r w:rsidRPr="00C46C03">
              <w:rPr>
                <w:sz w:val="21"/>
                <w:szCs w:val="21"/>
              </w:rPr>
              <w:t>dokumentacioni</w:t>
            </w:r>
          </w:p>
        </w:tc>
      </w:tr>
      <w:tr w:rsidR="00955C01" w:rsidRPr="00C46C03">
        <w:tc>
          <w:tcPr>
            <w:tcW w:w="722" w:type="dxa"/>
          </w:tcPr>
          <w:p w:rsidR="00955C01" w:rsidRPr="00C46C03" w:rsidRDefault="00955C01" w:rsidP="009F3484">
            <w:pPr>
              <w:pStyle w:val="Tabele"/>
              <w:widowControl w:val="0"/>
              <w:rPr>
                <w:sz w:val="21"/>
                <w:szCs w:val="21"/>
              </w:rPr>
            </w:pPr>
            <w:r w:rsidRPr="00C46C03">
              <w:rPr>
                <w:sz w:val="21"/>
                <w:szCs w:val="21"/>
              </w:rPr>
              <w:t>Totali</w:t>
            </w:r>
          </w:p>
        </w:tc>
        <w:tc>
          <w:tcPr>
            <w:tcW w:w="1826" w:type="dxa"/>
          </w:tcPr>
          <w:p w:rsidR="00955C01" w:rsidRPr="00C46C03" w:rsidRDefault="00955C01" w:rsidP="009F3484">
            <w:pPr>
              <w:pStyle w:val="Tabele"/>
              <w:widowControl w:val="0"/>
              <w:rPr>
                <w:sz w:val="21"/>
                <w:szCs w:val="21"/>
              </w:rPr>
            </w:pPr>
          </w:p>
        </w:tc>
        <w:tc>
          <w:tcPr>
            <w:tcW w:w="1316" w:type="dxa"/>
          </w:tcPr>
          <w:p w:rsidR="00955C01" w:rsidRPr="00C46C03" w:rsidRDefault="00955C01" w:rsidP="009F3484">
            <w:pPr>
              <w:pStyle w:val="Tabele"/>
              <w:widowControl w:val="0"/>
              <w:rPr>
                <w:sz w:val="21"/>
                <w:szCs w:val="21"/>
              </w:rPr>
            </w:pPr>
          </w:p>
        </w:tc>
        <w:tc>
          <w:tcPr>
            <w:tcW w:w="1296" w:type="dxa"/>
          </w:tcPr>
          <w:p w:rsidR="00955C01" w:rsidRPr="00C46C03" w:rsidRDefault="00955C01" w:rsidP="009F3484">
            <w:pPr>
              <w:pStyle w:val="Tabele"/>
              <w:widowControl w:val="0"/>
              <w:rPr>
                <w:sz w:val="21"/>
                <w:szCs w:val="21"/>
              </w:rPr>
            </w:pPr>
          </w:p>
        </w:tc>
        <w:tc>
          <w:tcPr>
            <w:tcW w:w="1279" w:type="dxa"/>
          </w:tcPr>
          <w:p w:rsidR="00955C01" w:rsidRPr="00C46C03" w:rsidRDefault="00955C01" w:rsidP="009F3484">
            <w:pPr>
              <w:pStyle w:val="Tabele"/>
              <w:widowControl w:val="0"/>
              <w:rPr>
                <w:sz w:val="21"/>
                <w:szCs w:val="21"/>
              </w:rPr>
            </w:pPr>
          </w:p>
        </w:tc>
        <w:tc>
          <w:tcPr>
            <w:tcW w:w="1278" w:type="dxa"/>
          </w:tcPr>
          <w:p w:rsidR="00955C01" w:rsidRPr="00C46C03" w:rsidRDefault="00955C01" w:rsidP="009F3484">
            <w:pPr>
              <w:pStyle w:val="Tabele"/>
              <w:widowControl w:val="0"/>
              <w:jc w:val="center"/>
              <w:rPr>
                <w:b/>
                <w:sz w:val="21"/>
                <w:szCs w:val="21"/>
              </w:rPr>
            </w:pPr>
            <w:r w:rsidRPr="00C46C03">
              <w:rPr>
                <w:b/>
                <w:sz w:val="21"/>
                <w:szCs w:val="21"/>
              </w:rPr>
              <w:t>510000</w:t>
            </w:r>
          </w:p>
        </w:tc>
        <w:tc>
          <w:tcPr>
            <w:tcW w:w="1570" w:type="dxa"/>
          </w:tcPr>
          <w:p w:rsidR="00955C01" w:rsidRPr="00C46C03" w:rsidRDefault="00955C01" w:rsidP="009F3484">
            <w:pPr>
              <w:pStyle w:val="Tabele"/>
              <w:widowControl w:val="0"/>
              <w:rPr>
                <w:sz w:val="21"/>
                <w:szCs w:val="21"/>
              </w:rPr>
            </w:pPr>
          </w:p>
        </w:tc>
      </w:tr>
    </w:tbl>
    <w:p w:rsidR="00955C01" w:rsidRPr="000A04AC" w:rsidRDefault="00955C01" w:rsidP="00955C01">
      <w:pPr>
        <w:pStyle w:val="Paragrafi"/>
        <w:ind w:firstLine="0"/>
      </w:pPr>
    </w:p>
    <w:sectPr w:rsidR="00955C01" w:rsidRPr="000A04AC" w:rsidSect="009F3484">
      <w:footerReference w:type="even" r:id="rId6"/>
      <w:footerReference w:type="default" r:id="rId7"/>
      <w:footnotePr>
        <w:numRestart w:val="eachPage"/>
      </w:footnotePr>
      <w:pgSz w:w="11907" w:h="16840" w:code="9"/>
      <w:pgMar w:top="1418" w:right="1418" w:bottom="1418" w:left="1418" w:header="0" w:footer="1134" w:gutter="0"/>
      <w:pgNumType w:start="366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484" w:rsidRDefault="009F3484">
      <w:r>
        <w:separator/>
      </w:r>
    </w:p>
  </w:endnote>
  <w:endnote w:type="continuationSeparator" w:id="0">
    <w:p w:rsidR="009F3484" w:rsidRDefault="009F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84" w:rsidRDefault="009F3484" w:rsidP="009F34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F3484" w:rsidRDefault="009F3484" w:rsidP="009F348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84" w:rsidRDefault="009F3484" w:rsidP="009F34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76F71">
      <w:rPr>
        <w:rStyle w:val="PageNumber"/>
        <w:noProof/>
      </w:rPr>
      <w:t>3665</w:t>
    </w:r>
    <w:r>
      <w:rPr>
        <w:rStyle w:val="PageNumber"/>
      </w:rPr>
      <w:fldChar w:fldCharType="end"/>
    </w:r>
  </w:p>
  <w:p w:rsidR="009F3484" w:rsidRDefault="009F3484" w:rsidP="009F348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484" w:rsidRDefault="009F3484">
      <w:r>
        <w:separator/>
      </w:r>
    </w:p>
  </w:footnote>
  <w:footnote w:type="continuationSeparator" w:id="0">
    <w:p w:rsidR="009F3484" w:rsidRDefault="009F3484">
      <w:r>
        <w:continuationSeparator/>
      </w:r>
    </w:p>
  </w:footnote>
  <w:footnote w:id="1">
    <w:p w:rsidR="00955C01" w:rsidRPr="00946951" w:rsidRDefault="00955C01" w:rsidP="00955C01">
      <w:pPr>
        <w:jc w:val="both"/>
        <w:rPr>
          <w:sz w:val="20"/>
          <w:szCs w:val="20"/>
        </w:rPr>
      </w:pPr>
      <w:r w:rsidRPr="00946951">
        <w:rPr>
          <w:rStyle w:val="FootnoteReference"/>
          <w:sz w:val="20"/>
          <w:szCs w:val="20"/>
        </w:rPr>
        <w:footnoteRef/>
      </w:r>
      <w:r w:rsidRPr="00946951">
        <w:rPr>
          <w:sz w:val="20"/>
          <w:szCs w:val="20"/>
        </w:rPr>
        <w:t xml:space="preserve"> Vendimet nr.6, datë 16.2.2007; nr.13, datë 13.4.2007; nr.8, datë 2.6.2006; nr.16, datë 8.6.2006; nr.11, datë 18.5.2005; etj. të Gjykatës Kushtetuese të Republikës së Shqipërisë.</w:t>
      </w:r>
    </w:p>
    <w:p w:rsidR="00955C01" w:rsidRPr="00F536A9" w:rsidRDefault="00955C01" w:rsidP="00955C0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55C01"/>
    <w:rsid w:val="000178C2"/>
    <w:rsid w:val="00955C01"/>
    <w:rsid w:val="009F3484"/>
    <w:rsid w:val="00A76F71"/>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F978DE-E1FE-4619-BA03-DC755779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C01"/>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955C01"/>
    <w:pPr>
      <w:keepNext/>
      <w:widowControl w:val="0"/>
      <w:jc w:val="center"/>
      <w:outlineLvl w:val="0"/>
    </w:pPr>
    <w:rPr>
      <w:rFonts w:ascii="CG Times" w:hAnsi="CG Times"/>
      <w:b/>
      <w:caps/>
      <w:color w:val="000000"/>
      <w:sz w:val="22"/>
      <w:szCs w:val="22"/>
      <w:lang w:val="en-GB"/>
    </w:rPr>
  </w:style>
  <w:style w:type="paragraph" w:customStyle="1" w:styleId="Institucioni">
    <w:name w:val="Institucioni"/>
    <w:next w:val="Normal"/>
    <w:rsid w:val="00955C01"/>
    <w:pPr>
      <w:keepNext/>
      <w:widowControl w:val="0"/>
      <w:jc w:val="center"/>
    </w:pPr>
    <w:rPr>
      <w:rFonts w:ascii="CG Times" w:hAnsi="CG Times"/>
      <w:caps/>
      <w:sz w:val="22"/>
      <w:szCs w:val="22"/>
      <w:lang w:val="en-GB"/>
    </w:rPr>
  </w:style>
  <w:style w:type="paragraph" w:customStyle="1" w:styleId="NumriData">
    <w:name w:val="Numri_Data"/>
    <w:next w:val="Normal"/>
    <w:rsid w:val="00955C01"/>
    <w:pPr>
      <w:keepNext/>
      <w:widowControl w:val="0"/>
      <w:jc w:val="center"/>
      <w:outlineLvl w:val="0"/>
    </w:pPr>
    <w:rPr>
      <w:rFonts w:ascii="CG Times" w:hAnsi="CG Times"/>
      <w:b/>
      <w:sz w:val="22"/>
      <w:lang w:val="en-GB"/>
    </w:rPr>
  </w:style>
  <w:style w:type="paragraph" w:customStyle="1" w:styleId="Paragrafi">
    <w:name w:val="Paragrafi"/>
    <w:rsid w:val="00955C01"/>
    <w:pPr>
      <w:widowControl w:val="0"/>
      <w:ind w:firstLine="720"/>
      <w:jc w:val="both"/>
    </w:pPr>
    <w:rPr>
      <w:rFonts w:ascii="CG Times" w:hAnsi="CG Times"/>
      <w:sz w:val="22"/>
    </w:rPr>
  </w:style>
  <w:style w:type="paragraph" w:customStyle="1" w:styleId="Tabele">
    <w:name w:val="Tabele"/>
    <w:rsid w:val="00955C01"/>
    <w:rPr>
      <w:rFonts w:ascii="CG Times" w:hAnsi="CG Times"/>
      <w:sz w:val="22"/>
      <w:lang w:val="en-GB"/>
    </w:rPr>
  </w:style>
  <w:style w:type="paragraph" w:customStyle="1" w:styleId="Titulli">
    <w:name w:val="Titulli"/>
    <w:next w:val="Normal"/>
    <w:link w:val="TitulliChar"/>
    <w:rsid w:val="00955C01"/>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955C01"/>
    <w:rPr>
      <w:rFonts w:ascii="CG Times" w:hAnsi="CG Times"/>
      <w:b/>
      <w:caps/>
      <w:sz w:val="22"/>
      <w:szCs w:val="22"/>
      <w:lang w:val="en-GB" w:eastAsia="en-US" w:bidi="ar-SA"/>
    </w:rPr>
  </w:style>
  <w:style w:type="paragraph" w:customStyle="1" w:styleId="TitulliTitull">
    <w:name w:val="Titulli_Titull"/>
    <w:rsid w:val="00955C01"/>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55C01"/>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955C01"/>
    <w:rPr>
      <w:rFonts w:ascii="CG Times" w:hAnsi="CG Times"/>
      <w:caps/>
      <w:sz w:val="22"/>
      <w:szCs w:val="22"/>
      <w:lang w:val="en-GB" w:eastAsia="en-US" w:bidi="ar-SA"/>
    </w:rPr>
  </w:style>
  <w:style w:type="paragraph" w:styleId="Footer">
    <w:name w:val="footer"/>
    <w:basedOn w:val="Normal"/>
    <w:rsid w:val="00955C01"/>
    <w:pPr>
      <w:tabs>
        <w:tab w:val="center" w:pos="4320"/>
        <w:tab w:val="right" w:pos="8640"/>
      </w:tabs>
    </w:pPr>
    <w:rPr>
      <w:szCs w:val="20"/>
    </w:rPr>
  </w:style>
  <w:style w:type="character" w:styleId="PageNumber">
    <w:name w:val="page number"/>
    <w:basedOn w:val="DefaultParagraphFont"/>
    <w:rsid w:val="00955C01"/>
  </w:style>
  <w:style w:type="table" w:styleId="TableGrid">
    <w:name w:val="Table Grid"/>
    <w:basedOn w:val="TableNormal"/>
    <w:rsid w:val="00955C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955C01"/>
    <w:pPr>
      <w:widowControl/>
    </w:pPr>
    <w:rPr>
      <w:rFonts w:ascii="Times New Roman" w:hAnsi="Times New Roman"/>
      <w:sz w:val="20"/>
      <w:szCs w:val="20"/>
      <w:lang w:val="en-US"/>
    </w:rPr>
  </w:style>
  <w:style w:type="character" w:styleId="FootnoteReference">
    <w:name w:val="footnote reference"/>
    <w:basedOn w:val="DefaultParagraphFont"/>
    <w:semiHidden/>
    <w:rsid w:val="00955C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