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F7A" w:rsidRPr="00D246D3" w:rsidRDefault="00BE2F7A" w:rsidP="00BE2F7A">
      <w:pPr>
        <w:pStyle w:val="Akti"/>
        <w:keepNext w:val="0"/>
      </w:pPr>
      <w:bookmarkStart w:id="0" w:name="_GoBack"/>
      <w:bookmarkEnd w:id="0"/>
      <w:r w:rsidRPr="00D246D3">
        <w:t>VENDIM</w:t>
      </w:r>
    </w:p>
    <w:p w:rsidR="00BE2F7A" w:rsidRPr="00D246D3" w:rsidRDefault="00BE2F7A" w:rsidP="00BE2F7A">
      <w:pPr>
        <w:pStyle w:val="NumriData"/>
        <w:keepNext w:val="0"/>
      </w:pPr>
      <w:r w:rsidRPr="00D246D3">
        <w:t>Nr.43, datë 19.12.2007</w:t>
      </w:r>
    </w:p>
    <w:p w:rsidR="00BE2F7A" w:rsidRPr="00CD658E" w:rsidRDefault="00BE2F7A" w:rsidP="00BE2F7A">
      <w:pPr>
        <w:pStyle w:val="Paragrafi"/>
        <w:rPr>
          <w:sz w:val="10"/>
        </w:rPr>
      </w:pPr>
    </w:p>
    <w:p w:rsidR="00BE2F7A" w:rsidRPr="00D246D3" w:rsidRDefault="00BE2F7A" w:rsidP="00BE2F7A">
      <w:pPr>
        <w:pStyle w:val="Titulli"/>
        <w:keepNext w:val="0"/>
      </w:pPr>
      <w:r w:rsidRPr="00D246D3">
        <w:t>NË EMËR TË REPUBLIKËS SË SHQIPËRISË</w:t>
      </w:r>
    </w:p>
    <w:p w:rsidR="00BE2F7A" w:rsidRPr="00CD658E" w:rsidRDefault="00BE2F7A" w:rsidP="00BE2F7A">
      <w:pPr>
        <w:pStyle w:val="Paragrafi"/>
        <w:rPr>
          <w:sz w:val="12"/>
          <w:lang w:val="sq-AL"/>
        </w:rPr>
      </w:pPr>
    </w:p>
    <w:p w:rsidR="00BE2F7A" w:rsidRDefault="00BE2F7A" w:rsidP="00BE2F7A">
      <w:pPr>
        <w:pStyle w:val="Paragrafi"/>
        <w:rPr>
          <w:lang w:val="sq-AL"/>
        </w:rPr>
      </w:pPr>
      <w:r w:rsidRPr="001D4AF2">
        <w:rPr>
          <w:lang w:val="sq-AL"/>
        </w:rPr>
        <w:t>Gjykata Kushtetuese e Republikës së Shqipërisë, e përbërë nga:</w:t>
      </w:r>
    </w:p>
    <w:p w:rsidR="00BE2F7A" w:rsidRPr="001D4AF2" w:rsidRDefault="00BE2F7A" w:rsidP="00BE2F7A">
      <w:pPr>
        <w:pStyle w:val="Paragrafi"/>
        <w:rPr>
          <w:lang w:val="sq-AL"/>
        </w:rPr>
      </w:pPr>
      <w:r w:rsidRPr="001D4AF2">
        <w:rPr>
          <w:lang w:val="sq-AL"/>
        </w:rPr>
        <w:t>Vladimir Kristo</w:t>
      </w:r>
      <w:r w:rsidRPr="001D4AF2">
        <w:rPr>
          <w:lang w:val="sq-AL"/>
        </w:rPr>
        <w:tab/>
      </w:r>
      <w:r>
        <w:rPr>
          <w:lang w:val="sq-AL"/>
        </w:rPr>
        <w:tab/>
        <w:t>k</w:t>
      </w:r>
      <w:r w:rsidRPr="001D4AF2">
        <w:rPr>
          <w:lang w:val="sq-AL"/>
        </w:rPr>
        <w:t>ryetar  i Gjykatës Kushtetuese</w:t>
      </w:r>
    </w:p>
    <w:p w:rsidR="00BE2F7A" w:rsidRPr="001D4AF2" w:rsidRDefault="00BE2F7A" w:rsidP="00BE2F7A">
      <w:pPr>
        <w:pStyle w:val="Paragrafi"/>
        <w:rPr>
          <w:lang w:val="sq-AL"/>
        </w:rPr>
      </w:pPr>
      <w:r>
        <w:rPr>
          <w:lang w:val="sq-AL"/>
        </w:rPr>
        <w:t>Gjergj</w:t>
      </w:r>
      <w:r w:rsidRPr="001D4AF2">
        <w:rPr>
          <w:lang w:val="sq-AL"/>
        </w:rPr>
        <w:t xml:space="preserve"> Sauli</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p>
    <w:p w:rsidR="00BE2F7A" w:rsidRPr="001D4AF2" w:rsidRDefault="00BE2F7A" w:rsidP="00BE2F7A">
      <w:pPr>
        <w:pStyle w:val="Paragrafi"/>
        <w:rPr>
          <w:lang w:val="sq-AL"/>
        </w:rPr>
      </w:pPr>
      <w:r w:rsidRPr="001D4AF2">
        <w:rPr>
          <w:lang w:val="sq-AL"/>
        </w:rPr>
        <w:t>Fehmi Abdiu</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r>
    </w:p>
    <w:p w:rsidR="00BE2F7A" w:rsidRPr="001D4AF2" w:rsidRDefault="00BE2F7A" w:rsidP="00BE2F7A">
      <w:pPr>
        <w:pStyle w:val="Paragrafi"/>
        <w:rPr>
          <w:lang w:val="sq-AL"/>
        </w:rPr>
      </w:pPr>
      <w:r w:rsidRPr="001D4AF2">
        <w:rPr>
          <w:lang w:val="sq-AL"/>
        </w:rPr>
        <w:t>Kristofor Peçi</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t xml:space="preserve">   </w:t>
      </w:r>
    </w:p>
    <w:p w:rsidR="00BE2F7A" w:rsidRPr="001D4AF2" w:rsidRDefault="00BE2F7A" w:rsidP="00BE2F7A">
      <w:pPr>
        <w:pStyle w:val="Paragrafi"/>
        <w:rPr>
          <w:lang w:val="sq-AL"/>
        </w:rPr>
      </w:pPr>
      <w:r w:rsidRPr="001D4AF2">
        <w:rPr>
          <w:lang w:val="sq-AL"/>
        </w:rPr>
        <w:t>Kujtim Puto</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r>
    </w:p>
    <w:p w:rsidR="00BE2F7A" w:rsidRPr="001D4AF2" w:rsidRDefault="00BE2F7A" w:rsidP="00BE2F7A">
      <w:pPr>
        <w:pStyle w:val="Paragrafi"/>
        <w:rPr>
          <w:lang w:val="sq-AL"/>
        </w:rPr>
      </w:pPr>
      <w:r w:rsidRPr="001D4AF2">
        <w:rPr>
          <w:lang w:val="sq-AL"/>
        </w:rPr>
        <w:t>Petrit Plloçi</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r>
      <w:r w:rsidRPr="001D4AF2">
        <w:rPr>
          <w:lang w:val="sq-AL"/>
        </w:rPr>
        <w:tab/>
      </w:r>
    </w:p>
    <w:p w:rsidR="00BE2F7A" w:rsidRPr="001D4AF2" w:rsidRDefault="00BE2F7A" w:rsidP="00BE2F7A">
      <w:pPr>
        <w:pStyle w:val="Paragrafi"/>
        <w:rPr>
          <w:lang w:val="sq-AL"/>
        </w:rPr>
      </w:pPr>
      <w:r w:rsidRPr="001D4AF2">
        <w:rPr>
          <w:lang w:val="sq-AL"/>
        </w:rPr>
        <w:t>Sokol Sadushi</w:t>
      </w:r>
      <w:r w:rsidRPr="001D4AF2">
        <w:rPr>
          <w:lang w:val="sq-AL"/>
        </w:rPr>
        <w:tab/>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r>
    </w:p>
    <w:p w:rsidR="00BE2F7A" w:rsidRPr="001D4AF2" w:rsidRDefault="00BE2F7A" w:rsidP="00BE2F7A">
      <w:pPr>
        <w:pStyle w:val="Paragrafi"/>
        <w:rPr>
          <w:lang w:val="sq-AL"/>
        </w:rPr>
      </w:pPr>
      <w:r w:rsidRPr="001D4AF2">
        <w:rPr>
          <w:lang w:val="sq-AL"/>
        </w:rPr>
        <w:t>Sokol Berberi</w:t>
      </w:r>
      <w:r w:rsidRPr="001D4AF2">
        <w:rPr>
          <w:lang w:val="sq-AL"/>
        </w:rPr>
        <w:tab/>
      </w:r>
      <w:r w:rsidRPr="001D4AF2">
        <w:rPr>
          <w:lang w:val="sq-AL"/>
        </w:rPr>
        <w:tab/>
      </w:r>
      <w:r>
        <w:rPr>
          <w:lang w:val="sq-AL"/>
        </w:rPr>
        <w:t>a</w:t>
      </w:r>
      <w:r w:rsidRPr="001D4AF2">
        <w:rPr>
          <w:lang w:val="sq-AL"/>
        </w:rPr>
        <w:t xml:space="preserve">nëtar   i </w:t>
      </w:r>
      <w:r w:rsidRPr="001D4AF2">
        <w:rPr>
          <w:lang w:val="sq-AL"/>
        </w:rPr>
        <w:tab/>
        <w:t>“</w:t>
      </w:r>
      <w:r w:rsidRPr="001D4AF2">
        <w:rPr>
          <w:lang w:val="sq-AL"/>
        </w:rPr>
        <w:tab/>
        <w:t>“</w:t>
      </w:r>
      <w:r w:rsidRPr="001D4AF2">
        <w:rPr>
          <w:lang w:val="sq-AL"/>
        </w:rPr>
        <w:tab/>
        <w:t xml:space="preserve">   </w:t>
      </w:r>
    </w:p>
    <w:p w:rsidR="00BE2F7A" w:rsidRPr="001D4AF2" w:rsidRDefault="00BE2F7A" w:rsidP="00BE2F7A">
      <w:pPr>
        <w:pStyle w:val="Paragrafi"/>
        <w:rPr>
          <w:lang w:val="sq-AL"/>
        </w:rPr>
      </w:pPr>
      <w:r w:rsidRPr="001D4AF2">
        <w:rPr>
          <w:lang w:val="sq-AL"/>
        </w:rPr>
        <w:t>Xhezair Zaganjori</w:t>
      </w:r>
      <w:r w:rsidRPr="001D4AF2">
        <w:rPr>
          <w:lang w:val="sq-AL"/>
        </w:rPr>
        <w:tab/>
      </w:r>
      <w:r>
        <w:rPr>
          <w:lang w:val="sq-AL"/>
        </w:rPr>
        <w:t>a</w:t>
      </w:r>
      <w:r w:rsidRPr="001D4AF2">
        <w:rPr>
          <w:lang w:val="sq-AL"/>
        </w:rPr>
        <w:t>nëtar   i</w:t>
      </w:r>
      <w:r w:rsidRPr="001D4AF2">
        <w:rPr>
          <w:lang w:val="sq-AL"/>
        </w:rPr>
        <w:tab/>
        <w:t>“</w:t>
      </w:r>
      <w:r w:rsidRPr="001D4AF2">
        <w:rPr>
          <w:lang w:val="sq-AL"/>
        </w:rPr>
        <w:tab/>
        <w:t>“</w:t>
      </w:r>
      <w:r w:rsidRPr="001D4AF2">
        <w:rPr>
          <w:lang w:val="sq-AL"/>
        </w:rPr>
        <w:tab/>
        <w:t xml:space="preserve">   </w:t>
      </w:r>
    </w:p>
    <w:p w:rsidR="00BE2F7A" w:rsidRDefault="00BE2F7A" w:rsidP="00BE2F7A">
      <w:pPr>
        <w:pStyle w:val="Paragrafi"/>
        <w:rPr>
          <w:lang w:val="sq-AL"/>
        </w:rPr>
      </w:pPr>
      <w:r w:rsidRPr="001D4AF2">
        <w:rPr>
          <w:lang w:val="sq-AL"/>
        </w:rPr>
        <w:t>me sekretare Brunilda Bara, në datë 13.11.2007, mori në shqyrtim në seancë gjyqësore me dyer të hapura çështjen me nr.52 Akti, që i përket:</w:t>
      </w:r>
    </w:p>
    <w:p w:rsidR="00BE2F7A" w:rsidRPr="001D4AF2" w:rsidRDefault="00BE2F7A" w:rsidP="00BE2F7A">
      <w:pPr>
        <w:pStyle w:val="Paragrafi"/>
        <w:rPr>
          <w:lang w:val="sq-AL"/>
        </w:rPr>
      </w:pPr>
      <w:r w:rsidRPr="001D4AF2">
        <w:rPr>
          <w:lang w:val="sq-AL"/>
        </w:rPr>
        <w:t xml:space="preserve">KËRKUES: BEG HAXHIU </w:t>
      </w:r>
      <w:r w:rsidRPr="001D4AF2">
        <w:rPr>
          <w:lang w:val="sq-AL"/>
        </w:rPr>
        <w:tab/>
      </w:r>
    </w:p>
    <w:p w:rsidR="00BE2F7A" w:rsidRPr="001D4AF2" w:rsidRDefault="00BE2F7A" w:rsidP="00BE2F7A">
      <w:pPr>
        <w:pStyle w:val="Paragrafi"/>
        <w:rPr>
          <w:lang w:val="sq-AL"/>
        </w:rPr>
      </w:pPr>
      <w:r w:rsidRPr="001D4AF2">
        <w:rPr>
          <w:lang w:val="sq-AL"/>
        </w:rPr>
        <w:t xml:space="preserve">SUBJEKTE TË INTERESUARA: </w:t>
      </w:r>
    </w:p>
    <w:p w:rsidR="00BE2F7A" w:rsidRPr="001D4AF2" w:rsidRDefault="00BE2F7A" w:rsidP="00BE2F7A">
      <w:pPr>
        <w:pStyle w:val="Paragrafi"/>
        <w:rPr>
          <w:lang w:val="sq-AL"/>
        </w:rPr>
      </w:pPr>
      <w:r w:rsidRPr="001D4AF2">
        <w:rPr>
          <w:lang w:val="sq-AL"/>
        </w:rPr>
        <w:t>1. PREFEKTI I QARKUT LEZHË, në mungesë.</w:t>
      </w:r>
    </w:p>
    <w:p w:rsidR="00BE2F7A" w:rsidRPr="001D4AF2" w:rsidRDefault="00BE2F7A" w:rsidP="00BE2F7A">
      <w:pPr>
        <w:pStyle w:val="Paragrafi"/>
        <w:rPr>
          <w:lang w:val="sq-AL"/>
        </w:rPr>
      </w:pPr>
      <w:r w:rsidRPr="001D4AF2">
        <w:rPr>
          <w:lang w:val="sq-AL"/>
        </w:rPr>
        <w:t>2. ZYRA E PËRMBARIMIT LEZHË, në mungesë.</w:t>
      </w:r>
    </w:p>
    <w:p w:rsidR="00BE2F7A" w:rsidRPr="001D4AF2" w:rsidRDefault="00BE2F7A" w:rsidP="00BE2F7A">
      <w:pPr>
        <w:pStyle w:val="Paragrafi"/>
        <w:rPr>
          <w:lang w:val="sq-AL"/>
        </w:rPr>
      </w:pPr>
      <w:r w:rsidRPr="001D4AF2">
        <w:rPr>
          <w:lang w:val="sq-AL"/>
        </w:rPr>
        <w:t>OBJEKTI: Konstatimi i cenimit të së drejtës për një proces të rregullt ligjor</w:t>
      </w:r>
      <w:r>
        <w:rPr>
          <w:lang w:val="sq-AL"/>
        </w:rPr>
        <w:t>,</w:t>
      </w:r>
      <w:r w:rsidRPr="001D4AF2">
        <w:rPr>
          <w:lang w:val="sq-AL"/>
        </w:rPr>
        <w:t xml:space="preserve"> si rrjedhojë e mosekzekutimit të vendimit gjyqësor të f</w:t>
      </w:r>
      <w:r>
        <w:rPr>
          <w:lang w:val="sq-AL"/>
        </w:rPr>
        <w:t>ormës së prerë nr. 44, datë 4.</w:t>
      </w:r>
      <w:r w:rsidRPr="001D4AF2">
        <w:rPr>
          <w:lang w:val="sq-AL"/>
        </w:rPr>
        <w:t xml:space="preserve">2.1997 të Gjykatës së Rrethit Kurbin. </w:t>
      </w:r>
    </w:p>
    <w:p w:rsidR="00BE2F7A" w:rsidRPr="001D4AF2" w:rsidRDefault="00BE2F7A" w:rsidP="00BE2F7A">
      <w:pPr>
        <w:pStyle w:val="Paragrafi"/>
        <w:rPr>
          <w:lang w:val="sq-AL"/>
        </w:rPr>
      </w:pPr>
      <w:r w:rsidRPr="001D4AF2">
        <w:rPr>
          <w:lang w:val="sq-AL"/>
        </w:rPr>
        <w:t>Kërkuesi pretendon se është cenuar në të drejtën e tij për një proces të rregullt ligjor, parashikuar nga neni 42 i Kushtetutës, pasi organet kompetente nuk kanë ekzekutuar vendimin e formës së prerë të gjykatës</w:t>
      </w:r>
      <w:r>
        <w:rPr>
          <w:lang w:val="sq-AL"/>
        </w:rPr>
        <w:t>,</w:t>
      </w:r>
      <w:r w:rsidRPr="001D4AF2">
        <w:rPr>
          <w:lang w:val="sq-AL"/>
        </w:rPr>
        <w:t xml:space="preserve"> duke passjellë mosrealizimin e të drejtës së tij të fituar gjyqësisht.</w:t>
      </w:r>
    </w:p>
    <w:p w:rsidR="00BE2F7A" w:rsidRPr="00CD658E" w:rsidRDefault="00BE2F7A" w:rsidP="00BE2F7A">
      <w:pPr>
        <w:pStyle w:val="Paragrafi"/>
        <w:rPr>
          <w:sz w:val="16"/>
          <w:lang w:val="sq-AL"/>
        </w:rPr>
      </w:pPr>
    </w:p>
    <w:p w:rsidR="00BE2F7A" w:rsidRPr="00BE2F7A" w:rsidRDefault="00BE2F7A" w:rsidP="00BE2F7A">
      <w:pPr>
        <w:pStyle w:val="Institucioni"/>
        <w:keepNext w:val="0"/>
        <w:rPr>
          <w:lang w:val="sq-AL"/>
        </w:rPr>
      </w:pPr>
      <w:r w:rsidRPr="00BE2F7A">
        <w:rPr>
          <w:lang w:val="sq-AL"/>
        </w:rPr>
        <w:t>GJYKATA KUSHTETUESE,</w:t>
      </w:r>
    </w:p>
    <w:p w:rsidR="00BE2F7A" w:rsidRPr="00CD658E" w:rsidRDefault="00BE2F7A" w:rsidP="00BE2F7A">
      <w:pPr>
        <w:pStyle w:val="Paragrafi"/>
        <w:rPr>
          <w:sz w:val="8"/>
          <w:lang w:val="sq-AL"/>
        </w:rPr>
      </w:pPr>
    </w:p>
    <w:p w:rsidR="00BE2F7A" w:rsidRDefault="00BE2F7A" w:rsidP="00BE2F7A">
      <w:pPr>
        <w:pStyle w:val="Paragrafi"/>
        <w:rPr>
          <w:lang w:val="sq-AL"/>
        </w:rPr>
      </w:pPr>
      <w:r w:rsidRPr="001D4AF2">
        <w:rPr>
          <w:lang w:val="sq-AL"/>
        </w:rPr>
        <w:t>pasi dëgjoi relatorin e çështjes, Xhezair Zaganjori</w:t>
      </w:r>
      <w:r>
        <w:rPr>
          <w:lang w:val="sq-AL"/>
        </w:rPr>
        <w:t>n</w:t>
      </w:r>
      <w:r w:rsidRPr="001D4AF2">
        <w:rPr>
          <w:lang w:val="sq-AL"/>
        </w:rPr>
        <w:t>, kërkuesin</w:t>
      </w:r>
      <w:r>
        <w:rPr>
          <w:lang w:val="sq-AL"/>
        </w:rPr>
        <w:t>,</w:t>
      </w:r>
      <w:r w:rsidRPr="001D4AF2">
        <w:rPr>
          <w:lang w:val="sq-AL"/>
        </w:rPr>
        <w:t xml:space="preserve"> si dhe shqyrtoi çështjen në tërësi,</w:t>
      </w:r>
    </w:p>
    <w:p w:rsidR="00BE2F7A" w:rsidRPr="00CD658E" w:rsidRDefault="00BE2F7A" w:rsidP="00BE2F7A">
      <w:pPr>
        <w:pStyle w:val="Paragrafi"/>
        <w:rPr>
          <w:sz w:val="12"/>
          <w:lang w:val="sq-AL"/>
        </w:rPr>
      </w:pPr>
    </w:p>
    <w:p w:rsidR="00BE2F7A" w:rsidRPr="00BE2F7A" w:rsidRDefault="00BE2F7A" w:rsidP="00BE2F7A">
      <w:pPr>
        <w:pStyle w:val="VENDOSI"/>
        <w:keepNext w:val="0"/>
        <w:rPr>
          <w:lang w:val="sq-AL"/>
        </w:rPr>
      </w:pPr>
      <w:r w:rsidRPr="00BE2F7A">
        <w:rPr>
          <w:lang w:val="sq-AL"/>
        </w:rPr>
        <w:t>VËREN:</w:t>
      </w:r>
    </w:p>
    <w:p w:rsidR="00BE2F7A" w:rsidRPr="00CD658E" w:rsidRDefault="00BE2F7A" w:rsidP="00BE2F7A">
      <w:pPr>
        <w:pStyle w:val="Paragrafi"/>
        <w:rPr>
          <w:sz w:val="10"/>
          <w:lang w:val="sq-AL"/>
        </w:rPr>
      </w:pPr>
    </w:p>
    <w:p w:rsidR="00BE2F7A" w:rsidRPr="001D4AF2" w:rsidRDefault="00BE2F7A" w:rsidP="00BE2F7A">
      <w:pPr>
        <w:pStyle w:val="Paragrafi"/>
        <w:rPr>
          <w:lang w:val="sq-AL"/>
        </w:rPr>
      </w:pPr>
      <w:r w:rsidRPr="001D4AF2">
        <w:rPr>
          <w:lang w:val="sq-AL"/>
        </w:rPr>
        <w:t>Me vendimin nr.44, datë 4.2.1997 Gjykata e Rrethit Kurbin ka vendosur pranimin e padisë së kërkuesit dhe d</w:t>
      </w:r>
      <w:r>
        <w:rPr>
          <w:lang w:val="sq-AL"/>
        </w:rPr>
        <w:t>etyrimin e të paditurit, këshillit të r</w:t>
      </w:r>
      <w:r w:rsidRPr="001D4AF2">
        <w:rPr>
          <w:lang w:val="sq-AL"/>
        </w:rPr>
        <w:t>rethit Kurbin, që t’i paguajë paditësit pagën në shumën prej 75125 lekë</w:t>
      </w:r>
      <w:r>
        <w:rPr>
          <w:lang w:val="sq-AL"/>
        </w:rPr>
        <w:t>sh</w:t>
      </w:r>
      <w:r w:rsidRPr="001D4AF2">
        <w:rPr>
          <w:lang w:val="sq-AL"/>
        </w:rPr>
        <w:t xml:space="preserve">. </w:t>
      </w:r>
    </w:p>
    <w:p w:rsidR="00BE2F7A" w:rsidRPr="001D4AF2" w:rsidRDefault="00BE2F7A" w:rsidP="00BE2F7A">
      <w:pPr>
        <w:pStyle w:val="Paragrafi"/>
        <w:rPr>
          <w:lang w:val="sq-AL"/>
        </w:rPr>
      </w:pPr>
      <w:r w:rsidRPr="001D4AF2">
        <w:rPr>
          <w:lang w:val="sq-AL"/>
        </w:rPr>
        <w:t>Gjykata e Apelit Tiranë, me vendimin e saj nr.2580, datë 6.11.1997, ka vendosur pranimin e padisë dhe detyrimin e palës së paditur për t’i paguar paditësit pagën për periudhën 31.1.1996 deri më 30.9.1996</w:t>
      </w:r>
      <w:r>
        <w:rPr>
          <w:lang w:val="sq-AL"/>
        </w:rPr>
        <w:t>,</w:t>
      </w:r>
      <w:r w:rsidRPr="001D4AF2">
        <w:rPr>
          <w:lang w:val="sq-AL"/>
        </w:rPr>
        <w:t xml:space="preserve"> në shumën prej 135.975 lekë</w:t>
      </w:r>
      <w:r>
        <w:rPr>
          <w:lang w:val="sq-AL"/>
        </w:rPr>
        <w:t>sh</w:t>
      </w:r>
      <w:r w:rsidRPr="001D4AF2">
        <w:rPr>
          <w:lang w:val="sq-AL"/>
        </w:rPr>
        <w:t xml:space="preserve">. </w:t>
      </w:r>
    </w:p>
    <w:p w:rsidR="00BE2F7A" w:rsidRPr="001D4AF2" w:rsidRDefault="00BE2F7A" w:rsidP="00BE2F7A">
      <w:pPr>
        <w:pStyle w:val="Paragrafi"/>
        <w:rPr>
          <w:lang w:val="sq-AL"/>
        </w:rPr>
      </w:pPr>
      <w:r w:rsidRPr="001D4AF2">
        <w:rPr>
          <w:lang w:val="sq-AL"/>
        </w:rPr>
        <w:t>Kolegji Seleksionues i Gjykatës së Lartë ka vendosur mospranimin e rekursit të paraqitur nga paditësi.</w:t>
      </w:r>
    </w:p>
    <w:p w:rsidR="00BE2F7A" w:rsidRPr="001D4AF2" w:rsidRDefault="00BE2F7A" w:rsidP="00BE2F7A">
      <w:pPr>
        <w:pStyle w:val="Paragrafi"/>
        <w:rPr>
          <w:lang w:val="sq-AL"/>
        </w:rPr>
      </w:pPr>
      <w:r w:rsidRPr="001D4AF2">
        <w:rPr>
          <w:lang w:val="sq-AL"/>
        </w:rPr>
        <w:t>Gjykata e Rrethit Kurbin, me vendimin nr.1, datë 5.1.1998, ka lëshuar urdhrin e ekzekutimit për vendimin objekt shqyrtimi, mbi bazën e të cilit, Këshilli i Rrethit Kurbin detyrohet t’i paguajë pad</w:t>
      </w:r>
      <w:r>
        <w:rPr>
          <w:lang w:val="sq-AL"/>
        </w:rPr>
        <w:t xml:space="preserve">itësit pagën në shumën prej 135 </w:t>
      </w:r>
      <w:r w:rsidRPr="001D4AF2">
        <w:rPr>
          <w:lang w:val="sq-AL"/>
        </w:rPr>
        <w:t>975 lekë</w:t>
      </w:r>
      <w:r>
        <w:rPr>
          <w:lang w:val="sq-AL"/>
        </w:rPr>
        <w:t>sh</w:t>
      </w:r>
      <w:r w:rsidRPr="001D4AF2">
        <w:rPr>
          <w:lang w:val="sq-AL"/>
        </w:rPr>
        <w:t xml:space="preserve">. Mbi bazën e këtij vendimi, zyra e përmbarimit Lezhë ka nisur kryerjen e veprimeve përmbarimore për ekzekutimin e vendimit të Gjykatës së Rrethit Kurbin. </w:t>
      </w:r>
    </w:p>
    <w:p w:rsidR="00BE2F7A" w:rsidRPr="001D4AF2" w:rsidRDefault="00BE2F7A" w:rsidP="00BE2F7A">
      <w:pPr>
        <w:pStyle w:val="Paragrafi"/>
        <w:rPr>
          <w:lang w:val="sq-AL"/>
        </w:rPr>
      </w:pPr>
      <w:r w:rsidRPr="001D4AF2">
        <w:rPr>
          <w:lang w:val="sq-AL"/>
        </w:rPr>
        <w:t xml:space="preserve">Kërkuesi i është drejtuar </w:t>
      </w:r>
      <w:r>
        <w:rPr>
          <w:lang w:val="sq-AL"/>
        </w:rPr>
        <w:t>me kërkesa të njëpasnjëshme si zyrës së p</w:t>
      </w:r>
      <w:r w:rsidRPr="001D4AF2">
        <w:rPr>
          <w:lang w:val="sq-AL"/>
        </w:rPr>
        <w:t>ërmbarimit</w:t>
      </w:r>
      <w:r>
        <w:rPr>
          <w:lang w:val="sq-AL"/>
        </w:rPr>
        <w:t>, ashtu edhe prefekturës së q</w:t>
      </w:r>
      <w:r w:rsidRPr="001D4AF2">
        <w:rPr>
          <w:lang w:val="sq-AL"/>
        </w:rPr>
        <w:t>arkut Lezhë për ekzekutimin e detyrimit ndaj tij, por pa sukses. N</w:t>
      </w:r>
      <w:r>
        <w:rPr>
          <w:lang w:val="sq-AL"/>
        </w:rPr>
        <w:t>ga dosja gjyqësore rezulton se zyra e p</w:t>
      </w:r>
      <w:r w:rsidRPr="001D4AF2">
        <w:rPr>
          <w:lang w:val="sq-AL"/>
        </w:rPr>
        <w:t>ërmbarimit Lezhë, e cila ishte kompetente për zbatimin e këtij urdhri, ka bërë disa përpjekje për ekzekutimin e këtij vendimi, të cilat gjithashtu kanë rezultuar të pasuksesshme. Kjo vërtetohet edhe nga shkresa nr.22/E prot.</w:t>
      </w:r>
      <w:r>
        <w:rPr>
          <w:lang w:val="sq-AL"/>
        </w:rPr>
        <w:t>,</w:t>
      </w:r>
      <w:r w:rsidRPr="001D4AF2">
        <w:rPr>
          <w:lang w:val="sq-AL"/>
        </w:rPr>
        <w:t xml:space="preserve"> datë 4.5.2001 që zyra e përmbarimit Lezhë i ka dërguar degës së thesarit Lezhë, me anë të së cilës ajo urdhëron bër</w:t>
      </w:r>
      <w:r>
        <w:rPr>
          <w:lang w:val="sq-AL"/>
        </w:rPr>
        <w:t>jen e ndalesave në llogarinë e p</w:t>
      </w:r>
      <w:r w:rsidRPr="001D4AF2">
        <w:rPr>
          <w:lang w:val="sq-AL"/>
        </w:rPr>
        <w:t xml:space="preserve">refekturës të shumës që kjo prefekturë i detyrohet kërkuesit si pasojë e vendimit gjyqësor objekt i këtij gjykimi. </w:t>
      </w:r>
    </w:p>
    <w:p w:rsidR="00BE2F7A" w:rsidRPr="001D4AF2" w:rsidRDefault="00BE2F7A" w:rsidP="00BE2F7A">
      <w:pPr>
        <w:pStyle w:val="Paragrafi"/>
        <w:rPr>
          <w:lang w:val="sq-AL"/>
        </w:rPr>
      </w:pPr>
      <w:r w:rsidRPr="001D4AF2">
        <w:rPr>
          <w:lang w:val="sq-AL"/>
        </w:rPr>
        <w:t xml:space="preserve">Nga ana e prefekturës Lezhë, është kthyer përgjigje disa herë (shkresa më e fundit me nr.1427/1 prot., datë 2.11.2007) se është në pritje të akordimit të buxhetit shtesë dhe sapo të çelen fondet e Ministrisë së Brendshme, vendimi do të ekzekutohet menjëherë. </w:t>
      </w:r>
    </w:p>
    <w:p w:rsidR="00BE2F7A" w:rsidRPr="001D4AF2" w:rsidRDefault="00BE2F7A" w:rsidP="00BE2F7A">
      <w:pPr>
        <w:pStyle w:val="Paragrafi"/>
        <w:rPr>
          <w:lang w:val="sq-AL"/>
        </w:rPr>
      </w:pPr>
      <w:r w:rsidRPr="001D4AF2">
        <w:rPr>
          <w:lang w:val="sq-AL"/>
        </w:rPr>
        <w:lastRenderedPageBreak/>
        <w:t>Duke qenë se gjatë gjithë kësaj kohe kërkuesi ka hasur në refuzimin e organeve kompetente për të ekzekutuar vendimin e formës së prerë, ai, pasi i ka shteruar të gjitha mjetet ligjore të vëna në dispozicion për këtë qëllim, i është drejtuar Gjykatës Kushtetuese me kërkesën për të konstatuar cenimin e të drejtës së tij për një proces të rregullt ligjor</w:t>
      </w:r>
      <w:r>
        <w:rPr>
          <w:lang w:val="sq-AL"/>
        </w:rPr>
        <w:t>,</w:t>
      </w:r>
      <w:r w:rsidRPr="001D4AF2">
        <w:rPr>
          <w:lang w:val="sq-AL"/>
        </w:rPr>
        <w:t xml:space="preserve"> si rrjedhojë e veprimeve të organeve të mësipërme. </w:t>
      </w:r>
    </w:p>
    <w:p w:rsidR="00BE2F7A" w:rsidRPr="001D4AF2" w:rsidRDefault="00BE2F7A" w:rsidP="00BE2F7A">
      <w:pPr>
        <w:pStyle w:val="Paragrafi"/>
        <w:rPr>
          <w:lang w:val="sq-AL"/>
        </w:rPr>
      </w:pPr>
      <w:r w:rsidRPr="001D4AF2">
        <w:rPr>
          <w:lang w:val="sq-AL"/>
        </w:rPr>
        <w:t>Gjykata Kushtetuese çmon se kërkuesi legjitimohet në kërkesën e tij drejtuar kësaj Gjykate dhe se pretendimet e tij për cenimin e të drejtës së tij për një proces të rregullt ligjor janë të bazuara.</w:t>
      </w:r>
    </w:p>
    <w:p w:rsidR="00BE2F7A" w:rsidRPr="001D4AF2" w:rsidRDefault="00BE2F7A" w:rsidP="00BE2F7A">
      <w:pPr>
        <w:pStyle w:val="Paragrafi"/>
        <w:rPr>
          <w:lang w:val="sq-AL"/>
        </w:rPr>
      </w:pPr>
      <w:r w:rsidRPr="001D4AF2">
        <w:rPr>
          <w:lang w:val="sq-AL"/>
        </w:rPr>
        <w:t>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mund të thuhet se procesi i vendosjes në vend të një të drejte të shkelur përfshin jo vetëm vendimmarrjen e gjykatave për rastin konkret, por edhe veprimet konkrete të organeve përgjegjëse të ngarkuara me ekzekutimin e vendimeve gjyqësore të formës së prerë.</w:t>
      </w:r>
    </w:p>
    <w:p w:rsidR="00BE2F7A" w:rsidRPr="001D4AF2" w:rsidRDefault="00BE2F7A" w:rsidP="00BE2F7A">
      <w:pPr>
        <w:pStyle w:val="Paragrafi"/>
        <w:rPr>
          <w:lang w:val="sq-AL"/>
        </w:rPr>
      </w:pPr>
      <w:r w:rsidRPr="001D4AF2">
        <w:rPr>
          <w:lang w:val="sq-AL"/>
        </w:rPr>
        <w:t>Gjykata Kushtetuese e sheh të nevojshme t’i referohet dispozitave konkrete procedurale</w:t>
      </w:r>
      <w:r>
        <w:rPr>
          <w:lang w:val="sq-AL"/>
        </w:rPr>
        <w:t>,</w:t>
      </w:r>
      <w:r w:rsidRPr="001D4AF2">
        <w:rPr>
          <w:lang w:val="sq-AL"/>
        </w:rPr>
        <w:t xml:space="preserve"> që parashikojnë ekzekutimin e detyrimeve në të holla ndaj institucioneve buxhetore. Kështu, neni 589 i Kodit të Procedurës Civile parashikon se ekzekutimi i detyrimeve në të holla ndaj institucioneve buxhetore bëhet vetëm në llogarinë e tyre përkatëse bankare ose në kredi që kanë te të tretët. Kur institucioni buxhetor nuk ka gjendje në llogarinë bankare e as kredi te të tretët, i kërkohet organit epror financiar përkatës</w:t>
      </w:r>
      <w:r>
        <w:rPr>
          <w:lang w:val="sq-AL"/>
        </w:rPr>
        <w:t xml:space="preserve"> të caktojë fondin e nevojshëm në</w:t>
      </w:r>
      <w:r w:rsidRPr="001D4AF2">
        <w:rPr>
          <w:lang w:val="sq-AL"/>
        </w:rPr>
        <w:t xml:space="preserve"> kapitullin e buxhetit të subjektit nga do të shlyhet detyrimi</w:t>
      </w:r>
      <w:r>
        <w:rPr>
          <w:lang w:val="sq-AL"/>
        </w:rPr>
        <w:t>,</w:t>
      </w:r>
      <w:r w:rsidRPr="001D4AF2">
        <w:rPr>
          <w:lang w:val="sq-AL"/>
        </w:rPr>
        <w:t xml:space="preserve"> ose fina</w:t>
      </w:r>
      <w:r>
        <w:rPr>
          <w:lang w:val="sq-AL"/>
        </w:rPr>
        <w:t>ncim të veçantë nga Buxheti i S</w:t>
      </w:r>
      <w:r w:rsidRPr="001D4AF2">
        <w:rPr>
          <w:lang w:val="sq-AL"/>
        </w:rPr>
        <w:t>htetit. Ndërsa sipas nenit 591, ekzekutimi i detyrimeve të shtetit kryhet vetëm nëpërmjet bankës në</w:t>
      </w:r>
      <w:r>
        <w:rPr>
          <w:lang w:val="sq-AL"/>
        </w:rPr>
        <w:t xml:space="preserve"> kreditë e tij dhe te të tretët</w:t>
      </w:r>
      <w:r w:rsidRPr="001D4AF2">
        <w:rPr>
          <w:lang w:val="sq-AL"/>
        </w:rPr>
        <w:t xml:space="preserve"> dhe kur nuk ka të tilla në llogari të thesarit. Duke iu referuar këtyre rregullimeve, rezulton se zyra e përmbarimit Lezhë duhet të ekzekutojë, me të njëjtat mjete, detyrimin e debitorit ndaj kreditorit edhe</w:t>
      </w:r>
      <w:r>
        <w:rPr>
          <w:lang w:val="sq-AL"/>
        </w:rPr>
        <w:t>,</w:t>
      </w:r>
      <w:r w:rsidRPr="001D4AF2">
        <w:rPr>
          <w:lang w:val="sq-AL"/>
        </w:rPr>
        <w:t xml:space="preserve"> nëse debitori është një institucion buxhetor, ashtu siç vepron në rastet kur debitorë janë subjekte private.</w:t>
      </w:r>
    </w:p>
    <w:p w:rsidR="00BE2F7A" w:rsidRPr="001D4AF2" w:rsidRDefault="00BE2F7A" w:rsidP="00BE2F7A">
      <w:pPr>
        <w:pStyle w:val="Paragrafi"/>
        <w:rPr>
          <w:lang w:val="sq-AL"/>
        </w:rPr>
      </w:pPr>
      <w:r w:rsidRPr="001D4AF2">
        <w:rPr>
          <w:lang w:val="sq-AL"/>
        </w:rPr>
        <w:t>Gjykata Kushtetuese, në rastin konkret, vlerëson se zyra e përmbarimit ka ndërmarrë disa hapa konkrete procedurale për ekzekutimin e vendimit, por ka hasur në refuzimin e vazhdueshëm të debitorit, këshillit të rrethit e më pas prefekturës Kurbin, me arsyetimin se nuk ka fond buxhetor për këtë qëllim. Argument</w:t>
      </w:r>
      <w:r>
        <w:rPr>
          <w:lang w:val="sq-AL"/>
        </w:rPr>
        <w:t>i i paraqitur nga prefektura e q</w:t>
      </w:r>
      <w:r w:rsidRPr="001D4AF2">
        <w:rPr>
          <w:lang w:val="sq-AL"/>
        </w:rPr>
        <w:t>arkut Lezhë, lidhur me mungesën e fondeve, është i pamjaftueshëm dhe nuk justifikon mospagimin e detyrimit ndaj kërkuesit.</w:t>
      </w:r>
    </w:p>
    <w:p w:rsidR="00BE2F7A" w:rsidRPr="001D4AF2" w:rsidRDefault="00BE2F7A" w:rsidP="00BE2F7A">
      <w:pPr>
        <w:pStyle w:val="Paragrafi"/>
        <w:rPr>
          <w:lang w:val="sq-AL"/>
        </w:rPr>
      </w:pPr>
      <w:r w:rsidRPr="001D4AF2">
        <w:rPr>
          <w:lang w:val="sq-AL"/>
        </w:rPr>
        <w:t>Në praktikën e saj të vazhdueshme, GJEDNJ</w:t>
      </w:r>
      <w:r>
        <w:rPr>
          <w:lang w:val="sq-AL"/>
        </w:rPr>
        <w:t>-ja</w:t>
      </w:r>
      <w:r w:rsidRPr="001D4AF2">
        <w:rPr>
          <w:lang w:val="sq-AL"/>
        </w:rPr>
        <w:t xml:space="preserve"> e ka konsideruar pjesë integrale të nenit 6/1 të KEDNJ</w:t>
      </w:r>
      <w:r>
        <w:rPr>
          <w:lang w:val="sq-AL"/>
        </w:rPr>
        <w:t>-së</w:t>
      </w:r>
      <w:r w:rsidRPr="001D4AF2">
        <w:rPr>
          <w:lang w:val="sq-AL"/>
        </w:rPr>
        <w:t xml:space="preserve"> të drejtën për të kërkuar ekzekutimin e një vendimi gjyqësor të formës së prerë brenda një afati të arsyeshëm</w:t>
      </w:r>
      <w:r w:rsidRPr="00797FC6">
        <w:rPr>
          <w:vertAlign w:val="superscript"/>
          <w:lang w:val="sq-AL"/>
        </w:rPr>
        <w:footnoteReference w:id="1"/>
      </w:r>
      <w:r w:rsidRPr="001D4AF2">
        <w:rPr>
          <w:lang w:val="sq-AL"/>
        </w:rPr>
        <w:t>. GJEDNJ</w:t>
      </w:r>
      <w:r>
        <w:rPr>
          <w:lang w:val="sq-AL"/>
        </w:rPr>
        <w:t>-ja</w:t>
      </w:r>
      <w:r w:rsidRPr="001D4AF2">
        <w:rPr>
          <w:lang w:val="sq-AL"/>
        </w:rPr>
        <w:t xml:space="preserve"> vazhdimisht ka deklaruar se kërkuesit nuk duhet t’i mohohet e drejta për të përfituar nga rezultati i favorshëm i procesit gjyqësor thjesht duke u mbështetur në argumentin e pamundësisë financiare të shtetit</w:t>
      </w:r>
      <w:r w:rsidRPr="001D4AF2">
        <w:rPr>
          <w:vertAlign w:val="superscript"/>
          <w:lang w:val="sq-AL"/>
        </w:rPr>
        <w:footnoteReference w:id="2"/>
      </w:r>
      <w:r w:rsidRPr="001D4AF2">
        <w:rPr>
          <w:lang w:val="sq-AL"/>
        </w:rPr>
        <w:t>. Kjo Gjykatë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Ashtu siç theksohet edhe në dokumente të njohura ndërkombëtare, zbatimi i plotë, efektiv dhe efikas i vendimeve gjyqësore është me rëndësi thelbësore për shtetet me qëllim që të krijojnë, forcojnë dhe zhvillojnë një sistem gjyqësor të respektueshëm nga të gjithë”</w:t>
      </w:r>
      <w:r w:rsidRPr="001D4AF2">
        <w:rPr>
          <w:vertAlign w:val="superscript"/>
          <w:lang w:val="sq-AL"/>
        </w:rPr>
        <w:footnoteReference w:id="3"/>
      </w:r>
      <w:r>
        <w:rPr>
          <w:lang w:val="sq-AL"/>
        </w:rPr>
        <w:t>. Shteti i t</w:t>
      </w:r>
      <w:r w:rsidRPr="001D4AF2">
        <w:rPr>
          <w:lang w:val="sq-AL"/>
        </w:rPr>
        <w:t>ë drejtës, si një nga parimet themelore të një shoqërie demokratike, përmban në vetvete detyrimin e autoriteteve publike për të vënë në zbatim urdhërimet ose vendimet gjyqësore të formës së prerë</w:t>
      </w:r>
      <w:r w:rsidRPr="001D4AF2">
        <w:rPr>
          <w:vertAlign w:val="superscript"/>
          <w:lang w:val="sq-AL"/>
        </w:rPr>
        <w:footnoteReference w:id="4"/>
      </w:r>
      <w:r w:rsidRPr="001D4AF2">
        <w:rPr>
          <w:lang w:val="sq-AL"/>
        </w:rPr>
        <w:t xml:space="preserve">. </w:t>
      </w:r>
    </w:p>
    <w:p w:rsidR="00BE2F7A" w:rsidRPr="001D4AF2" w:rsidRDefault="00BE2F7A" w:rsidP="00BE2F7A">
      <w:pPr>
        <w:pStyle w:val="Paragrafi"/>
        <w:rPr>
          <w:lang w:val="sq-AL"/>
        </w:rPr>
      </w:pPr>
      <w:r w:rsidRPr="001D4AF2">
        <w:rPr>
          <w:lang w:val="sq-AL"/>
        </w:rPr>
        <w:t>Në këtë linjë, Gjykata Kushtetuese ka pranuar tashmë në praktikën e saj se e drejta për të kërkuar ekzekutimin brenda një afati të arsyeshëm të një vendimi të formës së prerë të gj</w:t>
      </w:r>
      <w:r>
        <w:rPr>
          <w:lang w:val="sq-AL"/>
        </w:rPr>
        <w:t xml:space="preserve">ykatës është </w:t>
      </w:r>
      <w:r>
        <w:rPr>
          <w:lang w:val="sq-AL"/>
        </w:rPr>
        <w:lastRenderedPageBreak/>
        <w:t>pjesë përbërëse e t</w:t>
      </w:r>
      <w:r w:rsidRPr="001D4AF2">
        <w:rPr>
          <w:lang w:val="sq-AL"/>
        </w:rPr>
        <w:t>ë drejtës për një proces të rregullt ligjor</w:t>
      </w:r>
      <w:r>
        <w:rPr>
          <w:lang w:val="sq-AL"/>
        </w:rPr>
        <w:t>,</w:t>
      </w:r>
      <w:r w:rsidRPr="001D4AF2">
        <w:rPr>
          <w:lang w:val="sq-AL"/>
        </w:rPr>
        <w:t xml:space="preserve"> në kuptim të nenit 42 të Kushtetutës dhe nenit 6/1 të KEDNJ</w:t>
      </w:r>
      <w:r>
        <w:rPr>
          <w:lang w:val="sq-AL"/>
        </w:rPr>
        <w:t>-së</w:t>
      </w:r>
      <w:r w:rsidRPr="001D4AF2">
        <w:rPr>
          <w:vertAlign w:val="superscript"/>
          <w:lang w:val="sq-AL"/>
        </w:rPr>
        <w:footnoteReference w:id="5"/>
      </w:r>
      <w:r w:rsidRPr="001D4AF2">
        <w:rPr>
          <w:lang w:val="sq-AL"/>
        </w:rPr>
        <w:t xml:space="preserve">. </w:t>
      </w:r>
    </w:p>
    <w:p w:rsidR="00BE2F7A" w:rsidRPr="001D4AF2" w:rsidRDefault="00BE2F7A" w:rsidP="00BE2F7A">
      <w:pPr>
        <w:pStyle w:val="Paragrafi"/>
        <w:rPr>
          <w:lang w:val="sq-AL"/>
        </w:rPr>
      </w:pPr>
      <w:r w:rsidRPr="001D4AF2">
        <w:rPr>
          <w:lang w:val="sq-AL"/>
        </w:rPr>
        <w:t>Gjykata Kushtetuese konsideron me vend t’i referohet e</w:t>
      </w:r>
      <w:r>
        <w:rPr>
          <w:lang w:val="sq-AL"/>
        </w:rPr>
        <w:t>dhe një prej çështjeve me palë Shtetin S</w:t>
      </w:r>
      <w:r w:rsidRPr="001D4AF2">
        <w:rPr>
          <w:lang w:val="sq-AL"/>
        </w:rPr>
        <w:t>hqiptar të shqyrtuar nga GJEDNJ</w:t>
      </w:r>
      <w:r>
        <w:rPr>
          <w:lang w:val="sq-AL"/>
        </w:rPr>
        <w:t>-ja</w:t>
      </w:r>
      <w:r w:rsidRPr="001D4AF2">
        <w:rPr>
          <w:lang w:val="sq-AL"/>
        </w:rPr>
        <w:t>, konkretisht rastin e Qufaj kundër Shqipërisë</w:t>
      </w:r>
      <w:r w:rsidRPr="001D4AF2">
        <w:rPr>
          <w:vertAlign w:val="superscript"/>
          <w:lang w:val="sq-AL"/>
        </w:rPr>
        <w:footnoteReference w:id="6"/>
      </w:r>
      <w:r w:rsidRPr="001D4AF2">
        <w:rPr>
          <w:lang w:val="sq-AL"/>
        </w:rPr>
        <w:t>. GJEDNJ</w:t>
      </w:r>
      <w:r>
        <w:rPr>
          <w:lang w:val="sq-AL"/>
        </w:rPr>
        <w:t>-ja</w:t>
      </w:r>
      <w:r w:rsidRPr="001D4AF2">
        <w:rPr>
          <w:lang w:val="sq-AL"/>
        </w:rPr>
        <w:t xml:space="preserve"> ka theksuar se autoritetet shtetërore nuk mund të përmendin mungesën e fondeve si justifikim për të mosrespektuar një detyrim financiar që vjen nga një vendim gjyqësor. Pa dyshim që një vonesë në ekzekutimin e një vendimi mund të justifikohet në rrethana të veçanta</w:t>
      </w:r>
      <w:r w:rsidRPr="001D4AF2">
        <w:rPr>
          <w:vertAlign w:val="superscript"/>
          <w:lang w:val="sq-AL"/>
        </w:rPr>
        <w:footnoteReference w:id="7"/>
      </w:r>
      <w:r w:rsidRPr="001D4AF2">
        <w:rPr>
          <w:lang w:val="sq-AL"/>
        </w:rPr>
        <w:t>, por vonesa nuk mund të jetë deri në atë shkallë sa të dëmtojë thelbin e së drejtës për t’iu drejtuar një gjykate, e garantuar nga neni 6/1</w:t>
      </w:r>
      <w:r w:rsidRPr="00AF1122">
        <w:rPr>
          <w:vertAlign w:val="superscript"/>
          <w:lang w:val="sq-AL"/>
        </w:rPr>
        <w:footnoteReference w:id="8"/>
      </w:r>
      <w:r w:rsidRPr="001D4AF2">
        <w:rPr>
          <w:lang w:val="sq-AL"/>
        </w:rPr>
        <w:t xml:space="preserve">. </w:t>
      </w:r>
    </w:p>
    <w:p w:rsidR="00BE2F7A" w:rsidRPr="001D4AF2" w:rsidRDefault="00BE2F7A" w:rsidP="00BE2F7A">
      <w:pPr>
        <w:pStyle w:val="Paragrafi"/>
        <w:rPr>
          <w:lang w:val="sq-AL"/>
        </w:rPr>
      </w:pPr>
      <w:r w:rsidRPr="001D4AF2">
        <w:rPr>
          <w:lang w:val="sq-AL"/>
        </w:rPr>
        <w:t>Gjykata Kushtetuese</w:t>
      </w:r>
      <w:r>
        <w:rPr>
          <w:lang w:val="sq-AL"/>
        </w:rPr>
        <w:t>,</w:t>
      </w:r>
      <w:r w:rsidRPr="001D4AF2">
        <w:rPr>
          <w:lang w:val="sq-AL"/>
        </w:rPr>
        <w:t xml:space="preserve"> nuk gjen arsye të bazuara që kanë çuar në mosrealizimin e të drejtës së kërkuesit</w:t>
      </w:r>
      <w:r>
        <w:rPr>
          <w:lang w:val="sq-AL"/>
        </w:rPr>
        <w:t>,</w:t>
      </w:r>
      <w:r w:rsidRPr="001D4AF2">
        <w:rPr>
          <w:lang w:val="sq-AL"/>
        </w:rPr>
        <w:t xml:space="preserve"> për një proces të rregullt ligjor nëpërmjet refuzimit</w:t>
      </w:r>
      <w:r>
        <w:rPr>
          <w:lang w:val="sq-AL"/>
        </w:rPr>
        <w:t>,</w:t>
      </w:r>
      <w:r w:rsidRPr="001D4AF2">
        <w:rPr>
          <w:lang w:val="sq-AL"/>
        </w:rPr>
        <w:t xml:space="preserve"> për moszbatim të vendimit të formës së prerë nga organet kompetente. Ajo vlerëson se në çështjen në shqyrtim pala debitore i kishte të gjitha mundësitë që gjatë gjithë periudhës nga dita e marrjes formë të prerë të vendimit e në vazhdim t’i paguante kërkuesit shumën që i detyrohej sipas këtij vendimi. Jo vetëm kaq, por gjatë shqyrtimit të çështjes Gjykata Kushtetuese nuk arriti të shohë asnjë veprim konkret të palës debitore që do të tregonte sado pak vullnet për të ekzekutuar detyrimin që rrjedh nga një vendim gjyqësor i formës së prerë. </w:t>
      </w:r>
    </w:p>
    <w:p w:rsidR="00BE2F7A" w:rsidRPr="001D4AF2" w:rsidRDefault="00BE2F7A" w:rsidP="00BE2F7A">
      <w:pPr>
        <w:pStyle w:val="Paragrafi"/>
        <w:rPr>
          <w:lang w:val="sq-AL"/>
        </w:rPr>
      </w:pPr>
      <w:r w:rsidRPr="001D4AF2">
        <w:rPr>
          <w:lang w:val="sq-AL"/>
        </w:rPr>
        <w:t>Gjithashtu, edhe sa i përket organit të ngarkuar nga ligji me ekzekutimin e vendimeve gjyqësore të formës së prerë, pra, përmbarimi</w:t>
      </w:r>
      <w:r>
        <w:rPr>
          <w:lang w:val="sq-AL"/>
        </w:rPr>
        <w:t>t</w:t>
      </w:r>
      <w:r w:rsidRPr="001D4AF2">
        <w:rPr>
          <w:lang w:val="sq-AL"/>
        </w:rPr>
        <w:t>, Gjykata Kushtetuese çmon se ai duhet të kishte zbatuar me korrektësi dispozitat procedurale konkrete për këtë qëllim, pavarësisht faktit se debitor në këtë rast është një institucion buxhetor. Përballë detyrimit për zbatim të vendimeve gjyqësore të formës së prerë, të gjitha</w:t>
      </w:r>
      <w:r>
        <w:rPr>
          <w:lang w:val="sq-AL"/>
        </w:rPr>
        <w:t xml:space="preserve"> subjektet, qofshin këto private</w:t>
      </w:r>
      <w:r w:rsidRPr="001D4AF2">
        <w:rPr>
          <w:lang w:val="sq-AL"/>
        </w:rPr>
        <w:t xml:space="preserve"> apo </w:t>
      </w:r>
      <w:r>
        <w:rPr>
          <w:lang w:val="sq-AL"/>
        </w:rPr>
        <w:t>publike</w:t>
      </w:r>
      <w:r w:rsidRPr="001D4AF2">
        <w:rPr>
          <w:lang w:val="sq-AL"/>
        </w:rPr>
        <w:t>, duhet të përgjigjen njëlloj.</w:t>
      </w:r>
    </w:p>
    <w:p w:rsidR="00BE2F7A" w:rsidRPr="001D4AF2" w:rsidRDefault="00BE2F7A" w:rsidP="00BE2F7A">
      <w:pPr>
        <w:pStyle w:val="Paragrafi"/>
        <w:rPr>
          <w:lang w:val="sq-AL"/>
        </w:rPr>
      </w:pPr>
      <w:r w:rsidRPr="001D4AF2">
        <w:rPr>
          <w:lang w:val="sq-AL"/>
        </w:rPr>
        <w:t>Si përfundim, në vijim të arsyetimit të mësipërm, në çështjen objekt shqyrtimi, Gjykata Kushtetuese konstaton se mosekzekutimi i vendimit të formës së prerë të Gjykatës së Rret</w:t>
      </w:r>
      <w:r>
        <w:rPr>
          <w:lang w:val="sq-AL"/>
        </w:rPr>
        <w:t>hit Kurbin ka sjellë cenimin e t</w:t>
      </w:r>
      <w:r w:rsidRPr="001D4AF2">
        <w:rPr>
          <w:lang w:val="sq-AL"/>
        </w:rPr>
        <w:t>ë drejtës për një proces të rregullt ligjor të kërkuesit të parashikuar nga neni 42 i Kushtetutës së Republikës së Shqipërisë dhe nenit 6/1 të KEDNJ</w:t>
      </w:r>
      <w:r>
        <w:rPr>
          <w:lang w:val="sq-AL"/>
        </w:rPr>
        <w:t>-së</w:t>
      </w:r>
      <w:r w:rsidRPr="001D4AF2">
        <w:rPr>
          <w:lang w:val="sq-AL"/>
        </w:rPr>
        <w:t>.</w:t>
      </w:r>
    </w:p>
    <w:p w:rsidR="00BE2F7A" w:rsidRPr="008F6EDA" w:rsidRDefault="00BE2F7A" w:rsidP="00BE2F7A">
      <w:pPr>
        <w:pStyle w:val="Paragrafi"/>
        <w:rPr>
          <w:sz w:val="20"/>
          <w:lang w:val="sq-AL"/>
        </w:rPr>
      </w:pPr>
    </w:p>
    <w:p w:rsidR="00BE2F7A" w:rsidRPr="00BE2F7A" w:rsidRDefault="00BE2F7A" w:rsidP="00BE2F7A">
      <w:pPr>
        <w:pStyle w:val="VENDOSI"/>
        <w:keepNext w:val="0"/>
        <w:rPr>
          <w:lang w:val="sq-AL"/>
        </w:rPr>
      </w:pPr>
      <w:r w:rsidRPr="00BE2F7A">
        <w:rPr>
          <w:lang w:val="sq-AL"/>
        </w:rPr>
        <w:t>PËR KËTO ARSYE,</w:t>
      </w:r>
    </w:p>
    <w:p w:rsidR="00BE2F7A" w:rsidRPr="008F6EDA" w:rsidRDefault="00BE2F7A" w:rsidP="00BE2F7A">
      <w:pPr>
        <w:pStyle w:val="Paragrafi"/>
        <w:rPr>
          <w:sz w:val="20"/>
          <w:lang w:val="sq-AL"/>
        </w:rPr>
      </w:pPr>
    </w:p>
    <w:p w:rsidR="00BE2F7A" w:rsidRPr="001D4AF2" w:rsidRDefault="00BE2F7A" w:rsidP="00BE2F7A">
      <w:pPr>
        <w:pStyle w:val="Paragrafi"/>
        <w:rPr>
          <w:lang w:val="sq-AL"/>
        </w:rPr>
      </w:pPr>
      <w:r w:rsidRPr="001D4AF2">
        <w:rPr>
          <w:lang w:val="sq-AL"/>
        </w:rPr>
        <w:t>Gjykata Kushtetuese e Republikës së Shqipërisë, në mbështetje të neneve 49/2 e 51 të ligjit nr.8577, datë 10.2.2000 “Për organizimin dhe funksionimin e Gjykatës Kushtetuese të Republikës së Shqipërisë”, njëzëri,</w:t>
      </w:r>
    </w:p>
    <w:p w:rsidR="00BE2F7A" w:rsidRPr="008F6EDA" w:rsidRDefault="00BE2F7A" w:rsidP="00BE2F7A">
      <w:pPr>
        <w:pStyle w:val="Paragrafi"/>
        <w:rPr>
          <w:sz w:val="10"/>
          <w:lang w:val="sq-AL"/>
        </w:rPr>
      </w:pPr>
    </w:p>
    <w:p w:rsidR="00BE2F7A" w:rsidRPr="00BE2F7A" w:rsidRDefault="00BE2F7A" w:rsidP="00BE2F7A">
      <w:pPr>
        <w:pStyle w:val="VENDOSI"/>
        <w:keepNext w:val="0"/>
        <w:rPr>
          <w:lang w:val="sq-AL"/>
        </w:rPr>
      </w:pPr>
      <w:r w:rsidRPr="00BE2F7A">
        <w:rPr>
          <w:lang w:val="sq-AL"/>
        </w:rPr>
        <w:t>VENDOSI:</w:t>
      </w:r>
    </w:p>
    <w:p w:rsidR="00BE2F7A" w:rsidRPr="008F6EDA" w:rsidRDefault="00BE2F7A" w:rsidP="00BE2F7A">
      <w:pPr>
        <w:pStyle w:val="Paragrafi"/>
        <w:rPr>
          <w:sz w:val="20"/>
          <w:lang w:val="sq-AL"/>
        </w:rPr>
      </w:pPr>
    </w:p>
    <w:p w:rsidR="00BE2F7A" w:rsidRPr="001D4AF2" w:rsidRDefault="00BE2F7A" w:rsidP="00BE2F7A">
      <w:pPr>
        <w:pStyle w:val="Paragrafi"/>
        <w:rPr>
          <w:lang w:val="sq-AL"/>
        </w:rPr>
      </w:pPr>
      <w:r w:rsidRPr="001D4AF2">
        <w:rPr>
          <w:lang w:val="sq-AL"/>
        </w:rPr>
        <w:t>- Konstatimin e cenimit të së drejtës kushtetuese për një proces të rregullt ligjor</w:t>
      </w:r>
      <w:r>
        <w:rPr>
          <w:lang w:val="sq-AL"/>
        </w:rPr>
        <w:t>,</w:t>
      </w:r>
      <w:r w:rsidRPr="001D4AF2">
        <w:rPr>
          <w:lang w:val="sq-AL"/>
        </w:rPr>
        <w:t xml:space="preserve"> si rrjedhojë e moszbatimit të vendimit gjyqësor </w:t>
      </w:r>
      <w:r>
        <w:rPr>
          <w:lang w:val="sq-AL"/>
        </w:rPr>
        <w:t>të formës së prerë nr.44, datë 4.</w:t>
      </w:r>
      <w:r w:rsidRPr="001D4AF2">
        <w:rPr>
          <w:lang w:val="sq-AL"/>
        </w:rPr>
        <w:t>2.1997 të Gjykatës së Rrethit Kurbin.</w:t>
      </w:r>
    </w:p>
    <w:p w:rsidR="00BE2F7A" w:rsidRPr="001D4AF2" w:rsidRDefault="00BE2F7A" w:rsidP="00BE2F7A">
      <w:pPr>
        <w:pStyle w:val="Paragrafi"/>
        <w:rPr>
          <w:lang w:val="sq-AL"/>
        </w:rPr>
      </w:pPr>
      <w:r w:rsidRPr="001D4AF2">
        <w:rPr>
          <w:lang w:val="sq-AL"/>
        </w:rPr>
        <w:t>- Ky vendim është përfundimtar, i formës së prerë dhe hyn në fuqi ditën e botimit në Fletoren Zyrtare.</w:t>
      </w:r>
    </w:p>
    <w:p w:rsidR="00BE2F7A" w:rsidRPr="001D4AF2" w:rsidRDefault="00BE2F7A" w:rsidP="00BE2F7A">
      <w:pPr>
        <w:pStyle w:val="Paragrafi"/>
        <w:rPr>
          <w:lang w:val="sq-AL"/>
        </w:rPr>
      </w:pPr>
      <w:r w:rsidRPr="001D4AF2">
        <w:rPr>
          <w:lang w:val="sq-AL"/>
        </w:rPr>
        <w:t>Kryetar: V.Kristo.</w:t>
      </w:r>
    </w:p>
    <w:p w:rsidR="00BE2F7A" w:rsidRPr="001D4AF2" w:rsidRDefault="00BE2F7A" w:rsidP="00BE2F7A">
      <w:pPr>
        <w:pStyle w:val="Paragrafi"/>
        <w:rPr>
          <w:lang w:val="sq-AL"/>
        </w:rPr>
      </w:pPr>
      <w:r w:rsidRPr="001D4AF2">
        <w:rPr>
          <w:lang w:val="sq-AL"/>
        </w:rPr>
        <w:t>Anëtarë: K.Peçi, Gj.Sauli, P.Plloçi, Xh.Zaganjori, K.Puto, F.Abdiu, S.Sadushi, S.Berberi.</w:t>
      </w:r>
    </w:p>
    <w:p w:rsidR="00BE2F7A" w:rsidRPr="001D4AF2" w:rsidRDefault="00BE2F7A" w:rsidP="00BE2F7A">
      <w:pPr>
        <w:pStyle w:val="Paragrafi"/>
        <w:rPr>
          <w:lang w:val="sq-AL"/>
        </w:rPr>
      </w:pPr>
    </w:p>
    <w:sectPr w:rsidR="00BE2F7A" w:rsidRPr="001D4AF2" w:rsidSect="00B34C3B">
      <w:footerReference w:type="even" r:id="rId6"/>
      <w:footerReference w:type="default" r:id="rId7"/>
      <w:footnotePr>
        <w:numRestart w:val="eachPage"/>
      </w:footnotePr>
      <w:pgSz w:w="11906" w:h="16838" w:code="9"/>
      <w:pgMar w:top="1418" w:right="1418" w:bottom="1418" w:left="1418" w:header="0" w:footer="1134" w:gutter="0"/>
      <w:pgNumType w:start="530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C3B" w:rsidRDefault="00B34C3B">
      <w:r>
        <w:separator/>
      </w:r>
    </w:p>
  </w:endnote>
  <w:endnote w:type="continuationSeparator" w:id="0">
    <w:p w:rsidR="00B34C3B" w:rsidRDefault="00B3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C3B" w:rsidRDefault="00B34C3B" w:rsidP="00B34C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34C3B" w:rsidRDefault="00B34C3B" w:rsidP="00B34C3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C3B" w:rsidRDefault="00B34C3B" w:rsidP="00B34C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15C6B">
      <w:rPr>
        <w:rStyle w:val="PageNumber"/>
        <w:noProof/>
      </w:rPr>
      <w:t>5307</w:t>
    </w:r>
    <w:r>
      <w:rPr>
        <w:rStyle w:val="PageNumber"/>
      </w:rPr>
      <w:fldChar w:fldCharType="end"/>
    </w:r>
  </w:p>
  <w:p w:rsidR="00B34C3B" w:rsidRDefault="00B34C3B" w:rsidP="00B34C3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C3B" w:rsidRDefault="00B34C3B">
      <w:r>
        <w:separator/>
      </w:r>
    </w:p>
  </w:footnote>
  <w:footnote w:type="continuationSeparator" w:id="0">
    <w:p w:rsidR="00B34C3B" w:rsidRDefault="00B34C3B">
      <w:r>
        <w:continuationSeparator/>
      </w:r>
    </w:p>
  </w:footnote>
  <w:footnote w:id="1">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Shih vendimin e GJEDNJ </w:t>
      </w:r>
      <w:r w:rsidRPr="006F4A90">
        <w:rPr>
          <w:rFonts w:ascii="Times New Roman" w:hAnsi="Times New Roman"/>
          <w:i/>
          <w:sz w:val="20"/>
          <w:szCs w:val="20"/>
        </w:rPr>
        <w:t>Hornsby kundër Greqisë</w:t>
      </w:r>
      <w:r w:rsidRPr="006F4A90">
        <w:rPr>
          <w:rFonts w:ascii="Times New Roman" w:hAnsi="Times New Roman"/>
          <w:sz w:val="20"/>
          <w:szCs w:val="20"/>
        </w:rPr>
        <w:t xml:space="preserve">, 19 mars 1997; </w:t>
      </w:r>
      <w:r w:rsidRPr="006F4A90">
        <w:rPr>
          <w:rFonts w:ascii="Times New Roman" w:hAnsi="Times New Roman"/>
          <w:i/>
          <w:sz w:val="20"/>
          <w:szCs w:val="20"/>
        </w:rPr>
        <w:t>Georgiadis kundër Greqisë</w:t>
      </w:r>
      <w:r w:rsidRPr="006F4A90">
        <w:rPr>
          <w:rFonts w:ascii="Times New Roman" w:hAnsi="Times New Roman"/>
          <w:sz w:val="20"/>
          <w:szCs w:val="20"/>
        </w:rPr>
        <w:t>, 28 mars 2000.</w:t>
      </w:r>
    </w:p>
  </w:footnote>
  <w:footnote w:id="2">
    <w:p w:rsidR="00BE2F7A" w:rsidRPr="006F4A90" w:rsidRDefault="00BE2F7A" w:rsidP="00BE2F7A">
      <w:pPr>
        <w:jc w:val="both"/>
        <w:rPr>
          <w:rFonts w:ascii="Times New Roman" w:hAnsi="Times New Roman"/>
          <w:i/>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Shih çështjen </w:t>
      </w:r>
      <w:r>
        <w:rPr>
          <w:rFonts w:ascii="Times New Roman" w:hAnsi="Times New Roman"/>
          <w:i/>
          <w:sz w:val="20"/>
          <w:szCs w:val="20"/>
        </w:rPr>
        <w:t xml:space="preserve">Burdov kundër Rusisë </w:t>
      </w:r>
      <w:r w:rsidRPr="006F4A90">
        <w:rPr>
          <w:rFonts w:ascii="Times New Roman" w:hAnsi="Times New Roman"/>
          <w:i/>
          <w:sz w:val="20"/>
          <w:szCs w:val="20"/>
        </w:rPr>
        <w:t xml:space="preserve"> </w:t>
      </w:r>
      <w:r>
        <w:rPr>
          <w:rFonts w:ascii="Times New Roman" w:hAnsi="Times New Roman"/>
          <w:sz w:val="20"/>
          <w:szCs w:val="20"/>
        </w:rPr>
        <w:t>n</w:t>
      </w:r>
      <w:r w:rsidRPr="006F4A90">
        <w:rPr>
          <w:rFonts w:ascii="Times New Roman" w:hAnsi="Times New Roman"/>
          <w:sz w:val="20"/>
          <w:szCs w:val="20"/>
        </w:rPr>
        <w:t xml:space="preserve">r.59498, 2002 dhe </w:t>
      </w:r>
      <w:r>
        <w:rPr>
          <w:rFonts w:ascii="Times New Roman" w:hAnsi="Times New Roman"/>
          <w:i/>
          <w:sz w:val="20"/>
          <w:szCs w:val="20"/>
        </w:rPr>
        <w:t xml:space="preserve">Shilyayev kundër Rusisë </w:t>
      </w:r>
      <w:r w:rsidRPr="006F4A90">
        <w:rPr>
          <w:rFonts w:ascii="Times New Roman" w:hAnsi="Times New Roman"/>
          <w:i/>
          <w:sz w:val="20"/>
          <w:szCs w:val="20"/>
        </w:rPr>
        <w:t xml:space="preserve"> </w:t>
      </w:r>
      <w:r>
        <w:rPr>
          <w:rFonts w:ascii="Times New Roman" w:hAnsi="Times New Roman"/>
          <w:sz w:val="20"/>
          <w:szCs w:val="20"/>
        </w:rPr>
        <w:t>n</w:t>
      </w:r>
      <w:r w:rsidRPr="006F4A90">
        <w:rPr>
          <w:rFonts w:ascii="Times New Roman" w:hAnsi="Times New Roman"/>
          <w:sz w:val="20"/>
          <w:szCs w:val="20"/>
        </w:rPr>
        <w:t>r.9647/02, 6 tetor 2005</w:t>
      </w:r>
      <w:r w:rsidRPr="006F4A90">
        <w:rPr>
          <w:rFonts w:ascii="Times New Roman" w:hAnsi="Times New Roman"/>
          <w:i/>
          <w:sz w:val="20"/>
          <w:szCs w:val="20"/>
        </w:rPr>
        <w:t>.</w:t>
      </w:r>
    </w:p>
  </w:footnote>
  <w:footnote w:id="3">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Rezoluta e Konf</w:t>
      </w:r>
      <w:r>
        <w:rPr>
          <w:rFonts w:ascii="Times New Roman" w:hAnsi="Times New Roman"/>
          <w:sz w:val="20"/>
          <w:szCs w:val="20"/>
        </w:rPr>
        <w:t>erencave të Ministrave Europianë</w:t>
      </w:r>
      <w:r w:rsidRPr="006F4A90">
        <w:rPr>
          <w:rFonts w:ascii="Times New Roman" w:hAnsi="Times New Roman"/>
          <w:sz w:val="20"/>
          <w:szCs w:val="20"/>
        </w:rPr>
        <w:t xml:space="preserve"> të Drejtësisë, 4-5 tetor 2001. Marrë nga rekomandimi i Komitetit Europian për Bashkëpunim Ligjor</w:t>
      </w:r>
      <w:r>
        <w:rPr>
          <w:rFonts w:ascii="Times New Roman" w:hAnsi="Times New Roman"/>
          <w:sz w:val="20"/>
          <w:szCs w:val="20"/>
        </w:rPr>
        <w:t>,</w:t>
      </w:r>
      <w:r w:rsidRPr="006F4A90">
        <w:rPr>
          <w:rFonts w:ascii="Times New Roman" w:hAnsi="Times New Roman"/>
          <w:sz w:val="20"/>
          <w:szCs w:val="20"/>
        </w:rPr>
        <w:t xml:space="preserve"> lidhur me zbatimin e vendimeve gjyqësore të vendeve anëtare të Këshillit të Europës.</w:t>
      </w:r>
    </w:p>
  </w:footnote>
  <w:footnote w:id="4">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Vendim i GJEDNJ </w:t>
      </w:r>
      <w:r w:rsidRPr="006F4A90">
        <w:rPr>
          <w:rStyle w:val="ju-005fpara--char"/>
          <w:rFonts w:ascii="Times New Roman" w:hAnsi="Times New Roman"/>
          <w:i/>
          <w:iCs/>
          <w:sz w:val="20"/>
          <w:szCs w:val="20"/>
        </w:rPr>
        <w:t>Hasan dhe Chaus kundër Bulgaria</w:t>
      </w:r>
      <w:r>
        <w:rPr>
          <w:rFonts w:ascii="Times New Roman" w:hAnsi="Times New Roman"/>
          <w:sz w:val="20"/>
          <w:szCs w:val="20"/>
        </w:rPr>
        <w:t>, nr.30985/96, faqe</w:t>
      </w:r>
      <w:r w:rsidRPr="006F4A90">
        <w:rPr>
          <w:rFonts w:ascii="Times New Roman" w:hAnsi="Times New Roman"/>
          <w:sz w:val="20"/>
          <w:szCs w:val="20"/>
        </w:rPr>
        <w:t xml:space="preserve"> 87.</w:t>
      </w:r>
    </w:p>
  </w:footnote>
  <w:footnote w:id="5">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Vendimi i Gjykatës Kushtetuese </w:t>
      </w:r>
      <w:r>
        <w:rPr>
          <w:rFonts w:ascii="Times New Roman" w:hAnsi="Times New Roman"/>
          <w:sz w:val="20"/>
          <w:szCs w:val="20"/>
        </w:rPr>
        <w:t>të Republikës së Shqipërisë nr.</w:t>
      </w:r>
      <w:r w:rsidRPr="006F4A90">
        <w:rPr>
          <w:rFonts w:ascii="Times New Roman" w:hAnsi="Times New Roman"/>
          <w:sz w:val="20"/>
          <w:szCs w:val="20"/>
        </w:rPr>
        <w:t>6, d</w:t>
      </w:r>
      <w:r>
        <w:rPr>
          <w:rFonts w:ascii="Times New Roman" w:hAnsi="Times New Roman"/>
          <w:sz w:val="20"/>
          <w:szCs w:val="20"/>
        </w:rPr>
        <w:t>a</w:t>
      </w:r>
      <w:r w:rsidRPr="006F4A90">
        <w:rPr>
          <w:rFonts w:ascii="Times New Roman" w:hAnsi="Times New Roman"/>
          <w:sz w:val="20"/>
          <w:szCs w:val="20"/>
        </w:rPr>
        <w:t>t</w:t>
      </w:r>
      <w:r>
        <w:rPr>
          <w:rFonts w:ascii="Times New Roman" w:hAnsi="Times New Roman"/>
          <w:sz w:val="20"/>
          <w:szCs w:val="20"/>
        </w:rPr>
        <w:t>ë 31.3.2006, p</w:t>
      </w:r>
      <w:r w:rsidRPr="006F4A90">
        <w:rPr>
          <w:rFonts w:ascii="Times New Roman" w:hAnsi="Times New Roman"/>
          <w:sz w:val="20"/>
          <w:szCs w:val="20"/>
        </w:rPr>
        <w:t>ërmbledhje e vendimeve të Gjykatës Kushtetuese të Republikës së Shqipërisë (2007), f</w:t>
      </w:r>
      <w:r>
        <w:rPr>
          <w:rFonts w:ascii="Times New Roman" w:hAnsi="Times New Roman"/>
          <w:sz w:val="20"/>
          <w:szCs w:val="20"/>
        </w:rPr>
        <w:t>a</w:t>
      </w:r>
      <w:r w:rsidRPr="006F4A90">
        <w:rPr>
          <w:rFonts w:ascii="Times New Roman" w:hAnsi="Times New Roman"/>
          <w:sz w:val="20"/>
          <w:szCs w:val="20"/>
        </w:rPr>
        <w:t>q</w:t>
      </w:r>
      <w:r>
        <w:rPr>
          <w:rFonts w:ascii="Times New Roman" w:hAnsi="Times New Roman"/>
          <w:sz w:val="20"/>
          <w:szCs w:val="20"/>
        </w:rPr>
        <w:t>e</w:t>
      </w:r>
      <w:r w:rsidRPr="006F4A90">
        <w:rPr>
          <w:rFonts w:ascii="Times New Roman" w:hAnsi="Times New Roman"/>
          <w:sz w:val="20"/>
          <w:szCs w:val="20"/>
        </w:rPr>
        <w:t xml:space="preserve"> 65.</w:t>
      </w:r>
    </w:p>
  </w:footnote>
  <w:footnote w:id="6">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Çështja </w:t>
      </w:r>
      <w:r w:rsidRPr="006F4A90">
        <w:rPr>
          <w:rFonts w:ascii="Times New Roman" w:hAnsi="Times New Roman"/>
          <w:i/>
          <w:sz w:val="20"/>
          <w:szCs w:val="20"/>
        </w:rPr>
        <w:t>Qufaj kundër Shqipërisë</w:t>
      </w:r>
      <w:r w:rsidRPr="006F4A90">
        <w:rPr>
          <w:rFonts w:ascii="Times New Roman" w:hAnsi="Times New Roman"/>
          <w:sz w:val="20"/>
          <w:szCs w:val="20"/>
        </w:rPr>
        <w:t>, 54268/00, 18 nëntor 2004.</w:t>
      </w:r>
    </w:p>
  </w:footnote>
  <w:footnote w:id="7">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Pr>
          <w:rFonts w:ascii="Times New Roman" w:hAnsi="Times New Roman"/>
          <w:sz w:val="20"/>
          <w:szCs w:val="20"/>
        </w:rPr>
        <w:t xml:space="preserve"> Vendim i GJ</w:t>
      </w:r>
      <w:r w:rsidRPr="006F4A90">
        <w:rPr>
          <w:rFonts w:ascii="Times New Roman" w:hAnsi="Times New Roman"/>
          <w:sz w:val="20"/>
          <w:szCs w:val="20"/>
        </w:rPr>
        <w:t xml:space="preserve">EDNJ </w:t>
      </w:r>
      <w:r w:rsidRPr="006F4A90">
        <w:rPr>
          <w:rStyle w:val="ju-005fpara--char"/>
          <w:rFonts w:ascii="Times New Roman" w:hAnsi="Times New Roman"/>
          <w:i/>
          <w:iCs/>
          <w:sz w:val="20"/>
          <w:szCs w:val="20"/>
        </w:rPr>
        <w:t>Romashov kundër Ukrainës</w:t>
      </w:r>
      <w:r>
        <w:rPr>
          <w:rFonts w:ascii="Times New Roman" w:hAnsi="Times New Roman"/>
          <w:sz w:val="20"/>
          <w:szCs w:val="20"/>
        </w:rPr>
        <w:t xml:space="preserve"> nr.67534, 27 k</w:t>
      </w:r>
      <w:r w:rsidRPr="006F4A90">
        <w:rPr>
          <w:rFonts w:ascii="Times New Roman" w:hAnsi="Times New Roman"/>
          <w:sz w:val="20"/>
          <w:szCs w:val="20"/>
        </w:rPr>
        <w:t xml:space="preserve">orrik 2004; </w:t>
      </w:r>
      <w:r w:rsidRPr="006F4A90">
        <w:rPr>
          <w:rFonts w:ascii="Times New Roman" w:hAnsi="Times New Roman"/>
          <w:i/>
          <w:sz w:val="20"/>
          <w:szCs w:val="20"/>
        </w:rPr>
        <w:t>Shvedov kundër Rusisë</w:t>
      </w:r>
      <w:r>
        <w:rPr>
          <w:rFonts w:ascii="Times New Roman" w:hAnsi="Times New Roman"/>
          <w:sz w:val="20"/>
          <w:szCs w:val="20"/>
        </w:rPr>
        <w:t xml:space="preserve"> nr.69306/01, 20 t</w:t>
      </w:r>
      <w:r w:rsidRPr="006F4A90">
        <w:rPr>
          <w:rFonts w:ascii="Times New Roman" w:hAnsi="Times New Roman"/>
          <w:sz w:val="20"/>
          <w:szCs w:val="20"/>
        </w:rPr>
        <w:t>etor 2005.</w:t>
      </w:r>
    </w:p>
  </w:footnote>
  <w:footnote w:id="8">
    <w:p w:rsidR="00BE2F7A" w:rsidRPr="006F4A90" w:rsidRDefault="00BE2F7A" w:rsidP="00BE2F7A">
      <w:pPr>
        <w:jc w:val="both"/>
        <w:rPr>
          <w:rFonts w:ascii="Times New Roman" w:hAnsi="Times New Roman"/>
          <w:sz w:val="20"/>
          <w:szCs w:val="20"/>
        </w:rPr>
      </w:pPr>
      <w:r w:rsidRPr="006F4A90">
        <w:rPr>
          <w:rStyle w:val="FootnoteReference"/>
          <w:rFonts w:ascii="Times New Roman" w:hAnsi="Times New Roman"/>
          <w:sz w:val="20"/>
          <w:szCs w:val="20"/>
        </w:rPr>
        <w:footnoteRef/>
      </w:r>
      <w:r w:rsidRPr="006F4A90">
        <w:rPr>
          <w:rFonts w:ascii="Times New Roman" w:hAnsi="Times New Roman"/>
          <w:sz w:val="20"/>
          <w:szCs w:val="20"/>
        </w:rPr>
        <w:t xml:space="preserve"> Shih edhe vendimin e kësaj Gjykate, </w:t>
      </w:r>
      <w:r w:rsidRPr="006F4A90">
        <w:rPr>
          <w:rFonts w:ascii="Times New Roman" w:hAnsi="Times New Roman"/>
          <w:i/>
          <w:sz w:val="20"/>
          <w:szCs w:val="20"/>
        </w:rPr>
        <w:t>Hornsby kundër Greqisë</w:t>
      </w:r>
      <w:r>
        <w:rPr>
          <w:rFonts w:ascii="Times New Roman" w:hAnsi="Times New Roman"/>
          <w:sz w:val="20"/>
          <w:szCs w:val="20"/>
        </w:rPr>
        <w:t>, 19 mars</w:t>
      </w:r>
      <w:r w:rsidRPr="006F4A90">
        <w:rPr>
          <w:rFonts w:ascii="Times New Roman" w:hAnsi="Times New Roman"/>
          <w:sz w:val="20"/>
          <w:szCs w:val="20"/>
        </w:rPr>
        <w:t xml:space="preserve"> 1997.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2F7A"/>
    <w:rsid w:val="000178C2"/>
    <w:rsid w:val="00115C6B"/>
    <w:rsid w:val="00B34C3B"/>
    <w:rsid w:val="00BE2F7A"/>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6BD838-5DC5-4478-84F6-2449651B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F7A"/>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E2F7A"/>
    <w:pPr>
      <w:keepNext/>
      <w:widowControl w:val="0"/>
      <w:jc w:val="center"/>
      <w:outlineLvl w:val="0"/>
    </w:pPr>
    <w:rPr>
      <w:rFonts w:ascii="CG Times" w:hAnsi="CG Times"/>
      <w:b/>
      <w:caps/>
      <w:color w:val="000000"/>
      <w:sz w:val="22"/>
      <w:szCs w:val="22"/>
      <w:lang w:val="en-GB"/>
    </w:rPr>
  </w:style>
  <w:style w:type="paragraph" w:customStyle="1" w:styleId="Institucioni">
    <w:name w:val="Institucioni"/>
    <w:next w:val="Normal"/>
    <w:rsid w:val="00BE2F7A"/>
    <w:pPr>
      <w:keepNext/>
      <w:widowControl w:val="0"/>
      <w:jc w:val="center"/>
    </w:pPr>
    <w:rPr>
      <w:rFonts w:ascii="CG Times" w:hAnsi="CG Times"/>
      <w:caps/>
      <w:sz w:val="22"/>
      <w:szCs w:val="22"/>
      <w:lang w:val="en-GB"/>
    </w:rPr>
  </w:style>
  <w:style w:type="paragraph" w:customStyle="1" w:styleId="NumriData">
    <w:name w:val="Numri_Data"/>
    <w:next w:val="Normal"/>
    <w:rsid w:val="00BE2F7A"/>
    <w:pPr>
      <w:keepNext/>
      <w:widowControl w:val="0"/>
      <w:jc w:val="center"/>
      <w:outlineLvl w:val="0"/>
    </w:pPr>
    <w:rPr>
      <w:rFonts w:ascii="CG Times" w:hAnsi="CG Times"/>
      <w:b/>
      <w:sz w:val="22"/>
      <w:lang w:val="en-GB"/>
    </w:rPr>
  </w:style>
  <w:style w:type="paragraph" w:customStyle="1" w:styleId="Paragrafi">
    <w:name w:val="Paragrafi"/>
    <w:rsid w:val="00BE2F7A"/>
    <w:pPr>
      <w:widowControl w:val="0"/>
      <w:ind w:firstLine="720"/>
      <w:jc w:val="both"/>
    </w:pPr>
    <w:rPr>
      <w:rFonts w:ascii="CG Times" w:hAnsi="CG Times"/>
      <w:sz w:val="22"/>
    </w:rPr>
  </w:style>
  <w:style w:type="paragraph" w:customStyle="1" w:styleId="Titulli">
    <w:name w:val="Titulli"/>
    <w:next w:val="Normal"/>
    <w:link w:val="TitulliChar"/>
    <w:rsid w:val="00BE2F7A"/>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BE2F7A"/>
    <w:rPr>
      <w:rFonts w:ascii="CG Times" w:hAnsi="CG Times"/>
      <w:b/>
      <w:caps/>
      <w:sz w:val="22"/>
      <w:szCs w:val="22"/>
      <w:lang w:val="en-GB" w:eastAsia="en-US" w:bidi="ar-SA"/>
    </w:rPr>
  </w:style>
  <w:style w:type="paragraph" w:customStyle="1" w:styleId="VENDOSI">
    <w:name w:val="VENDOSI"/>
    <w:next w:val="Normal"/>
    <w:link w:val="VENDOSIChar"/>
    <w:rsid w:val="00BE2F7A"/>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BE2F7A"/>
    <w:rPr>
      <w:rFonts w:ascii="CG Times" w:hAnsi="CG Times"/>
      <w:caps/>
      <w:sz w:val="22"/>
      <w:szCs w:val="22"/>
      <w:lang w:val="en-GB" w:eastAsia="en-US" w:bidi="ar-SA"/>
    </w:rPr>
  </w:style>
  <w:style w:type="paragraph" w:styleId="Footer">
    <w:name w:val="footer"/>
    <w:basedOn w:val="Normal"/>
    <w:rsid w:val="00BE2F7A"/>
    <w:pPr>
      <w:tabs>
        <w:tab w:val="center" w:pos="4320"/>
        <w:tab w:val="right" w:pos="8640"/>
      </w:tabs>
    </w:pPr>
    <w:rPr>
      <w:szCs w:val="20"/>
    </w:rPr>
  </w:style>
  <w:style w:type="character" w:styleId="PageNumber">
    <w:name w:val="page number"/>
    <w:basedOn w:val="DefaultParagraphFont"/>
    <w:rsid w:val="00BE2F7A"/>
  </w:style>
  <w:style w:type="character" w:styleId="FootnoteReference">
    <w:name w:val="footnote reference"/>
    <w:basedOn w:val="DefaultParagraphFont"/>
    <w:semiHidden/>
    <w:rsid w:val="00BE2F7A"/>
    <w:rPr>
      <w:vertAlign w:val="superscript"/>
    </w:rPr>
  </w:style>
  <w:style w:type="character" w:customStyle="1" w:styleId="ju-005fpara--char">
    <w:name w:val="ju-005fpara--char"/>
    <w:basedOn w:val="DefaultParagraphFont"/>
    <w:rsid w:val="00BE2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1604</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