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4320" w:rsidRPr="00246387" w:rsidRDefault="006F4320" w:rsidP="006F4320">
      <w:pPr>
        <w:pStyle w:val="Akti"/>
        <w:keepNext w:val="0"/>
      </w:pPr>
      <w:bookmarkStart w:id="0" w:name="_GoBack"/>
      <w:bookmarkEnd w:id="0"/>
      <w:r w:rsidRPr="00246387">
        <w:t>VENDIM</w:t>
      </w:r>
    </w:p>
    <w:p w:rsidR="006F4320" w:rsidRDefault="006F4320" w:rsidP="006F4320">
      <w:pPr>
        <w:pStyle w:val="NumriData"/>
        <w:keepNext w:val="0"/>
      </w:pPr>
      <w:r w:rsidRPr="00246387">
        <w:t xml:space="preserve">Nr.44, datë </w:t>
      </w:r>
      <w:r>
        <w:t>26.12.2007</w:t>
      </w:r>
    </w:p>
    <w:p w:rsidR="006F4320" w:rsidRPr="00246387" w:rsidRDefault="006F4320" w:rsidP="006F4320">
      <w:pPr>
        <w:pStyle w:val="Paragrafi"/>
        <w:rPr>
          <w:lang w:val="sq-AL"/>
        </w:rPr>
      </w:pPr>
    </w:p>
    <w:p w:rsidR="006F4320" w:rsidRPr="00246387" w:rsidRDefault="006F4320" w:rsidP="006F4320">
      <w:pPr>
        <w:pStyle w:val="Titulli"/>
        <w:keepNext w:val="0"/>
      </w:pPr>
      <w:r w:rsidRPr="00246387">
        <w:t>NË EMËR TË REPUBLIKËS SË SHQIPËRISË</w:t>
      </w:r>
    </w:p>
    <w:p w:rsidR="006F4320" w:rsidRPr="00246387" w:rsidRDefault="006F4320" w:rsidP="006F4320">
      <w:pPr>
        <w:pStyle w:val="Paragrafi"/>
        <w:rPr>
          <w:lang w:val="sq-AL"/>
        </w:rPr>
      </w:pPr>
    </w:p>
    <w:p w:rsidR="006F4320" w:rsidRDefault="006F4320" w:rsidP="006F4320">
      <w:pPr>
        <w:pStyle w:val="Paragrafi"/>
        <w:rPr>
          <w:lang w:val="sq-AL"/>
        </w:rPr>
      </w:pPr>
      <w:r w:rsidRPr="00246387">
        <w:rPr>
          <w:lang w:val="sq-AL"/>
        </w:rPr>
        <w:t>Gjykata Kushtetuese e Republikës së Shqipërisë, e përbërë nga:</w:t>
      </w:r>
    </w:p>
    <w:p w:rsidR="006F4320" w:rsidRPr="00246387" w:rsidRDefault="006F4320" w:rsidP="006F4320">
      <w:pPr>
        <w:pStyle w:val="Paragrafi"/>
        <w:rPr>
          <w:lang w:val="sq-AL"/>
        </w:rPr>
      </w:pPr>
    </w:p>
    <w:p w:rsidR="006F4320" w:rsidRPr="00246387" w:rsidRDefault="006F4320" w:rsidP="006F4320">
      <w:pPr>
        <w:pStyle w:val="Paragrafi"/>
        <w:rPr>
          <w:lang w:val="sq-AL"/>
        </w:rPr>
      </w:pPr>
      <w:r w:rsidRPr="00246387">
        <w:rPr>
          <w:lang w:val="sq-AL"/>
        </w:rPr>
        <w:t>Vladimir Kristo</w:t>
      </w:r>
      <w:r w:rsidRPr="00246387">
        <w:rPr>
          <w:lang w:val="sq-AL"/>
        </w:rPr>
        <w:tab/>
      </w:r>
      <w:r w:rsidRPr="00246387">
        <w:rPr>
          <w:lang w:val="sq-AL"/>
        </w:rPr>
        <w:tab/>
      </w:r>
      <w:r>
        <w:rPr>
          <w:lang w:val="sq-AL"/>
        </w:rPr>
        <w:t>kryetar  i Gjykatës Kushtetuese</w:t>
      </w:r>
    </w:p>
    <w:p w:rsidR="006F4320" w:rsidRPr="00246387" w:rsidRDefault="006F4320" w:rsidP="006F4320">
      <w:pPr>
        <w:pStyle w:val="Paragrafi"/>
        <w:rPr>
          <w:lang w:val="sq-AL"/>
        </w:rPr>
      </w:pPr>
      <w:r w:rsidRPr="00246387">
        <w:rPr>
          <w:lang w:val="sq-AL"/>
        </w:rPr>
        <w:t>Gjergj Sauli</w:t>
      </w:r>
      <w:r w:rsidRPr="00246387">
        <w:rPr>
          <w:lang w:val="sq-AL"/>
        </w:rPr>
        <w:tab/>
      </w:r>
      <w:r w:rsidRPr="00246387">
        <w:rPr>
          <w:lang w:val="sq-AL"/>
        </w:rPr>
        <w:tab/>
      </w:r>
      <w:r>
        <w:rPr>
          <w:lang w:val="sq-AL"/>
        </w:rPr>
        <w:t>a</w:t>
      </w:r>
      <w:r w:rsidRPr="00246387">
        <w:rPr>
          <w:lang w:val="sq-AL"/>
        </w:rPr>
        <w:t>nëtar   i</w:t>
      </w:r>
      <w:r w:rsidRPr="00246387">
        <w:rPr>
          <w:lang w:val="sq-AL"/>
        </w:rPr>
        <w:tab/>
        <w:t>“</w:t>
      </w:r>
      <w:r w:rsidRPr="00246387">
        <w:rPr>
          <w:lang w:val="sq-AL"/>
        </w:rPr>
        <w:tab/>
        <w:t xml:space="preserve">“ </w:t>
      </w:r>
      <w:r w:rsidRPr="00246387">
        <w:rPr>
          <w:lang w:val="sq-AL"/>
        </w:rPr>
        <w:tab/>
      </w:r>
    </w:p>
    <w:p w:rsidR="006F4320" w:rsidRPr="00246387" w:rsidRDefault="006F4320" w:rsidP="006F4320">
      <w:pPr>
        <w:pStyle w:val="Paragrafi"/>
        <w:rPr>
          <w:lang w:val="sq-AL"/>
        </w:rPr>
      </w:pPr>
      <w:r w:rsidRPr="00246387">
        <w:rPr>
          <w:lang w:val="sq-AL"/>
        </w:rPr>
        <w:t>Fehmi Abdiu</w:t>
      </w:r>
      <w:r w:rsidRPr="00246387">
        <w:rPr>
          <w:lang w:val="sq-AL"/>
        </w:rPr>
        <w:tab/>
      </w:r>
      <w:r w:rsidRPr="00246387">
        <w:rPr>
          <w:lang w:val="sq-AL"/>
        </w:rPr>
        <w:tab/>
      </w:r>
      <w:r>
        <w:rPr>
          <w:lang w:val="sq-AL"/>
        </w:rPr>
        <w:t>a</w:t>
      </w:r>
      <w:r w:rsidRPr="00246387">
        <w:rPr>
          <w:lang w:val="sq-AL"/>
        </w:rPr>
        <w:t xml:space="preserve">nëtar   i </w:t>
      </w:r>
      <w:r w:rsidRPr="00246387">
        <w:rPr>
          <w:lang w:val="sq-AL"/>
        </w:rPr>
        <w:tab/>
        <w:t>“</w:t>
      </w:r>
      <w:r w:rsidRPr="00246387">
        <w:rPr>
          <w:lang w:val="sq-AL"/>
        </w:rPr>
        <w:tab/>
        <w:t>“</w:t>
      </w:r>
      <w:r w:rsidRPr="00246387">
        <w:rPr>
          <w:lang w:val="sq-AL"/>
        </w:rPr>
        <w:tab/>
      </w:r>
    </w:p>
    <w:p w:rsidR="006F4320" w:rsidRPr="00246387" w:rsidRDefault="006F4320" w:rsidP="006F4320">
      <w:pPr>
        <w:pStyle w:val="Paragrafi"/>
        <w:rPr>
          <w:lang w:val="sq-AL"/>
        </w:rPr>
      </w:pPr>
      <w:r w:rsidRPr="00246387">
        <w:rPr>
          <w:lang w:val="sq-AL"/>
        </w:rPr>
        <w:t>Kristofor Peçi</w:t>
      </w:r>
      <w:r w:rsidRPr="00246387">
        <w:rPr>
          <w:lang w:val="sq-AL"/>
        </w:rPr>
        <w:tab/>
      </w:r>
      <w:r w:rsidRPr="00246387">
        <w:rPr>
          <w:lang w:val="sq-AL"/>
        </w:rPr>
        <w:tab/>
      </w:r>
      <w:r>
        <w:rPr>
          <w:lang w:val="sq-AL"/>
        </w:rPr>
        <w:t>a</w:t>
      </w:r>
      <w:r w:rsidRPr="00246387">
        <w:rPr>
          <w:lang w:val="sq-AL"/>
        </w:rPr>
        <w:t>nëtar   i</w:t>
      </w:r>
      <w:r w:rsidRPr="00246387">
        <w:rPr>
          <w:lang w:val="sq-AL"/>
        </w:rPr>
        <w:tab/>
        <w:t>“</w:t>
      </w:r>
      <w:r w:rsidRPr="00246387">
        <w:rPr>
          <w:lang w:val="sq-AL"/>
        </w:rPr>
        <w:tab/>
        <w:t>“</w:t>
      </w:r>
    </w:p>
    <w:p w:rsidR="006F4320" w:rsidRPr="00246387" w:rsidRDefault="006F4320" w:rsidP="006F4320">
      <w:pPr>
        <w:pStyle w:val="Paragrafi"/>
        <w:rPr>
          <w:lang w:val="sq-AL"/>
        </w:rPr>
      </w:pPr>
      <w:r w:rsidRPr="00246387">
        <w:rPr>
          <w:lang w:val="sq-AL"/>
        </w:rPr>
        <w:t>Xhezair Zaganjori</w:t>
      </w:r>
      <w:r w:rsidRPr="00246387">
        <w:rPr>
          <w:lang w:val="sq-AL"/>
        </w:rPr>
        <w:tab/>
      </w:r>
      <w:r>
        <w:rPr>
          <w:lang w:val="sq-AL"/>
        </w:rPr>
        <w:t>a</w:t>
      </w:r>
      <w:r w:rsidRPr="00246387">
        <w:rPr>
          <w:lang w:val="sq-AL"/>
        </w:rPr>
        <w:t xml:space="preserve">nëtar   i </w:t>
      </w:r>
      <w:r w:rsidRPr="00246387">
        <w:rPr>
          <w:lang w:val="sq-AL"/>
        </w:rPr>
        <w:tab/>
        <w:t>“</w:t>
      </w:r>
      <w:r w:rsidRPr="00246387">
        <w:rPr>
          <w:lang w:val="sq-AL"/>
        </w:rPr>
        <w:tab/>
        <w:t>“</w:t>
      </w:r>
      <w:r w:rsidRPr="00246387">
        <w:rPr>
          <w:lang w:val="sq-AL"/>
        </w:rPr>
        <w:tab/>
      </w:r>
    </w:p>
    <w:p w:rsidR="006F4320" w:rsidRPr="00246387" w:rsidRDefault="006F4320" w:rsidP="006F4320">
      <w:pPr>
        <w:pStyle w:val="Paragrafi"/>
        <w:rPr>
          <w:lang w:val="sq-AL"/>
        </w:rPr>
      </w:pPr>
      <w:r w:rsidRPr="00246387">
        <w:rPr>
          <w:lang w:val="sq-AL"/>
        </w:rPr>
        <w:t>Petrit Plloçi</w:t>
      </w:r>
      <w:r w:rsidRPr="00246387">
        <w:rPr>
          <w:lang w:val="sq-AL"/>
        </w:rPr>
        <w:tab/>
      </w:r>
      <w:r w:rsidRPr="00246387">
        <w:rPr>
          <w:lang w:val="sq-AL"/>
        </w:rPr>
        <w:tab/>
      </w:r>
      <w:r>
        <w:rPr>
          <w:lang w:val="sq-AL"/>
        </w:rPr>
        <w:t>a</w:t>
      </w:r>
      <w:r w:rsidRPr="00246387">
        <w:rPr>
          <w:lang w:val="sq-AL"/>
        </w:rPr>
        <w:t>nëtar   i</w:t>
      </w:r>
      <w:r w:rsidRPr="00246387">
        <w:rPr>
          <w:lang w:val="sq-AL"/>
        </w:rPr>
        <w:tab/>
        <w:t>“</w:t>
      </w:r>
      <w:r w:rsidRPr="00246387">
        <w:rPr>
          <w:lang w:val="sq-AL"/>
        </w:rPr>
        <w:tab/>
        <w:t>“</w:t>
      </w:r>
      <w:r w:rsidRPr="00246387">
        <w:rPr>
          <w:lang w:val="sq-AL"/>
        </w:rPr>
        <w:tab/>
      </w:r>
    </w:p>
    <w:p w:rsidR="006F4320" w:rsidRPr="00246387" w:rsidRDefault="006F4320" w:rsidP="006F4320">
      <w:pPr>
        <w:pStyle w:val="Paragrafi"/>
        <w:rPr>
          <w:lang w:val="sq-AL"/>
        </w:rPr>
      </w:pPr>
      <w:r w:rsidRPr="00246387">
        <w:rPr>
          <w:lang w:val="sq-AL"/>
        </w:rPr>
        <w:t>Sokol Sadushi</w:t>
      </w:r>
      <w:r w:rsidRPr="00246387">
        <w:rPr>
          <w:lang w:val="sq-AL"/>
        </w:rPr>
        <w:tab/>
      </w:r>
      <w:r w:rsidRPr="00246387">
        <w:rPr>
          <w:lang w:val="sq-AL"/>
        </w:rPr>
        <w:tab/>
      </w:r>
      <w:r>
        <w:rPr>
          <w:lang w:val="sq-AL"/>
        </w:rPr>
        <w:t>a</w:t>
      </w:r>
      <w:r w:rsidRPr="00246387">
        <w:rPr>
          <w:lang w:val="sq-AL"/>
        </w:rPr>
        <w:t>nëtar   i</w:t>
      </w:r>
      <w:r w:rsidRPr="00246387">
        <w:rPr>
          <w:lang w:val="sq-AL"/>
        </w:rPr>
        <w:tab/>
        <w:t>“</w:t>
      </w:r>
      <w:r w:rsidRPr="00246387">
        <w:rPr>
          <w:lang w:val="sq-AL"/>
        </w:rPr>
        <w:tab/>
        <w:t>“</w:t>
      </w:r>
      <w:r w:rsidRPr="00246387">
        <w:rPr>
          <w:lang w:val="sq-AL"/>
        </w:rPr>
        <w:tab/>
      </w:r>
    </w:p>
    <w:p w:rsidR="006F4320" w:rsidRPr="00246387" w:rsidRDefault="006F4320" w:rsidP="006F4320">
      <w:pPr>
        <w:pStyle w:val="Paragrafi"/>
        <w:rPr>
          <w:lang w:val="sq-AL"/>
        </w:rPr>
      </w:pPr>
      <w:r w:rsidRPr="00246387">
        <w:rPr>
          <w:lang w:val="sq-AL"/>
        </w:rPr>
        <w:t>Sokol Berberi</w:t>
      </w:r>
      <w:r w:rsidRPr="00246387">
        <w:rPr>
          <w:lang w:val="sq-AL"/>
        </w:rPr>
        <w:tab/>
      </w:r>
      <w:r w:rsidRPr="00246387">
        <w:rPr>
          <w:lang w:val="sq-AL"/>
        </w:rPr>
        <w:tab/>
      </w:r>
      <w:r>
        <w:rPr>
          <w:lang w:val="sq-AL"/>
        </w:rPr>
        <w:t>a</w:t>
      </w:r>
      <w:r w:rsidRPr="00246387">
        <w:rPr>
          <w:lang w:val="sq-AL"/>
        </w:rPr>
        <w:t xml:space="preserve">nëtar   i </w:t>
      </w:r>
      <w:r w:rsidRPr="00246387">
        <w:rPr>
          <w:lang w:val="sq-AL"/>
        </w:rPr>
        <w:tab/>
        <w:t>“</w:t>
      </w:r>
      <w:r w:rsidRPr="00246387">
        <w:rPr>
          <w:lang w:val="sq-AL"/>
        </w:rPr>
        <w:tab/>
        <w:t>“</w:t>
      </w:r>
      <w:r w:rsidRPr="00246387">
        <w:rPr>
          <w:lang w:val="sq-AL"/>
        </w:rPr>
        <w:tab/>
        <w:t xml:space="preserve">   </w:t>
      </w:r>
    </w:p>
    <w:p w:rsidR="006F4320" w:rsidRPr="00246387" w:rsidRDefault="006F4320" w:rsidP="006F4320">
      <w:pPr>
        <w:pStyle w:val="Paragrafi"/>
        <w:rPr>
          <w:lang w:val="sq-AL"/>
        </w:rPr>
      </w:pPr>
      <w:r w:rsidRPr="00246387">
        <w:rPr>
          <w:lang w:val="sq-AL"/>
        </w:rPr>
        <w:t>Kujtim Puto</w:t>
      </w:r>
      <w:r w:rsidRPr="00246387">
        <w:rPr>
          <w:lang w:val="sq-AL"/>
        </w:rPr>
        <w:tab/>
      </w:r>
      <w:r w:rsidRPr="00246387">
        <w:rPr>
          <w:lang w:val="sq-AL"/>
        </w:rPr>
        <w:tab/>
      </w:r>
      <w:r>
        <w:rPr>
          <w:lang w:val="sq-AL"/>
        </w:rPr>
        <w:t>a</w:t>
      </w:r>
      <w:r w:rsidRPr="00246387">
        <w:rPr>
          <w:lang w:val="sq-AL"/>
        </w:rPr>
        <w:t xml:space="preserve">nëtar   i </w:t>
      </w:r>
      <w:r w:rsidRPr="00246387">
        <w:rPr>
          <w:lang w:val="sq-AL"/>
        </w:rPr>
        <w:tab/>
        <w:t>“</w:t>
      </w:r>
      <w:r w:rsidRPr="00246387">
        <w:rPr>
          <w:lang w:val="sq-AL"/>
        </w:rPr>
        <w:tab/>
        <w:t>“</w:t>
      </w:r>
      <w:r w:rsidRPr="00246387">
        <w:rPr>
          <w:lang w:val="sq-AL"/>
        </w:rPr>
        <w:tab/>
      </w:r>
    </w:p>
    <w:p w:rsidR="006F4320" w:rsidRDefault="006F4320" w:rsidP="006F4320">
      <w:pPr>
        <w:pStyle w:val="Paragrafi"/>
        <w:rPr>
          <w:lang w:val="sq-AL"/>
        </w:rPr>
      </w:pPr>
    </w:p>
    <w:p w:rsidR="006F4320" w:rsidRDefault="006F4320" w:rsidP="006F4320">
      <w:pPr>
        <w:pStyle w:val="Paragrafi"/>
        <w:rPr>
          <w:lang w:val="sq-AL"/>
        </w:rPr>
      </w:pPr>
      <w:r w:rsidRPr="00246387">
        <w:rPr>
          <w:lang w:val="sq-AL"/>
        </w:rPr>
        <w:t>me sekretare Brunilda Bara, në datë 16.10.2007, mori në shqyrtim në seancë gjyqësore me dyer të hapura çështjen nr.45 Akti, që i përket:</w:t>
      </w:r>
    </w:p>
    <w:p w:rsidR="006F4320" w:rsidRPr="00246387" w:rsidRDefault="006F4320" w:rsidP="006F4320">
      <w:pPr>
        <w:pStyle w:val="Paragrafi"/>
        <w:rPr>
          <w:lang w:val="sq-AL"/>
        </w:rPr>
      </w:pPr>
      <w:r w:rsidRPr="00246387">
        <w:rPr>
          <w:lang w:val="sq-AL"/>
        </w:rPr>
        <w:t>KËRKUES: SHOQËRIA “SINANI” SHPK, përfaqësuar nga avokat Lulzim Koka, me prokurë.</w:t>
      </w:r>
    </w:p>
    <w:p w:rsidR="006F4320" w:rsidRPr="00246387" w:rsidRDefault="006F4320" w:rsidP="006F4320">
      <w:pPr>
        <w:pStyle w:val="Paragrafi"/>
        <w:rPr>
          <w:lang w:val="sq-AL"/>
        </w:rPr>
      </w:pPr>
      <w:r w:rsidRPr="00246387">
        <w:rPr>
          <w:lang w:val="sq-AL"/>
        </w:rPr>
        <w:t>SUBJEKTE TË INTERESUARA:</w:t>
      </w:r>
      <w:r w:rsidRPr="00246387">
        <w:rPr>
          <w:lang w:val="sq-AL"/>
        </w:rPr>
        <w:tab/>
      </w:r>
    </w:p>
    <w:p w:rsidR="006F4320" w:rsidRPr="00246387" w:rsidRDefault="006F4320" w:rsidP="006F4320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246387">
        <w:rPr>
          <w:lang w:val="sq-AL"/>
        </w:rPr>
        <w:t>SHOQËRIA “FILIPI” SHPK, përfaqësuar nga avokat Avni Shehu, me prokurë.</w:t>
      </w:r>
    </w:p>
    <w:p w:rsidR="006F4320" w:rsidRPr="00246387" w:rsidRDefault="006F4320" w:rsidP="006F4320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246387">
        <w:rPr>
          <w:lang w:val="sq-AL"/>
        </w:rPr>
        <w:t>MINISTRIA E INDUSTRISË DHE ENERGJETIKËS, në mungesë.</w:t>
      </w:r>
    </w:p>
    <w:p w:rsidR="006F4320" w:rsidRPr="00246387" w:rsidRDefault="006F4320" w:rsidP="006F4320">
      <w:pPr>
        <w:pStyle w:val="Paragrafi"/>
        <w:rPr>
          <w:lang w:val="sq-AL"/>
        </w:rPr>
      </w:pPr>
      <w:r w:rsidRPr="00246387">
        <w:rPr>
          <w:lang w:val="sq-AL"/>
        </w:rPr>
        <w:t>OBJEKTI: Shfuqizimi</w:t>
      </w:r>
      <w:r>
        <w:rPr>
          <w:lang w:val="sq-AL"/>
        </w:rPr>
        <w:t xml:space="preserve"> si i papajtueshëm me Kushtetutën i</w:t>
      </w:r>
      <w:r w:rsidRPr="00246387">
        <w:rPr>
          <w:lang w:val="sq-AL"/>
        </w:rPr>
        <w:t xml:space="preserve"> vendimeve nr.5829, datë 26.11.2004 të Gjykatës së Rrethit Gjyqësor Tiranë; nr.1118, datë 15.11.2005 të Gjykatës së Apelit Tiranë dhe nr.562, datë 5.5.2006 të Kolegjit Civil të Gjykatës së Lartë (dhoma e këshillimit).</w:t>
      </w:r>
    </w:p>
    <w:p w:rsidR="006F4320" w:rsidRPr="00246387" w:rsidRDefault="006F4320" w:rsidP="006F4320">
      <w:pPr>
        <w:pStyle w:val="Paragrafi"/>
        <w:rPr>
          <w:lang w:val="sq-AL"/>
        </w:rPr>
      </w:pPr>
      <w:r w:rsidRPr="00246387">
        <w:rPr>
          <w:lang w:val="sq-AL"/>
        </w:rPr>
        <w:t>Kërkuesi, ka parashtruar këto shkaqe për shfuqizimin si të papajtueshëm me Kushtetutën të vendimeve të lartpërmendura:</w:t>
      </w:r>
    </w:p>
    <w:p w:rsidR="006F4320" w:rsidRPr="00246387" w:rsidRDefault="006F4320" w:rsidP="006F4320">
      <w:pPr>
        <w:pStyle w:val="Paragrafi"/>
        <w:rPr>
          <w:lang w:val="sq-AL"/>
        </w:rPr>
      </w:pPr>
      <w:r w:rsidRPr="00246387">
        <w:rPr>
          <w:lang w:val="sq-AL"/>
        </w:rPr>
        <w:t>- Gjykata e Rrethit gjyqësor ka cenuar të drejtën e mbrojtjes</w:t>
      </w:r>
      <w:r>
        <w:rPr>
          <w:lang w:val="sq-AL"/>
        </w:rPr>
        <w:t>,</w:t>
      </w:r>
      <w:r w:rsidRPr="00246387">
        <w:rPr>
          <w:lang w:val="sq-AL"/>
        </w:rPr>
        <w:t xml:space="preserve"> sepse nuk e ka njoftuar, sipas rregullave të Kodit të Procedurës Civile, për të marrë pjesë në gjykimin në gjykatën e rrethit gjyqësor;</w:t>
      </w:r>
    </w:p>
    <w:p w:rsidR="006F4320" w:rsidRPr="00246387" w:rsidRDefault="006F4320" w:rsidP="006F4320">
      <w:pPr>
        <w:pStyle w:val="Paragrafi"/>
        <w:rPr>
          <w:lang w:val="sq-AL"/>
        </w:rPr>
      </w:pPr>
      <w:r w:rsidRPr="00246387">
        <w:rPr>
          <w:lang w:val="sq-AL"/>
        </w:rPr>
        <w:t>- Gjykata e apelit ka cenuar parimin e mundësive të barabarta të palëve në gjykim</w:t>
      </w:r>
      <w:r>
        <w:rPr>
          <w:lang w:val="sq-AL"/>
        </w:rPr>
        <w:t>, sepse nuk ka pranuar t’i</w:t>
      </w:r>
      <w:r w:rsidRPr="00246387">
        <w:rPr>
          <w:lang w:val="sq-AL"/>
        </w:rPr>
        <w:t xml:space="preserve"> shqyrtojë pretendimet e tij për provat vendimtare për zgjidhjen e çështjes;</w:t>
      </w:r>
    </w:p>
    <w:p w:rsidR="006F4320" w:rsidRPr="00246387" w:rsidRDefault="006F4320" w:rsidP="006F4320">
      <w:pPr>
        <w:pStyle w:val="Paragrafi"/>
        <w:rPr>
          <w:lang w:val="sq-AL"/>
        </w:rPr>
      </w:pPr>
      <w:r w:rsidRPr="00246387">
        <w:rPr>
          <w:lang w:val="sq-AL"/>
        </w:rPr>
        <w:t>- Nuk është njoftuar Avokatura e Shtetit të marrë pjesë në gjykimin në gjykatën e rrethit gjyqësor;</w:t>
      </w:r>
    </w:p>
    <w:p w:rsidR="006F4320" w:rsidRPr="00246387" w:rsidRDefault="006F4320" w:rsidP="006F4320">
      <w:pPr>
        <w:pStyle w:val="Paragrafi"/>
        <w:rPr>
          <w:lang w:val="sq-AL"/>
        </w:rPr>
      </w:pPr>
      <w:r>
        <w:rPr>
          <w:lang w:val="sq-AL"/>
        </w:rPr>
        <w:t>- Gjykata e Lartë nuk pranoi ta</w:t>
      </w:r>
      <w:r w:rsidRPr="00246387">
        <w:rPr>
          <w:lang w:val="sq-AL"/>
        </w:rPr>
        <w:t xml:space="preserve"> shqyrtonte rekursin në seancë, megjithëse në të ngriheshin probleme ligjore.</w:t>
      </w:r>
    </w:p>
    <w:p w:rsidR="006F4320" w:rsidRPr="00246387" w:rsidRDefault="006F4320" w:rsidP="006F4320">
      <w:pPr>
        <w:pStyle w:val="Paragrafi"/>
        <w:rPr>
          <w:lang w:val="sq-AL"/>
        </w:rPr>
      </w:pPr>
    </w:p>
    <w:p w:rsidR="006F4320" w:rsidRPr="006F4320" w:rsidRDefault="006F4320" w:rsidP="006F4320">
      <w:pPr>
        <w:pStyle w:val="Institucioni"/>
        <w:keepNext w:val="0"/>
        <w:rPr>
          <w:lang w:val="sq-AL"/>
        </w:rPr>
      </w:pPr>
      <w:r w:rsidRPr="006F4320">
        <w:rPr>
          <w:lang w:val="sq-AL"/>
        </w:rPr>
        <w:t>GJYKATA KUSHTETUESE,</w:t>
      </w:r>
    </w:p>
    <w:p w:rsidR="006F4320" w:rsidRPr="00246387" w:rsidRDefault="006F4320" w:rsidP="006F4320">
      <w:pPr>
        <w:pStyle w:val="Paragrafi"/>
        <w:rPr>
          <w:lang w:val="sq-AL"/>
        </w:rPr>
      </w:pPr>
    </w:p>
    <w:p w:rsidR="006F4320" w:rsidRPr="00246387" w:rsidRDefault="006F4320" w:rsidP="006F4320">
      <w:pPr>
        <w:pStyle w:val="Paragrafi"/>
        <w:rPr>
          <w:lang w:val="sq-AL"/>
        </w:rPr>
      </w:pPr>
      <w:r>
        <w:rPr>
          <w:lang w:val="sq-AL"/>
        </w:rPr>
        <w:t xml:space="preserve">pasi </w:t>
      </w:r>
      <w:r w:rsidRPr="00246387">
        <w:rPr>
          <w:lang w:val="sq-AL"/>
        </w:rPr>
        <w:t>dëgjoi relatorin e çështjes Kujtim Puto</w:t>
      </w:r>
      <w:r>
        <w:rPr>
          <w:lang w:val="sq-AL"/>
        </w:rPr>
        <w:t>n</w:t>
      </w:r>
      <w:r w:rsidRPr="00246387">
        <w:rPr>
          <w:lang w:val="sq-AL"/>
        </w:rPr>
        <w:t>, përfaqësuesin e kërkuesit që kërkoi pranimin e kërkesës; përfaqësuesin e subjektit të interesuar që u shpreh për rrëzimin e kërkesës dhe pasi bisedoi çështjen në tërësi,</w:t>
      </w:r>
    </w:p>
    <w:p w:rsidR="006F4320" w:rsidRPr="00246387" w:rsidRDefault="006F4320" w:rsidP="006F4320">
      <w:pPr>
        <w:pStyle w:val="Paragrafi"/>
        <w:tabs>
          <w:tab w:val="left" w:pos="3420"/>
        </w:tabs>
        <w:rPr>
          <w:lang w:val="sq-AL"/>
        </w:rPr>
      </w:pPr>
      <w:r>
        <w:rPr>
          <w:lang w:val="sq-AL"/>
        </w:rPr>
        <w:tab/>
      </w:r>
    </w:p>
    <w:p w:rsidR="006F4320" w:rsidRPr="006F4320" w:rsidRDefault="006F4320" w:rsidP="006F4320">
      <w:pPr>
        <w:pStyle w:val="VENDOSI"/>
        <w:keepNext w:val="0"/>
        <w:rPr>
          <w:lang w:val="sq-AL"/>
        </w:rPr>
      </w:pPr>
      <w:r w:rsidRPr="006F4320">
        <w:rPr>
          <w:lang w:val="sq-AL"/>
        </w:rPr>
        <w:t>VËREN:</w:t>
      </w:r>
    </w:p>
    <w:p w:rsidR="006F4320" w:rsidRPr="001A3AB9" w:rsidRDefault="006F4320" w:rsidP="006F4320">
      <w:pPr>
        <w:pStyle w:val="Paragrafi"/>
        <w:rPr>
          <w:sz w:val="16"/>
          <w:lang w:val="sq-AL"/>
        </w:rPr>
      </w:pPr>
    </w:p>
    <w:p w:rsidR="006F4320" w:rsidRDefault="006F4320" w:rsidP="006F4320">
      <w:pPr>
        <w:pStyle w:val="Paragrafi"/>
        <w:rPr>
          <w:lang w:val="sq-AL"/>
        </w:rPr>
      </w:pPr>
      <w:r w:rsidRPr="00246387">
        <w:rPr>
          <w:lang w:val="sq-AL"/>
        </w:rPr>
        <w:t>Gjykata e Rrethit Gjyqësor Tiranë, me vendimin nr.5829, datë 26.11.2004</w:t>
      </w:r>
      <w:r>
        <w:rPr>
          <w:lang w:val="sq-AL"/>
        </w:rPr>
        <w:t>,</w:t>
      </w:r>
      <w:r w:rsidRPr="00246387">
        <w:rPr>
          <w:lang w:val="sq-AL"/>
        </w:rPr>
        <w:t xml:space="preserve"> ka vendosur pranimin e padisë së subjektit të interesuar sh</w:t>
      </w:r>
      <w:r>
        <w:rPr>
          <w:lang w:val="sq-AL"/>
        </w:rPr>
        <w:t>.</w:t>
      </w:r>
      <w:r w:rsidRPr="00246387">
        <w:rPr>
          <w:lang w:val="sq-AL"/>
        </w:rPr>
        <w:t>p</w:t>
      </w:r>
      <w:r>
        <w:rPr>
          <w:lang w:val="sq-AL"/>
        </w:rPr>
        <w:t>.</w:t>
      </w:r>
      <w:r w:rsidRPr="00246387">
        <w:rPr>
          <w:lang w:val="sq-AL"/>
        </w:rPr>
        <w:t>k</w:t>
      </w:r>
      <w:r>
        <w:rPr>
          <w:lang w:val="sq-AL"/>
        </w:rPr>
        <w:t>.</w:t>
      </w:r>
      <w:r w:rsidRPr="00246387">
        <w:rPr>
          <w:lang w:val="sq-AL"/>
        </w:rPr>
        <w:t xml:space="preserve"> “Filipi” ngritur kundër kërkuesit sh</w:t>
      </w:r>
      <w:r>
        <w:rPr>
          <w:lang w:val="sq-AL"/>
        </w:rPr>
        <w:t>.</w:t>
      </w:r>
      <w:r w:rsidRPr="00246387">
        <w:rPr>
          <w:lang w:val="sq-AL"/>
        </w:rPr>
        <w:t>p</w:t>
      </w:r>
      <w:r>
        <w:rPr>
          <w:lang w:val="sq-AL"/>
        </w:rPr>
        <w:t>.</w:t>
      </w:r>
      <w:r w:rsidRPr="00246387">
        <w:rPr>
          <w:lang w:val="sq-AL"/>
        </w:rPr>
        <w:t>k</w:t>
      </w:r>
      <w:r>
        <w:rPr>
          <w:lang w:val="sq-AL"/>
        </w:rPr>
        <w:t>.</w:t>
      </w:r>
      <w:r w:rsidRPr="00246387">
        <w:rPr>
          <w:lang w:val="sq-AL"/>
        </w:rPr>
        <w:t xml:space="preserve"> “Sinani” dhe të subjektit tjetër të interesuar Ministria e Industrisë dhe Energjetikës, dhe ka detyruar kërkuesin të dëmshpërblejë sh</w:t>
      </w:r>
      <w:r>
        <w:rPr>
          <w:lang w:val="sq-AL"/>
        </w:rPr>
        <w:t>.</w:t>
      </w:r>
      <w:r w:rsidRPr="00246387">
        <w:rPr>
          <w:lang w:val="sq-AL"/>
        </w:rPr>
        <w:t>p</w:t>
      </w:r>
      <w:r>
        <w:rPr>
          <w:lang w:val="sq-AL"/>
        </w:rPr>
        <w:t>.</w:t>
      </w:r>
      <w:r w:rsidRPr="00246387">
        <w:rPr>
          <w:lang w:val="sq-AL"/>
        </w:rPr>
        <w:t>k</w:t>
      </w:r>
      <w:r>
        <w:rPr>
          <w:lang w:val="sq-AL"/>
        </w:rPr>
        <w:t xml:space="preserve">. “Filipi” në shumën 7 504 </w:t>
      </w:r>
      <w:r w:rsidRPr="00246387">
        <w:rPr>
          <w:lang w:val="sq-AL"/>
        </w:rPr>
        <w:t>195 (shtatë milionë e pesëqind e katër mijë e njëqind e nëntëdhjetë e pesë) lekë. Kjo gjykatë ka rrëzuar pa</w:t>
      </w:r>
      <w:r>
        <w:rPr>
          <w:lang w:val="sq-AL"/>
        </w:rPr>
        <w:t>dinë e subjektit të interesuar</w:t>
      </w:r>
      <w:r w:rsidRPr="00246387">
        <w:rPr>
          <w:lang w:val="sq-AL"/>
        </w:rPr>
        <w:t xml:space="preserve"> sh</w:t>
      </w:r>
      <w:r>
        <w:rPr>
          <w:lang w:val="sq-AL"/>
        </w:rPr>
        <w:t>.</w:t>
      </w:r>
      <w:r w:rsidRPr="00246387">
        <w:rPr>
          <w:lang w:val="sq-AL"/>
        </w:rPr>
        <w:t>p</w:t>
      </w:r>
      <w:r>
        <w:rPr>
          <w:lang w:val="sq-AL"/>
        </w:rPr>
        <w:t>.</w:t>
      </w:r>
      <w:r w:rsidRPr="00246387">
        <w:rPr>
          <w:lang w:val="sq-AL"/>
        </w:rPr>
        <w:t>k</w:t>
      </w:r>
      <w:r>
        <w:rPr>
          <w:lang w:val="sq-AL"/>
        </w:rPr>
        <w:t>.</w:t>
      </w:r>
      <w:r w:rsidRPr="00246387">
        <w:rPr>
          <w:lang w:val="sq-AL"/>
        </w:rPr>
        <w:t xml:space="preserve"> “Filipi”, ngritur kundër Ministrisë së Industrisë dhe Energjetikës.</w:t>
      </w:r>
    </w:p>
    <w:p w:rsidR="006F4320" w:rsidRPr="00246387" w:rsidRDefault="006F4320" w:rsidP="006F4320">
      <w:pPr>
        <w:pStyle w:val="Paragrafi"/>
        <w:rPr>
          <w:lang w:val="sq-AL"/>
        </w:rPr>
      </w:pPr>
    </w:p>
    <w:p w:rsidR="006F4320" w:rsidRPr="00246387" w:rsidRDefault="006F4320" w:rsidP="006F4320">
      <w:pPr>
        <w:pStyle w:val="Paragrafi"/>
        <w:rPr>
          <w:lang w:val="sq-AL"/>
        </w:rPr>
      </w:pPr>
      <w:r w:rsidRPr="00246387">
        <w:rPr>
          <w:lang w:val="sq-AL"/>
        </w:rPr>
        <w:t xml:space="preserve">Gjykata e Apelit Tiranë, me vendimin nr.1118, datë 15.11.2005 e ka lënë në fuqi vendimin e gjykatës së rrethit gjyqësor. Kolegji Civil i Gjykatës së Lartë (dhoma e këshillimit) nuk e ka pranuar </w:t>
      </w:r>
      <w:r w:rsidRPr="00246387">
        <w:rPr>
          <w:lang w:val="sq-AL"/>
        </w:rPr>
        <w:lastRenderedPageBreak/>
        <w:t>rekursin e paraqitur nga kërkuesi.</w:t>
      </w:r>
    </w:p>
    <w:p w:rsidR="006F4320" w:rsidRPr="00246387" w:rsidRDefault="006F4320" w:rsidP="006F4320">
      <w:pPr>
        <w:pStyle w:val="Paragrafi"/>
        <w:rPr>
          <w:lang w:val="sq-AL"/>
        </w:rPr>
      </w:pPr>
      <w:r w:rsidRPr="00246387">
        <w:rPr>
          <w:lang w:val="sq-AL"/>
        </w:rPr>
        <w:t>Nga gjykimi i çështjes në Gjykatën Kushtetuese rezultoi se, gjykatat e sistemit gjyqësor nuk kanë cenuar parimet e një procesi të rregullt ligjor, parashikuar në nenin 42 të Kushtetutës dhe nenin 6 të Konventës Europiane të të Drejtave të Njeriut.</w:t>
      </w:r>
    </w:p>
    <w:p w:rsidR="006F4320" w:rsidRPr="00246387" w:rsidRDefault="006F4320" w:rsidP="006F4320">
      <w:pPr>
        <w:pStyle w:val="Paragrafi"/>
        <w:rPr>
          <w:lang w:val="sq-AL"/>
        </w:rPr>
      </w:pPr>
      <w:r w:rsidRPr="00246387">
        <w:rPr>
          <w:lang w:val="sq-AL"/>
        </w:rPr>
        <w:t>Për t’i siguruar kërkuesit të drejtën e mbrojtjes, gjykata e rrethit ka marrë masat për njoftimin e tij. Për të siguruar këtë pjesëmarrje</w:t>
      </w:r>
      <w:r>
        <w:rPr>
          <w:lang w:val="sq-AL"/>
        </w:rPr>
        <w:t>,</w:t>
      </w:r>
      <w:r w:rsidRPr="00246387">
        <w:rPr>
          <w:lang w:val="sq-AL"/>
        </w:rPr>
        <w:t xml:space="preserve"> ajo ka shtyrë disa herë gjykimin e çështjes dhe i ka dërguar kërkuesit disa fletëthirrje në qendrën ku ai ushtronte veprimtarinë, në përputhje me nenin 131 të Kodit të Procedurës Civile. Fletëthirrjet e datave 18.10.2004, 1.11.2004, 23.11.2004, të pretenduara si të parregullta nga kërkuesi, janë nënshkruar nga punonjësit e këtij të fundit. Rezulton gjithashtu, se edhe njoftimi i vendimit të gjykatës së rrethit gjyqësor që u ankimua nga kërkuesi, është bërë në të njëjtën adresë që janë bërë njoftimet e tjera. Vetë kërkuesi nuk kundërshtoi në Gjykatën Kushtetuese faktin që ka ushtruar veprimtari në objektin ku është dërguar njoftimi.</w:t>
      </w:r>
    </w:p>
    <w:p w:rsidR="006F4320" w:rsidRPr="00246387" w:rsidRDefault="006F4320" w:rsidP="006F4320">
      <w:pPr>
        <w:pStyle w:val="Paragrafi"/>
        <w:rPr>
          <w:lang w:val="sq-AL"/>
        </w:rPr>
      </w:pPr>
      <w:r w:rsidRPr="00246387">
        <w:rPr>
          <w:lang w:val="sq-AL"/>
        </w:rPr>
        <w:t xml:space="preserve">Sa më sipër, nuk rezulton që kërkuesit t’i jetë mohuar e drejta e mbrojtjes nga veprimet e Gjykatës së Rrethit Gjyqësor Tiranë. </w:t>
      </w:r>
    </w:p>
    <w:p w:rsidR="006F4320" w:rsidRPr="00246387" w:rsidRDefault="006F4320" w:rsidP="006F4320">
      <w:pPr>
        <w:pStyle w:val="Paragrafi"/>
        <w:rPr>
          <w:lang w:val="sq-AL"/>
        </w:rPr>
      </w:pPr>
      <w:r w:rsidRPr="00246387">
        <w:rPr>
          <w:lang w:val="sq-AL"/>
        </w:rPr>
        <w:t>Kërkuesi ka parashtruar</w:t>
      </w:r>
      <w:r>
        <w:rPr>
          <w:lang w:val="sq-AL"/>
        </w:rPr>
        <w:t>,</w:t>
      </w:r>
      <w:r w:rsidRPr="00246387">
        <w:rPr>
          <w:lang w:val="sq-AL"/>
        </w:rPr>
        <w:t xml:space="preserve"> gjithashtu se gjykata e apelit ka cenuar parimin e barazisë së palëve në gjykim</w:t>
      </w:r>
      <w:r>
        <w:rPr>
          <w:lang w:val="sq-AL"/>
        </w:rPr>
        <w:t>,</w:t>
      </w:r>
      <w:r w:rsidRPr="00246387">
        <w:rPr>
          <w:lang w:val="sq-AL"/>
        </w:rPr>
        <w:t xml:space="preserve"> sepse nuk ka verifikuar pretendimin e kërkuesit për shqyrtimin e një prove që ka pasur rëndësi vendimtare për çështjen.</w:t>
      </w:r>
    </w:p>
    <w:p w:rsidR="006F4320" w:rsidRPr="00246387" w:rsidRDefault="006F4320" w:rsidP="006F4320">
      <w:pPr>
        <w:pStyle w:val="Paragrafi"/>
        <w:rPr>
          <w:lang w:val="sq-AL"/>
        </w:rPr>
      </w:pPr>
      <w:r w:rsidRPr="00246387">
        <w:rPr>
          <w:lang w:val="sq-AL"/>
        </w:rPr>
        <w:t xml:space="preserve">Rezulton nga dosja gjyqësore se kërkuesi, në gjykimin në gjykatën e apelit, pasi ka pretenduar se mallrat ishin të skaduara  para se të prishej magazina, ka kërkuar hetime të reja nga </w:t>
      </w:r>
      <w:r>
        <w:rPr>
          <w:lang w:val="sq-AL"/>
        </w:rPr>
        <w:t>ana e gjykatës. Në të kundërt, gjykata e a</w:t>
      </w:r>
      <w:r w:rsidRPr="00246387">
        <w:rPr>
          <w:lang w:val="sq-AL"/>
        </w:rPr>
        <w:t>pelit ka arritur në përfundimin se dëmtimi i mallrave ka ndodhur gjatë prishjes së magazinave për shkak të veprimeve të paligjshme të kryera nga vetë kërkuesi dhe nuk k</w:t>
      </w:r>
      <w:r>
        <w:rPr>
          <w:lang w:val="sq-AL"/>
        </w:rPr>
        <w:t>a pranuar të cenojë vendimin e gjykatës së rrethit g</w:t>
      </w:r>
      <w:r w:rsidRPr="00246387">
        <w:rPr>
          <w:lang w:val="sq-AL"/>
        </w:rPr>
        <w:t>jyqësor. Vlerësimi që ka bërë gjykata e apelit mbi rëndësinë që kishte për çështjen procesverbali i asgjësimit të disa mallrave ushqimore të paraqitura nga kërkuesi, është në kompetencën e asaj gjykate. Gjykata e apelit, ndërsa ka pranuar marrjen e kësaj prove</w:t>
      </w:r>
      <w:r>
        <w:rPr>
          <w:lang w:val="sq-AL"/>
        </w:rPr>
        <w:t>,</w:t>
      </w:r>
      <w:r w:rsidRPr="00246387">
        <w:rPr>
          <w:lang w:val="sq-AL"/>
        </w:rPr>
        <w:t xml:space="preserve"> duke e bërë pjesë të dosjes gjyqësore, ka vlerësuar që prova e paraqitur nuk ka lidhje me dëmin e shkaktuar subjektit të interesuar.</w:t>
      </w:r>
    </w:p>
    <w:p w:rsidR="006F4320" w:rsidRPr="00246387" w:rsidRDefault="006F4320" w:rsidP="006F4320">
      <w:pPr>
        <w:pStyle w:val="Paragrafi"/>
        <w:rPr>
          <w:lang w:val="sq-AL"/>
        </w:rPr>
      </w:pPr>
      <w:r w:rsidRPr="00246387">
        <w:rPr>
          <w:lang w:val="sq-AL"/>
        </w:rPr>
        <w:t>Përsa i përket pretendimit për mosnjoftimin e Avokaturës së Shtetit për të marrë pjesë në gjykimin në gjykatën e rrethit gjyqësor, Gjykata Kushtetuese thekson dhe një herë qëndrimin e mbajtur se neni 131/f i Kushtetutës i ka dhënë të drejtë individit të vërë në lëvizje Gjykatën Kushtetuese vetëm për shkeljen e të drejtave të tij kushtetuese për një proces të rregullt ligjor dhe jo për pretendime për cenimin e të drejtave të personave të tjerë. Nga materialet e çështjes rezulton gjithashtu, që Avokatura e Shtetit apo Ministria e Industrisë dhe Energjetikës nuk kanë paraqitur ndonjë pretendim për këtë mosnjoftim si në gjykatën e apelit</w:t>
      </w:r>
      <w:r>
        <w:rPr>
          <w:lang w:val="sq-AL"/>
        </w:rPr>
        <w:t>,</w:t>
      </w:r>
      <w:r w:rsidRPr="00246387">
        <w:rPr>
          <w:lang w:val="sq-AL"/>
        </w:rPr>
        <w:t xml:space="preserve"> ashtu dhe në Gjykatën e Lartë. </w:t>
      </w:r>
    </w:p>
    <w:p w:rsidR="006F4320" w:rsidRPr="00246387" w:rsidRDefault="006F4320" w:rsidP="006F4320">
      <w:pPr>
        <w:pStyle w:val="Paragrafi"/>
        <w:rPr>
          <w:lang w:val="sq-AL"/>
        </w:rPr>
      </w:pPr>
    </w:p>
    <w:p w:rsidR="006F4320" w:rsidRPr="006F4320" w:rsidRDefault="006F4320" w:rsidP="006F4320">
      <w:pPr>
        <w:pStyle w:val="VENDOSI"/>
        <w:keepNext w:val="0"/>
        <w:rPr>
          <w:lang w:val="sq-AL"/>
        </w:rPr>
      </w:pPr>
      <w:r w:rsidRPr="006F4320">
        <w:rPr>
          <w:lang w:val="sq-AL"/>
        </w:rPr>
        <w:t>PËR KËTO ARSYE,</w:t>
      </w:r>
    </w:p>
    <w:p w:rsidR="006F4320" w:rsidRPr="00246387" w:rsidRDefault="006F4320" w:rsidP="006F4320">
      <w:pPr>
        <w:pStyle w:val="Paragrafi"/>
        <w:rPr>
          <w:lang w:val="sq-AL"/>
        </w:rPr>
      </w:pPr>
    </w:p>
    <w:p w:rsidR="006F4320" w:rsidRPr="00246387" w:rsidRDefault="006F4320" w:rsidP="006F4320">
      <w:pPr>
        <w:pStyle w:val="Paragrafi"/>
        <w:rPr>
          <w:lang w:val="sq-AL"/>
        </w:rPr>
      </w:pPr>
      <w:r w:rsidRPr="00246387">
        <w:rPr>
          <w:lang w:val="sq-AL"/>
        </w:rPr>
        <w:t>Gjykata Kushtetuese e Republikës së Shqipërisë, në bazë të nenit 72 e vijues të ligjit nr.8577, datë 10.2.2000 “Për organizimin dhe funksionimin e Gjykatës Kushtetuese të Republikës së Shqipërisë”, me shumicë votash,</w:t>
      </w:r>
    </w:p>
    <w:p w:rsidR="006F4320" w:rsidRPr="00246387" w:rsidRDefault="006F4320" w:rsidP="006F4320">
      <w:pPr>
        <w:pStyle w:val="Paragrafi"/>
        <w:rPr>
          <w:lang w:val="sq-AL"/>
        </w:rPr>
      </w:pPr>
    </w:p>
    <w:p w:rsidR="006F4320" w:rsidRPr="006F4320" w:rsidRDefault="006F4320" w:rsidP="006F4320">
      <w:pPr>
        <w:pStyle w:val="VENDOSI"/>
        <w:keepNext w:val="0"/>
        <w:rPr>
          <w:lang w:val="sq-AL"/>
        </w:rPr>
      </w:pPr>
      <w:r w:rsidRPr="006F4320">
        <w:rPr>
          <w:lang w:val="sq-AL"/>
        </w:rPr>
        <w:t>VENDOSI:</w:t>
      </w:r>
    </w:p>
    <w:p w:rsidR="006F4320" w:rsidRPr="00246387" w:rsidRDefault="006F4320" w:rsidP="006F4320">
      <w:pPr>
        <w:pStyle w:val="Paragrafi"/>
        <w:rPr>
          <w:lang w:val="sq-AL"/>
        </w:rPr>
      </w:pPr>
      <w:r w:rsidRPr="00246387">
        <w:rPr>
          <w:lang w:val="sq-AL"/>
        </w:rPr>
        <w:tab/>
      </w:r>
    </w:p>
    <w:p w:rsidR="006F4320" w:rsidRPr="00246387" w:rsidRDefault="006F4320" w:rsidP="006F4320">
      <w:pPr>
        <w:pStyle w:val="Paragrafi"/>
        <w:rPr>
          <w:lang w:val="sq-AL"/>
        </w:rPr>
      </w:pPr>
      <w:r w:rsidRPr="00246387">
        <w:rPr>
          <w:lang w:val="sq-AL"/>
        </w:rPr>
        <w:t>- Rrëzimin e kërkesës.</w:t>
      </w:r>
    </w:p>
    <w:p w:rsidR="006F4320" w:rsidRPr="00246387" w:rsidRDefault="006F4320" w:rsidP="006F4320">
      <w:pPr>
        <w:pStyle w:val="Paragrafi"/>
        <w:rPr>
          <w:lang w:val="sq-AL"/>
        </w:rPr>
      </w:pPr>
      <w:r w:rsidRPr="00246387">
        <w:rPr>
          <w:lang w:val="sq-AL"/>
        </w:rPr>
        <w:t>Ky vendim është përfundimtar, i formës së prerë dhe hyn në fuqi ditën e botimit në Fletoren Zyrtare.</w:t>
      </w:r>
    </w:p>
    <w:p w:rsidR="006F4320" w:rsidRDefault="006F4320" w:rsidP="006F4320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Anëtarë pro: V.</w:t>
      </w:r>
      <w:r w:rsidRPr="003D5C1C">
        <w:rPr>
          <w:szCs w:val="22"/>
          <w:lang w:val="sq-AL"/>
        </w:rPr>
        <w:t xml:space="preserve">Kristo </w:t>
      </w:r>
      <w:r>
        <w:rPr>
          <w:szCs w:val="22"/>
          <w:lang w:val="sq-AL"/>
        </w:rPr>
        <w:t>(kryetar),</w:t>
      </w:r>
      <w:r w:rsidRPr="0087261B">
        <w:rPr>
          <w:szCs w:val="22"/>
          <w:lang w:val="sq-AL"/>
        </w:rPr>
        <w:t xml:space="preserve"> </w:t>
      </w:r>
      <w:r>
        <w:rPr>
          <w:lang w:val="sq-AL"/>
        </w:rPr>
        <w:t>F.</w:t>
      </w:r>
      <w:r w:rsidRPr="00246387">
        <w:rPr>
          <w:lang w:val="sq-AL"/>
        </w:rPr>
        <w:t>Abdiu</w:t>
      </w:r>
      <w:r>
        <w:rPr>
          <w:lang w:val="sq-AL"/>
        </w:rPr>
        <w:t>,</w:t>
      </w:r>
      <w:r w:rsidRPr="002048FE">
        <w:rPr>
          <w:lang w:val="sq-AL"/>
        </w:rPr>
        <w:t xml:space="preserve"> </w:t>
      </w:r>
      <w:r>
        <w:rPr>
          <w:lang w:val="sq-AL"/>
        </w:rPr>
        <w:t>P.</w:t>
      </w:r>
      <w:r w:rsidRPr="00246387">
        <w:rPr>
          <w:lang w:val="sq-AL"/>
        </w:rPr>
        <w:t>Plloçi</w:t>
      </w:r>
      <w:r>
        <w:rPr>
          <w:lang w:val="sq-AL"/>
        </w:rPr>
        <w:t>,</w:t>
      </w:r>
      <w:r w:rsidRPr="002048FE">
        <w:rPr>
          <w:lang w:val="sq-AL"/>
        </w:rPr>
        <w:t xml:space="preserve"> </w:t>
      </w:r>
      <w:r>
        <w:rPr>
          <w:lang w:val="sq-AL"/>
        </w:rPr>
        <w:t>Xh.</w:t>
      </w:r>
      <w:r w:rsidRPr="00246387">
        <w:rPr>
          <w:lang w:val="sq-AL"/>
        </w:rPr>
        <w:t>Zaganjori</w:t>
      </w:r>
      <w:r>
        <w:rPr>
          <w:lang w:val="sq-AL"/>
        </w:rPr>
        <w:t>,</w:t>
      </w:r>
      <w:r w:rsidRPr="002048FE">
        <w:rPr>
          <w:lang w:val="sq-AL"/>
        </w:rPr>
        <w:t xml:space="preserve"> </w:t>
      </w:r>
      <w:r>
        <w:rPr>
          <w:lang w:val="sq-AL"/>
        </w:rPr>
        <w:t>K.</w:t>
      </w:r>
      <w:r w:rsidRPr="00246387">
        <w:rPr>
          <w:lang w:val="sq-AL"/>
        </w:rPr>
        <w:t>Peçi</w:t>
      </w:r>
      <w:r>
        <w:rPr>
          <w:lang w:val="sq-AL"/>
        </w:rPr>
        <w:t>, S.</w:t>
      </w:r>
      <w:r w:rsidRPr="00246387">
        <w:rPr>
          <w:lang w:val="sq-AL"/>
        </w:rPr>
        <w:t>Berberi</w:t>
      </w:r>
      <w:r>
        <w:rPr>
          <w:lang w:val="sq-AL"/>
        </w:rPr>
        <w:t>,</w:t>
      </w:r>
      <w:r w:rsidRPr="002048FE">
        <w:rPr>
          <w:lang w:val="sq-AL"/>
        </w:rPr>
        <w:t xml:space="preserve"> </w:t>
      </w:r>
      <w:r>
        <w:rPr>
          <w:lang w:val="sq-AL"/>
        </w:rPr>
        <w:t>S.</w:t>
      </w:r>
      <w:r w:rsidRPr="00246387">
        <w:rPr>
          <w:lang w:val="sq-AL"/>
        </w:rPr>
        <w:t>Sadushi</w:t>
      </w:r>
      <w:r>
        <w:rPr>
          <w:lang w:val="sq-AL"/>
        </w:rPr>
        <w:t>.</w:t>
      </w:r>
    </w:p>
    <w:p w:rsidR="006F4320" w:rsidRDefault="006F4320" w:rsidP="006F4320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Anëtarë kundër:</w:t>
      </w:r>
      <w:r w:rsidRPr="002048FE">
        <w:rPr>
          <w:lang w:val="sq-AL"/>
        </w:rPr>
        <w:t xml:space="preserve"> </w:t>
      </w:r>
      <w:r>
        <w:rPr>
          <w:lang w:val="sq-AL"/>
        </w:rPr>
        <w:t>Gj.</w:t>
      </w:r>
      <w:r w:rsidRPr="00246387">
        <w:rPr>
          <w:lang w:val="sq-AL"/>
        </w:rPr>
        <w:t>Sauli</w:t>
      </w:r>
      <w:r>
        <w:rPr>
          <w:lang w:val="sq-AL"/>
        </w:rPr>
        <w:t>,</w:t>
      </w:r>
      <w:r w:rsidRPr="002048FE">
        <w:rPr>
          <w:lang w:val="sq-AL"/>
        </w:rPr>
        <w:t xml:space="preserve"> </w:t>
      </w:r>
      <w:r>
        <w:rPr>
          <w:lang w:val="sq-AL"/>
        </w:rPr>
        <w:t>K.</w:t>
      </w:r>
      <w:r w:rsidRPr="00246387">
        <w:rPr>
          <w:lang w:val="sq-AL"/>
        </w:rPr>
        <w:t>Puto</w:t>
      </w:r>
      <w:r>
        <w:rPr>
          <w:szCs w:val="22"/>
          <w:lang w:val="sq-AL"/>
        </w:rPr>
        <w:t>.</w:t>
      </w:r>
    </w:p>
    <w:p w:rsidR="006F4320" w:rsidRDefault="006F4320" w:rsidP="006F4320">
      <w:pPr>
        <w:pStyle w:val="Paragrafi"/>
        <w:rPr>
          <w:lang w:val="sq-AL"/>
        </w:rPr>
      </w:pPr>
    </w:p>
    <w:p w:rsidR="006F4320" w:rsidRDefault="006F4320" w:rsidP="006F4320">
      <w:pPr>
        <w:pStyle w:val="Paragrafi"/>
        <w:tabs>
          <w:tab w:val="left" w:pos="3520"/>
        </w:tabs>
        <w:rPr>
          <w:lang w:val="sq-AL"/>
        </w:rPr>
      </w:pPr>
      <w:r>
        <w:rPr>
          <w:lang w:val="sq-AL"/>
        </w:rPr>
        <w:tab/>
      </w:r>
    </w:p>
    <w:p w:rsidR="006F4320" w:rsidRPr="00246387" w:rsidRDefault="006F4320" w:rsidP="006F4320">
      <w:pPr>
        <w:pStyle w:val="Paragrafi"/>
        <w:tabs>
          <w:tab w:val="left" w:pos="3520"/>
        </w:tabs>
        <w:rPr>
          <w:lang w:val="sq-AL"/>
        </w:rPr>
      </w:pPr>
    </w:p>
    <w:p w:rsidR="006F4320" w:rsidRPr="006F4320" w:rsidRDefault="006F4320" w:rsidP="006F4320">
      <w:pPr>
        <w:pStyle w:val="TitulliTitull"/>
        <w:keepNext w:val="0"/>
        <w:rPr>
          <w:lang w:val="sq-AL"/>
        </w:rPr>
      </w:pPr>
      <w:r w:rsidRPr="006F4320">
        <w:rPr>
          <w:lang w:val="sq-AL"/>
        </w:rPr>
        <w:t>MENDIMI I PAKICËS</w:t>
      </w:r>
    </w:p>
    <w:p w:rsidR="006F4320" w:rsidRPr="00246387" w:rsidRDefault="006F4320" w:rsidP="006F4320">
      <w:pPr>
        <w:pStyle w:val="Paragrafi"/>
        <w:rPr>
          <w:lang w:val="sq-AL"/>
        </w:rPr>
      </w:pPr>
      <w:r w:rsidRPr="00246387">
        <w:rPr>
          <w:lang w:val="sq-AL"/>
        </w:rPr>
        <w:tab/>
      </w:r>
    </w:p>
    <w:p w:rsidR="006F4320" w:rsidRPr="00246387" w:rsidRDefault="006F4320" w:rsidP="006F4320">
      <w:pPr>
        <w:pStyle w:val="Paragrafi"/>
        <w:rPr>
          <w:lang w:val="sq-AL"/>
        </w:rPr>
      </w:pPr>
      <w:r w:rsidRPr="00246387">
        <w:rPr>
          <w:lang w:val="sq-AL"/>
        </w:rPr>
        <w:t xml:space="preserve">Në kundërshtim me vendimin e shumicës jemi të mendimit se gjykata e Rrethit Gjyqësor Tiranë dhe Gjykata e Apelit Tiranë kanë zhvilluar proces jo të rregullt ligjor në kuptim të nenit 42 të </w:t>
      </w:r>
      <w:r w:rsidRPr="00246387">
        <w:rPr>
          <w:lang w:val="sq-AL"/>
        </w:rPr>
        <w:lastRenderedPageBreak/>
        <w:t>Kushtetutës së Republikës së Shqipërisë dhe nenit 6 të Konventës Europiane, prandaj vendimet e tyre duhen shfuqizuar. Gjykata Kushtetuese, në tërheqjen e konkluzioneve për respektimin e parimeve për një proces të rregullt ligjor, duhet të niset në radhë të parë nga kriteri i respektimit të dispozitave procedurale dhe jo nga vlerësimet që nuk bazohen në interpretimet e sakta të këtyre dispozitave.</w:t>
      </w:r>
    </w:p>
    <w:p w:rsidR="006F4320" w:rsidRPr="00246387" w:rsidRDefault="006F4320" w:rsidP="006F4320">
      <w:pPr>
        <w:pStyle w:val="Paragrafi"/>
        <w:rPr>
          <w:lang w:val="sq-AL"/>
        </w:rPr>
      </w:pPr>
      <w:r w:rsidRPr="00246387">
        <w:rPr>
          <w:lang w:val="sq-AL"/>
        </w:rPr>
        <w:t>Nga materialet e çështjes rezulton se gjykatat e sistemit gjyqësor nuk i kanë krijuar kërkuesit mundësinë për të organizuar mbrojtjen në gjykimin e çështjes, sepse së pari, nuk e kanë njoftuar rregullisht dhe së dyti, nuk i kanë krijuar mundësi të barabarta me palë tjetër për të paraqitur prova dhe për të debatuar në lidhje me to.</w:t>
      </w:r>
    </w:p>
    <w:p w:rsidR="006F4320" w:rsidRPr="00246387" w:rsidRDefault="006F4320" w:rsidP="006F4320">
      <w:pPr>
        <w:pStyle w:val="Paragrafi"/>
        <w:rPr>
          <w:lang w:val="sq-AL"/>
        </w:rPr>
      </w:pPr>
      <w:r w:rsidRPr="00246387">
        <w:rPr>
          <w:lang w:val="sq-AL"/>
        </w:rPr>
        <w:t>Nga dosja gjyqësore rezulton se pala kërkuese</w:t>
      </w:r>
      <w:r>
        <w:rPr>
          <w:lang w:val="sq-AL"/>
        </w:rPr>
        <w:t>,</w:t>
      </w:r>
      <w:r w:rsidRPr="00246387">
        <w:rPr>
          <w:lang w:val="sq-AL"/>
        </w:rPr>
        <w:t xml:space="preserve"> shoqëria “Sinani” sh</w:t>
      </w:r>
      <w:r>
        <w:rPr>
          <w:lang w:val="sq-AL"/>
        </w:rPr>
        <w:t>.</w:t>
      </w:r>
      <w:r w:rsidRPr="00246387">
        <w:rPr>
          <w:lang w:val="sq-AL"/>
        </w:rPr>
        <w:t>p</w:t>
      </w:r>
      <w:r>
        <w:rPr>
          <w:lang w:val="sq-AL"/>
        </w:rPr>
        <w:t>.</w:t>
      </w:r>
      <w:r w:rsidRPr="00246387">
        <w:rPr>
          <w:lang w:val="sq-AL"/>
        </w:rPr>
        <w:t>k</w:t>
      </w:r>
      <w:r>
        <w:rPr>
          <w:lang w:val="sq-AL"/>
        </w:rPr>
        <w:t>.,</w:t>
      </w:r>
      <w:r w:rsidRPr="00246387">
        <w:rPr>
          <w:lang w:val="sq-AL"/>
        </w:rPr>
        <w:t xml:space="preserve"> nuk është njoftuar rregullisht sipas dispozitave të Kodit të Procedurës Civile. Njoftimet për datat dhe orën e seancave kësaj shoqërie nuk i janë bërë në qendrën e shoqërisë, siç e kërkon neni 141 i Kodit të Procedurës Civile, i titulluar “Njoftimi për personat juridikë”, por në një nga objektet e kësaj shoqërie. Nga dosja gjyqësore del se fletëthirrjet e datave 1.11.2004, 16.11.2004 e 23.11.2004 i janë paraqitur rojës së objektit dhe ai ka refuzuar t’i marrë ato me arsyetimi</w:t>
      </w:r>
      <w:r>
        <w:rPr>
          <w:lang w:val="sq-AL"/>
        </w:rPr>
        <w:t>n se njoftimi duhet të bëhet te</w:t>
      </w:r>
      <w:r w:rsidRPr="00246387">
        <w:rPr>
          <w:lang w:val="sq-AL"/>
        </w:rPr>
        <w:t xml:space="preserve"> zyrat e shoqërisë, pra roja nuk ka marrë përsipër përgjegjësinë e njoftimit.</w:t>
      </w:r>
    </w:p>
    <w:p w:rsidR="006F4320" w:rsidRPr="00246387" w:rsidRDefault="006F4320" w:rsidP="006F4320">
      <w:pPr>
        <w:pStyle w:val="Paragrafi"/>
        <w:rPr>
          <w:lang w:val="sq-AL"/>
        </w:rPr>
      </w:pPr>
      <w:r w:rsidRPr="00246387">
        <w:rPr>
          <w:lang w:val="sq-AL"/>
        </w:rPr>
        <w:t>E ndodhur në këto rrethana, gjykata e rrethit gjyqësor, për t’i siguruar kërkuesit të drejtën e mbrojtjes, duhet të zbatonte kërkesat e Kodit të Procedurës Civile (neni 141/2), sipas të cilave njoftimi p</w:t>
      </w:r>
      <w:r>
        <w:rPr>
          <w:lang w:val="sq-AL"/>
        </w:rPr>
        <w:t>ër gjykim personave juridikë jo</w:t>
      </w:r>
      <w:r w:rsidRPr="00246387">
        <w:rPr>
          <w:lang w:val="sq-AL"/>
        </w:rPr>
        <w:t>shtetërorë duhet t’u bëhet</w:t>
      </w:r>
      <w:r>
        <w:rPr>
          <w:lang w:val="sq-AL"/>
        </w:rPr>
        <w:t>,</w:t>
      </w:r>
      <w:r w:rsidRPr="00246387">
        <w:rPr>
          <w:lang w:val="sq-AL"/>
        </w:rPr>
        <w:t xml:space="preserve"> së pari në qendrën e tyre dhe jo në një nga objektet e saj dhe, së dyti, a</w:t>
      </w:r>
      <w:r>
        <w:rPr>
          <w:lang w:val="sq-AL"/>
        </w:rPr>
        <w:t>i duhet t’i bëhet përfaqësuesit</w:t>
      </w:r>
      <w:r w:rsidRPr="00246387">
        <w:rPr>
          <w:lang w:val="sq-AL"/>
        </w:rPr>
        <w:t xml:space="preserve"> ose një punonjësi të saj që punon në qendrën e personit juridik dhe jo në çdo objekt të shoqërisë. Pra, kërkohet marrja e përgjegjësisë së njoftimit dhe siguria e saj.</w:t>
      </w:r>
    </w:p>
    <w:p w:rsidR="006F4320" w:rsidRPr="00246387" w:rsidRDefault="006F4320" w:rsidP="006F4320">
      <w:pPr>
        <w:pStyle w:val="Paragrafi"/>
        <w:rPr>
          <w:lang w:val="sq-AL"/>
        </w:rPr>
      </w:pPr>
      <w:r w:rsidRPr="00246387">
        <w:rPr>
          <w:lang w:val="sq-AL"/>
        </w:rPr>
        <w:t>Mosrespektimi i kërkesave të mësipërme të ligjit, që ka sjellë si pasojë gjykimin e çështjes pa pjesëmarrjen e palës kërkuese</w:t>
      </w:r>
      <w:r>
        <w:rPr>
          <w:lang w:val="sq-AL"/>
        </w:rPr>
        <w:t>,</w:t>
      </w:r>
      <w:r w:rsidRPr="00246387">
        <w:rPr>
          <w:lang w:val="sq-AL"/>
        </w:rPr>
        <w:t xml:space="preserve"> i ka hequr mundësinë kësaj të fundit për të organizuar mbrojtjen dh</w:t>
      </w:r>
      <w:r>
        <w:rPr>
          <w:lang w:val="sq-AL"/>
        </w:rPr>
        <w:t>e për t’u dëgjuar drejtpërdrejt</w:t>
      </w:r>
      <w:r w:rsidRPr="00246387">
        <w:rPr>
          <w:lang w:val="sq-AL"/>
        </w:rPr>
        <w:t xml:space="preserve"> nga gjykata.</w:t>
      </w:r>
    </w:p>
    <w:p w:rsidR="006F4320" w:rsidRPr="00246387" w:rsidRDefault="006F4320" w:rsidP="006F4320">
      <w:pPr>
        <w:pStyle w:val="Paragrafi"/>
        <w:rPr>
          <w:lang w:val="sq-AL"/>
        </w:rPr>
      </w:pPr>
      <w:r w:rsidRPr="00246387">
        <w:rPr>
          <w:lang w:val="sq-AL"/>
        </w:rPr>
        <w:t>Në gjykatën e apelit kërkuesi parashtroi jo vetëm mosrespektimin nga gjykata e rrethit të dispozitave të Kodit të Procedurës Civile për njoftimin, por parashtroi</w:t>
      </w:r>
      <w:r>
        <w:rPr>
          <w:lang w:val="sq-AL"/>
        </w:rPr>
        <w:t>,</w:t>
      </w:r>
      <w:r w:rsidRPr="00246387">
        <w:rPr>
          <w:lang w:val="sq-AL"/>
        </w:rPr>
        <w:t xml:space="preserve"> gjithashtu edhe pretendimin se dëmi i kërkuar nga subjekti i interesuar ka të bëjë me disa mallra ushqimore, të cilat ishin të skaduara në momentin e prishjes së magazinës. Ai ka paraqitur për këtë dhe një procesverbal të mbajtur nga ekspertë që, sipas tij, vërteton këtë pretendim.</w:t>
      </w:r>
    </w:p>
    <w:p w:rsidR="006F4320" w:rsidRPr="00246387" w:rsidRDefault="006F4320" w:rsidP="006F4320">
      <w:pPr>
        <w:pStyle w:val="Paragrafi"/>
        <w:rPr>
          <w:lang w:val="sq-AL"/>
        </w:rPr>
      </w:pPr>
      <w:r w:rsidRPr="00246387">
        <w:rPr>
          <w:lang w:val="sq-AL"/>
        </w:rPr>
        <w:t xml:space="preserve">Nga procesverbali i seancës gjyqësore nuk rezulton që gjykata e apelit të ketë vënë në diskutim këtë procesverbal dhe as nuk ka shpjeguar  me vendim shkaqet e këtij mospranimi megjithëse, po të vërtetohej pretendimi i kërkuesit, kjo do të ishte një provë vendimtare për zgjidhjen e çështjes. Ky qëndrim i gjykatës, pra mospranimi për verifikim i një prove thelbësore për procesin dhe në kushtet kur pala pretenduese nuk ishte e pranishme në gjykatën e rrethit për të paraqitur pretendimet e veta për provat e tjera, i ka cenuar atij të drejtën e mbrojtjes dhe nuk i ka siguruar mundësi të barabarta në gjykim me palën tjetër. </w:t>
      </w:r>
    </w:p>
    <w:p w:rsidR="006F4320" w:rsidRPr="00246387" w:rsidRDefault="006F4320" w:rsidP="006F4320">
      <w:pPr>
        <w:pStyle w:val="Paragrafi"/>
        <w:rPr>
          <w:lang w:val="sq-AL"/>
        </w:rPr>
      </w:pPr>
      <w:r w:rsidRPr="00246387">
        <w:rPr>
          <w:lang w:val="sq-AL"/>
        </w:rPr>
        <w:t>Për sa më sipër, jemi të mendimit që gjykatat kanë zhvilluar proces jo të rregullt ligjor dhe vendimet e tyre duhet të ishin shfuqizuar si të papajtueshëm me Kushtetutën.</w:t>
      </w:r>
    </w:p>
    <w:p w:rsidR="006F4320" w:rsidRPr="00246387" w:rsidRDefault="006F4320" w:rsidP="006F4320">
      <w:pPr>
        <w:pStyle w:val="Paragrafi"/>
        <w:rPr>
          <w:lang w:val="sq-AL"/>
        </w:rPr>
      </w:pPr>
      <w:r>
        <w:rPr>
          <w:lang w:val="sq-AL"/>
        </w:rPr>
        <w:t>Anëtarë:</w:t>
      </w:r>
      <w:r w:rsidRPr="002B5A2C">
        <w:rPr>
          <w:lang w:val="sq-AL"/>
        </w:rPr>
        <w:t xml:space="preserve"> </w:t>
      </w:r>
      <w:r>
        <w:rPr>
          <w:lang w:val="sq-AL"/>
        </w:rPr>
        <w:t>Gj.</w:t>
      </w:r>
      <w:r w:rsidRPr="00246387">
        <w:rPr>
          <w:lang w:val="sq-AL"/>
        </w:rPr>
        <w:t>Sauli</w:t>
      </w:r>
      <w:r>
        <w:rPr>
          <w:lang w:val="sq-AL"/>
        </w:rPr>
        <w:t>,</w:t>
      </w:r>
      <w:r w:rsidRPr="00DA465F">
        <w:rPr>
          <w:lang w:val="sq-AL"/>
        </w:rPr>
        <w:t xml:space="preserve"> </w:t>
      </w:r>
      <w:r>
        <w:rPr>
          <w:lang w:val="sq-AL"/>
        </w:rPr>
        <w:t>K.</w:t>
      </w:r>
      <w:r w:rsidRPr="00246387">
        <w:rPr>
          <w:lang w:val="sq-AL"/>
        </w:rPr>
        <w:t>Puto</w:t>
      </w:r>
      <w:r>
        <w:rPr>
          <w:lang w:val="sq-AL"/>
        </w:rPr>
        <w:t>.</w:t>
      </w:r>
    </w:p>
    <w:p w:rsidR="006F4320" w:rsidRDefault="006F4320" w:rsidP="006F4320">
      <w:pPr>
        <w:pStyle w:val="Paragrafi"/>
        <w:rPr>
          <w:lang w:val="sq-AL"/>
        </w:rPr>
      </w:pPr>
    </w:p>
    <w:p w:rsidR="006F4320" w:rsidRDefault="006F4320" w:rsidP="006F4320">
      <w:pPr>
        <w:pStyle w:val="Paragrafi"/>
        <w:rPr>
          <w:lang w:val="sq-AL"/>
        </w:rPr>
      </w:pPr>
    </w:p>
    <w:p w:rsidR="006F4320" w:rsidRDefault="006F4320" w:rsidP="006F4320">
      <w:pPr>
        <w:pStyle w:val="Paragrafi"/>
        <w:rPr>
          <w:lang w:val="sq-AL"/>
        </w:rPr>
      </w:pPr>
    </w:p>
    <w:p w:rsidR="006F4320" w:rsidRDefault="006F4320" w:rsidP="006F4320">
      <w:pPr>
        <w:pStyle w:val="Paragrafi"/>
        <w:rPr>
          <w:lang w:val="sq-AL"/>
        </w:rPr>
      </w:pPr>
    </w:p>
    <w:p w:rsidR="000178C2" w:rsidRPr="006F4320" w:rsidRDefault="000178C2" w:rsidP="006F4320">
      <w:pPr>
        <w:pStyle w:val="Paragrafi"/>
        <w:rPr>
          <w:lang w:val="sq-AL"/>
        </w:rPr>
      </w:pPr>
    </w:p>
    <w:sectPr w:rsidR="000178C2" w:rsidRPr="006F4320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F4320"/>
    <w:rsid w:val="000178C2"/>
    <w:rsid w:val="006F4320"/>
    <w:rsid w:val="00A54B77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BC47AD1-1690-4236-8B70-75274D8BE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6F4320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6F432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6F4320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6F4320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6F4320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6F4320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TitulliTitull">
    <w:name w:val="Titulli_Titull"/>
    <w:rsid w:val="006F4320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F432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6F432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1476</Words>
  <Characters>8414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2019-04-03T13:22:00Z</dcterms:created>
  <dcterms:modified xsi:type="dcterms:W3CDTF">2019-04-03T13:22:00Z</dcterms:modified>
</cp:coreProperties>
</file>