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83F" w:rsidRDefault="00DD583F" w:rsidP="00DD583F">
      <w:pPr>
        <w:pStyle w:val="Akti"/>
        <w:keepNext w:val="0"/>
      </w:pPr>
      <w:bookmarkStart w:id="0" w:name="_GoBack"/>
      <w:bookmarkEnd w:id="0"/>
      <w:r w:rsidRPr="00246387">
        <w:t>VENDIM</w:t>
      </w:r>
    </w:p>
    <w:p w:rsidR="00DD583F" w:rsidRDefault="00DD583F" w:rsidP="00DD583F">
      <w:pPr>
        <w:pStyle w:val="NumriData"/>
        <w:keepNext w:val="0"/>
      </w:pPr>
      <w:r>
        <w:t>Nr.45, datë 26.12.2007</w:t>
      </w:r>
    </w:p>
    <w:p w:rsidR="00DD583F" w:rsidRPr="00353426" w:rsidRDefault="00DD583F" w:rsidP="00DD583F">
      <w:pPr>
        <w:pStyle w:val="Paragrafi"/>
        <w:rPr>
          <w:sz w:val="12"/>
          <w:lang w:val="sq-AL"/>
        </w:rPr>
      </w:pPr>
    </w:p>
    <w:p w:rsidR="00DD583F" w:rsidRPr="00246387" w:rsidRDefault="00DD583F" w:rsidP="00DD583F">
      <w:pPr>
        <w:pStyle w:val="Titulli"/>
        <w:keepNext w:val="0"/>
      </w:pPr>
      <w:r w:rsidRPr="00246387">
        <w:t>NË EMËR TË REPUBLIKËS SË SHQIPËRISË</w:t>
      </w:r>
    </w:p>
    <w:p w:rsidR="00DD583F" w:rsidRPr="00353426" w:rsidRDefault="00DD583F" w:rsidP="00DD583F">
      <w:pPr>
        <w:pStyle w:val="Paragrafi"/>
        <w:rPr>
          <w:sz w:val="16"/>
          <w:lang w:val="sq-AL"/>
        </w:rPr>
      </w:pPr>
    </w:p>
    <w:p w:rsidR="00DD583F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Gjykata Kushtetuese e Republikës së Shqipërisë, e përbërë nga:</w:t>
      </w:r>
    </w:p>
    <w:p w:rsidR="00DD583F" w:rsidRPr="00353426" w:rsidRDefault="00DD583F" w:rsidP="00DD583F">
      <w:pPr>
        <w:pStyle w:val="Paragrafi"/>
        <w:rPr>
          <w:sz w:val="16"/>
          <w:lang w:val="sq-AL"/>
        </w:rPr>
      </w:pPr>
    </w:p>
    <w:p w:rsidR="00DD583F" w:rsidRPr="00246387" w:rsidRDefault="00DD583F" w:rsidP="00DD583F">
      <w:pPr>
        <w:pStyle w:val="Paragrafi"/>
        <w:rPr>
          <w:lang w:val="sq-AL"/>
        </w:rPr>
      </w:pPr>
      <w:r>
        <w:rPr>
          <w:lang w:val="sq-AL"/>
        </w:rPr>
        <w:t>Vladimir Kristo</w:t>
      </w:r>
      <w:r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k</w:t>
      </w:r>
      <w:r w:rsidRPr="00246387">
        <w:rPr>
          <w:lang w:val="sq-AL"/>
        </w:rPr>
        <w:t>ryetar  i Gjykatës Kushtetuese</w:t>
      </w:r>
    </w:p>
    <w:p w:rsidR="00DD583F" w:rsidRPr="00246387" w:rsidRDefault="00DD583F" w:rsidP="00DD583F">
      <w:pPr>
        <w:pStyle w:val="Paragrafi"/>
        <w:rPr>
          <w:lang w:val="sq-AL"/>
        </w:rPr>
      </w:pPr>
      <w:r>
        <w:rPr>
          <w:lang w:val="sq-AL"/>
        </w:rPr>
        <w:t>Gjergj Sauli</w:t>
      </w:r>
      <w:r w:rsidRPr="00246387"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>nëtar   i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 xml:space="preserve">“ </w:t>
      </w:r>
      <w:r w:rsidRPr="00246387">
        <w:rPr>
          <w:lang w:val="sq-AL"/>
        </w:rPr>
        <w:tab/>
      </w:r>
    </w:p>
    <w:p w:rsidR="00DD583F" w:rsidRPr="00246387" w:rsidRDefault="00DD583F" w:rsidP="00DD583F">
      <w:pPr>
        <w:pStyle w:val="Paragrafi"/>
        <w:rPr>
          <w:lang w:val="sq-AL"/>
        </w:rPr>
      </w:pPr>
      <w:r>
        <w:rPr>
          <w:lang w:val="sq-AL"/>
        </w:rPr>
        <w:t>Fehmi Abdiu</w:t>
      </w:r>
      <w:r w:rsidRPr="00246387"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 xml:space="preserve">nëtar   i 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</w:r>
    </w:p>
    <w:p w:rsidR="00DD583F" w:rsidRPr="00246387" w:rsidRDefault="00DD583F" w:rsidP="00DD583F">
      <w:pPr>
        <w:pStyle w:val="Paragrafi"/>
        <w:rPr>
          <w:lang w:val="sq-AL"/>
        </w:rPr>
      </w:pPr>
      <w:r>
        <w:rPr>
          <w:lang w:val="sq-AL"/>
        </w:rPr>
        <w:t>Kristofor Peçi</w:t>
      </w:r>
      <w:r w:rsidRPr="00246387"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>nëtar   i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>“</w:t>
      </w:r>
    </w:p>
    <w:p w:rsidR="00DD583F" w:rsidRPr="00246387" w:rsidRDefault="00DD583F" w:rsidP="00DD583F">
      <w:pPr>
        <w:pStyle w:val="Paragrafi"/>
        <w:rPr>
          <w:lang w:val="sq-AL"/>
        </w:rPr>
      </w:pPr>
      <w:r>
        <w:rPr>
          <w:lang w:val="sq-AL"/>
        </w:rPr>
        <w:t>Xhezair Zaganjori</w:t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 xml:space="preserve">nëtar   i 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Petri</w:t>
      </w:r>
      <w:r>
        <w:rPr>
          <w:lang w:val="sq-AL"/>
        </w:rPr>
        <w:t>t Plloçi</w:t>
      </w:r>
      <w:r w:rsidRPr="00246387"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>nëtar   i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</w:r>
    </w:p>
    <w:p w:rsidR="00DD583F" w:rsidRPr="00246387" w:rsidRDefault="00DD583F" w:rsidP="00DD583F">
      <w:pPr>
        <w:pStyle w:val="Paragrafi"/>
        <w:rPr>
          <w:lang w:val="sq-AL"/>
        </w:rPr>
      </w:pPr>
      <w:r>
        <w:rPr>
          <w:lang w:val="sq-AL"/>
        </w:rPr>
        <w:t>Sokol Sadushi</w:t>
      </w:r>
      <w:r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>nëtar   i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</w:r>
    </w:p>
    <w:p w:rsidR="00DD583F" w:rsidRPr="00246387" w:rsidRDefault="00DD583F" w:rsidP="00DD583F">
      <w:pPr>
        <w:pStyle w:val="Paragrafi"/>
        <w:rPr>
          <w:lang w:val="sq-AL"/>
        </w:rPr>
      </w:pPr>
      <w:r>
        <w:rPr>
          <w:lang w:val="sq-AL"/>
        </w:rPr>
        <w:t>Sokol Berberi</w:t>
      </w:r>
      <w:r w:rsidRPr="00246387"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 xml:space="preserve">nëtar   i 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 xml:space="preserve">   </w:t>
      </w:r>
    </w:p>
    <w:p w:rsidR="00DD583F" w:rsidRPr="00246387" w:rsidRDefault="00DD583F" w:rsidP="00DD583F">
      <w:pPr>
        <w:pStyle w:val="Paragrafi"/>
        <w:rPr>
          <w:lang w:val="sq-AL"/>
        </w:rPr>
      </w:pPr>
      <w:r>
        <w:rPr>
          <w:lang w:val="sq-AL"/>
        </w:rPr>
        <w:t>Kujtim Puto</w:t>
      </w:r>
      <w:r w:rsidRPr="00246387"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 xml:space="preserve">nëtar   i 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</w:r>
    </w:p>
    <w:p w:rsidR="00DD583F" w:rsidRDefault="00DD583F" w:rsidP="00DD583F">
      <w:pPr>
        <w:pStyle w:val="Paragrafi"/>
        <w:rPr>
          <w:lang w:val="sq-AL"/>
        </w:rPr>
      </w:pPr>
    </w:p>
    <w:p w:rsidR="00DD583F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me sekretare Brunilda Bara, në datë 16.10.2007, mori në shqyrtim në seancë gjyqësore me dyer të hapura çështjen nr.43 Akti, që i përket: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KËRKUES: GJYKATA E RRETHIT GJYQËSOR SKRAPAR</w:t>
      </w:r>
      <w:r>
        <w:rPr>
          <w:lang w:val="sq-AL"/>
        </w:rPr>
        <w:t>.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SUBJEKTE T</w:t>
      </w:r>
      <w:r>
        <w:rPr>
          <w:lang w:val="sq-AL"/>
        </w:rPr>
        <w:t>Ë</w:t>
      </w:r>
      <w:r w:rsidRPr="00246387">
        <w:rPr>
          <w:lang w:val="sq-AL"/>
        </w:rPr>
        <w:t xml:space="preserve"> INTERESUARA:</w:t>
      </w:r>
    </w:p>
    <w:p w:rsidR="00DD583F" w:rsidRPr="00246387" w:rsidRDefault="00DD583F" w:rsidP="00DD583F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246387">
        <w:rPr>
          <w:lang w:val="sq-AL"/>
        </w:rPr>
        <w:t>KUVENDI I SHQIPËRISË, përfaqësuar nga Lulzim Lelçaj, me autorizim.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2. KËSHILLI I MINISTRAVE, përfaqësuar nga Enkelejd Alibeaj, me autorizim.</w:t>
      </w:r>
    </w:p>
    <w:p w:rsidR="00DD583F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OBJEKT</w:t>
      </w:r>
      <w:r>
        <w:rPr>
          <w:lang w:val="sq-AL"/>
        </w:rPr>
        <w:t xml:space="preserve">I: </w:t>
      </w:r>
      <w:r w:rsidRPr="00246387">
        <w:rPr>
          <w:lang w:val="sq-AL"/>
        </w:rPr>
        <w:t>Shfuqizimi</w:t>
      </w:r>
      <w:r>
        <w:rPr>
          <w:lang w:val="sq-AL"/>
        </w:rPr>
        <w:t xml:space="preserve"> si i</w:t>
      </w:r>
      <w:r w:rsidRPr="00246387">
        <w:rPr>
          <w:lang w:val="sq-AL"/>
        </w:rPr>
        <w:t xml:space="preserve"> papajtueshëm me Kushtetutën i nenit 17 pika 3 të ligjit nr.9235, datë 29.7.2004 “Për kthimin dhe kompensimin e pronës”, të ndryshuar.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Gjykata e Rrethit Gjyqësor Skrapar, duke u bazuar në nenin 145/2 të Kushtetutës, ka pezulluar shqyrt</w:t>
      </w:r>
      <w:r>
        <w:rPr>
          <w:lang w:val="sq-AL"/>
        </w:rPr>
        <w:t>imin e kërkesës së kërkuesit S.</w:t>
      </w:r>
      <w:r w:rsidRPr="00246387">
        <w:rPr>
          <w:lang w:val="sq-AL"/>
        </w:rPr>
        <w:t>H. për njohjen e faktit juridik të pronësisë dhe i ka kërkuar Gjykatës Kushtetuese shfuqizimin si të papajtueshëm me Kushtetutën të nenit 17/3 të ligjit nr.9235, datë 29.7.2004 “Për kthimin dhe kompensimin e pronës”, ndryshuar me ligjin nr.9583, datë 17.7.2006, që ndalon Agjencinë e Kthimit dhe Kompensimit të Pronave të trajtojë kërkesat që mbështeten vetëm në vendimet gjyqësore të vërtetimit të faktit juridik të pronësisë, duke parashtruar si më poshtë: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- Nenet 388 e vijues të Kodit të Procedurës Civile, vërtetimin e një fakti juridik e kushtëzojnë me interesin e veçantë që duhet të ketë kërkuesi;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- Neni 17/3 i ligjit “Për kthimin dhe kompensimin e pronës” nuk lejon vërtetimin e faktit të pronësisë me vendim gjykate, sepse prona nuk mund të kthehet vetëm me këto vendime.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Subjektet e interesuara kanë parashtruar: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- Dispozita e kundërshtuar për antikushtetutshmëri nuk ka lidhje të drejtpërdrejtë me zgjidhjen konkrete të çështjes;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- Gjykata e rrethit gjyqësor</w:t>
      </w:r>
      <w:r>
        <w:rPr>
          <w:lang w:val="sq-AL"/>
        </w:rPr>
        <w:t>,</w:t>
      </w:r>
      <w:r w:rsidRPr="00246387">
        <w:rPr>
          <w:lang w:val="sq-AL"/>
        </w:rPr>
        <w:t xml:space="preserve"> mund të pezullonte gjykimin dhe të kërkonte në Gjykatën Kushtetuese antikushtetutshmërinë e nenit 17/3 të ligjit “Për kthimin dhe kompensimin e pronës”</w:t>
      </w:r>
      <w:r>
        <w:rPr>
          <w:lang w:val="sq-AL"/>
        </w:rPr>
        <w:t>,</w:t>
      </w:r>
      <w:r w:rsidRPr="00246387">
        <w:rPr>
          <w:lang w:val="sq-AL"/>
        </w:rPr>
        <w:t xml:space="preserve"> vetëm pasi Agjencia e Kthimit dhe Kompensimit të Pronave t’i kthente përgjigje për mospranimin e kërkesës.  </w:t>
      </w:r>
    </w:p>
    <w:p w:rsidR="00DD583F" w:rsidRPr="00353426" w:rsidRDefault="00DD583F" w:rsidP="00DD583F">
      <w:pPr>
        <w:pStyle w:val="Paragrafi"/>
        <w:rPr>
          <w:sz w:val="16"/>
          <w:lang w:val="sq-AL"/>
        </w:rPr>
      </w:pPr>
    </w:p>
    <w:p w:rsidR="00DD583F" w:rsidRPr="00DD583F" w:rsidRDefault="00DD583F" w:rsidP="00DD583F">
      <w:pPr>
        <w:pStyle w:val="Institucioni"/>
        <w:keepNext w:val="0"/>
        <w:rPr>
          <w:lang w:val="sq-AL"/>
        </w:rPr>
      </w:pPr>
      <w:r w:rsidRPr="00DD583F">
        <w:rPr>
          <w:lang w:val="sq-AL"/>
        </w:rPr>
        <w:t>GJYKATA KUSHTETUESE,</w:t>
      </w:r>
    </w:p>
    <w:p w:rsidR="00DD583F" w:rsidRPr="00353426" w:rsidRDefault="00DD583F" w:rsidP="00DD583F">
      <w:pPr>
        <w:pStyle w:val="Paragrafi"/>
        <w:rPr>
          <w:sz w:val="16"/>
          <w:lang w:val="sq-AL"/>
        </w:rPr>
      </w:pP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pasi dëgjoi relatorin e çështjes Kujtim Puto</w:t>
      </w:r>
      <w:r>
        <w:rPr>
          <w:lang w:val="sq-AL"/>
        </w:rPr>
        <w:t>n</w:t>
      </w:r>
      <w:r w:rsidRPr="00246387">
        <w:rPr>
          <w:lang w:val="sq-AL"/>
        </w:rPr>
        <w:t>, përfaqësuesit e subjekteve të interesuara dhe pasi bisedoi çështjen në tërësi,</w:t>
      </w:r>
    </w:p>
    <w:p w:rsidR="00DD583F" w:rsidRPr="00246387" w:rsidRDefault="00DD583F" w:rsidP="00DD583F">
      <w:pPr>
        <w:pStyle w:val="Paragrafi"/>
        <w:rPr>
          <w:lang w:val="sq-AL"/>
        </w:rPr>
      </w:pPr>
    </w:p>
    <w:p w:rsidR="00DD583F" w:rsidRPr="00DD583F" w:rsidRDefault="00DD583F" w:rsidP="00DD583F">
      <w:pPr>
        <w:pStyle w:val="VENDOSI"/>
        <w:keepNext w:val="0"/>
        <w:rPr>
          <w:lang w:val="sq-AL"/>
        </w:rPr>
      </w:pPr>
      <w:r w:rsidRPr="00DD583F">
        <w:rPr>
          <w:lang w:val="sq-AL"/>
        </w:rPr>
        <w:t>VËREN: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ab/>
      </w:r>
    </w:p>
    <w:p w:rsidR="00DD583F" w:rsidRPr="00246387" w:rsidRDefault="00DD583F" w:rsidP="00DD583F">
      <w:pPr>
        <w:pStyle w:val="Paragrafi"/>
        <w:rPr>
          <w:lang w:val="sq-AL"/>
        </w:rPr>
      </w:pPr>
      <w:r>
        <w:rPr>
          <w:lang w:val="sq-AL"/>
        </w:rPr>
        <w:t>Qytetari S.</w:t>
      </w:r>
      <w:r w:rsidRPr="00246387">
        <w:rPr>
          <w:lang w:val="sq-AL"/>
        </w:rPr>
        <w:t>H. ka kërkuar në ish-Gjykatën e Rrethit Gjyqësor Skrapar njohjen e faktit juridik të pronësisë së tij të para vitit 1945, mbi një sipërfaqe prej 120 ha pyje e kullotë, në fshatin Vërzhezhë të Komunës Qendër Skrapar. Meqenëse mungonin dokumentet e pronësisë, kërkesën ai e bazon në nenin 388 të Kodit të Procedurës Civile, që ka të bëjë me vërtetimet gjyqësore të fakteve.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Bazuar në nenet 388 e 389/1 të Kodit të Procedurës Civile, gjykata e rrethit gjyqësor arsyeton se për vërtetimin e faktit juridik</w:t>
      </w:r>
      <w:r>
        <w:rPr>
          <w:lang w:val="sq-AL"/>
        </w:rPr>
        <w:t>,</w:t>
      </w:r>
      <w:r w:rsidRPr="00246387">
        <w:rPr>
          <w:lang w:val="sq-AL"/>
        </w:rPr>
        <w:t xml:space="preserve"> është e domosdoshme që paditësi të tregojë interes për vërtetimin </w:t>
      </w:r>
      <w:r w:rsidRPr="00246387">
        <w:rPr>
          <w:lang w:val="sq-AL"/>
        </w:rPr>
        <w:lastRenderedPageBreak/>
        <w:t>gjyqësisht të këtij fakti. Ky interes, pra kthimi i pronës nga Agjencia e Kthimit dhe Kompensimit të Pronës, nuk mund të arrihet dhe</w:t>
      </w:r>
      <w:r>
        <w:rPr>
          <w:lang w:val="sq-AL"/>
        </w:rPr>
        <w:t>,</w:t>
      </w:r>
      <w:r w:rsidRPr="00246387">
        <w:rPr>
          <w:lang w:val="sq-AL"/>
        </w:rPr>
        <w:t xml:space="preserve"> si rrjedhojë, gjykata nuk mund të vërtetojë faktin e pronësisë përderisa neni 17/3 i ligjit nr.9235, datë 27.7.2006 “Për kthimin dhe kompensimin e pronës”, i ndryshuar, ndalon Agjencinë e mësipërme të trajtojë kërkesat për njohje dhe kthim pronësie</w:t>
      </w:r>
      <w:r>
        <w:rPr>
          <w:lang w:val="sq-AL"/>
        </w:rPr>
        <w:t>,</w:t>
      </w:r>
      <w:r w:rsidRPr="00246387">
        <w:rPr>
          <w:lang w:val="sq-AL"/>
        </w:rPr>
        <w:t xml:space="preserve"> kur mbështeten vetëm në vendimet gjyqësore të vërtetimit të faktit juridik, sipas nenit 388 të Kodit të Procedurës Civile.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Duke u nisur nga rregulli i mësipërm gjykata e rrethit gjyqësor, bazuar në nenin 145/2 të Kushtetutës, ka pezulluar shqyrtimin e çështjes për vërtetimin e faktit të pronësisë dhe i ka kërkuar Gjykatës Kushtetuese të shprehet për papajtueshmërinë me Kushtetutën të nenit 17/3 të ligjit “Për kthimin dhe kompensimin e pronës”.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Në çështjen në shqyrtim, Gjykata Kushtetuese çmon se duhet të shqyrtojë paraprakisht problemet që kanë të bëjnë me aspektin procedural të kërkesës e pikërisht për lidhjen midis dispozitës së kundërshtuar dhe objektit të çështjes për gjykim në gjykatën e rrethit.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 xml:space="preserve">Neni 145/2 i Kushtetutës e kushtëzon vënien në lëvizje të Gjykatës Kushtetuese nga gjyqtarët e sistemit gjyqësor, vetëm për rastet e lidhjes së drejtpërdrejtë midis çështjes objekt shqyrtimi gjyqësor dhe ligjit që kundërshtohet dhe u ka dhënë të drejtë atyre të vënë në lëvizje Gjykatën Kushtetuese jo për çdo ligj, por vetëm për ato ligje që ata duhet të zbatojnë për zgjidhjen e çështjes. Ky kushtëzim është shprehur dhe në nenin 68 të ligjit nr.8577, datë 10.2.2000 “Për organizimin dhe funksionimin e Gjykatës Kushtetuese të Republikës së Shqipërisë”, në të cilin përcaktohet se e drejta e mësipërme e gjyqtarëve kërkon jo vetëm vlerësimin prej tyre që ligji të jetë antikushtetues, por të ketë dhe lidhje të drejtpërdrejtë midis ligjit që kundërshtohet dhe zgjidhjes së çështjes konkrete.   </w:t>
      </w:r>
      <w:r w:rsidRPr="00246387">
        <w:rPr>
          <w:lang w:val="sq-AL"/>
        </w:rPr>
        <w:tab/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Gjykata e Rrethit Gjyqësor Skrapar kërkon shfuqizimin e nenit 17, pika 3 të ligjit “Për kthimin dhe kompensimin e pronës”, sipas të cilit Agjencisë së Kthimit dhe Kompensimit të Pronave i ndalohet të trajtojë kërkesat e ish-pronarëve</w:t>
      </w:r>
      <w:r>
        <w:rPr>
          <w:lang w:val="sq-AL"/>
        </w:rPr>
        <w:t>,</w:t>
      </w:r>
      <w:r w:rsidRPr="00246387">
        <w:rPr>
          <w:lang w:val="sq-AL"/>
        </w:rPr>
        <w:t xml:space="preserve"> nëse i mbështesin pretendimet e tyre për pronësi vetëm në një vendim gjyqësor për vërtetimin e këtij fakti, në kuptim të nenit 388 të Kodit të Procedurës Civile. Kjo do të thotë se, Agjencisë së Kthimit dh</w:t>
      </w:r>
      <w:r>
        <w:rPr>
          <w:lang w:val="sq-AL"/>
        </w:rPr>
        <w:t>e Kompensimit të Pronave</w:t>
      </w:r>
      <w:r w:rsidRPr="00246387">
        <w:rPr>
          <w:lang w:val="sq-AL"/>
        </w:rPr>
        <w:t xml:space="preserve"> dhe jo gjykatës, i ndalohet t’i trajtojë këto kërkesa individuale pa qenë të mbështetura në dokumente të tjera shkresore. Nga ana tjetër, ky rregullim i dispozitës objekt shqyrtimi nuk e pengon individin t’i drejtohet gjykatës për të shqyrtuar kërkesën për vërtetim fakti të pronësisë. Duke qëndruar çështja si më sipër, Gjykata Kushtetuese arriti në përfundimin se mungon lidhja e drejtpërdrejtë midis zgjidhjes së çështjes konkrete dhe ligjit që kundërshtohet për antikushtetutshmëri. Si rrjedhojë, çështja nuk mund të bëhet objekt shqyrtimi në Gjykatën Kushtetuese.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ab/>
        <w:t xml:space="preserve"> </w:t>
      </w:r>
    </w:p>
    <w:p w:rsidR="00DD583F" w:rsidRPr="00DD583F" w:rsidRDefault="00DD583F" w:rsidP="00DD583F">
      <w:pPr>
        <w:pStyle w:val="VENDOSI"/>
        <w:keepNext w:val="0"/>
        <w:rPr>
          <w:lang w:val="sq-AL"/>
        </w:rPr>
      </w:pPr>
      <w:r w:rsidRPr="00DD583F">
        <w:rPr>
          <w:lang w:val="sq-AL"/>
        </w:rPr>
        <w:t>PËR KËTO ARSYE,</w:t>
      </w:r>
    </w:p>
    <w:p w:rsidR="00DD583F" w:rsidRPr="00246387" w:rsidRDefault="00DD583F" w:rsidP="00DD583F">
      <w:pPr>
        <w:pStyle w:val="Paragrafi"/>
        <w:rPr>
          <w:lang w:val="sq-AL"/>
        </w:rPr>
      </w:pP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Gjykata Kushtetuese e Republikës së Shqipërisë, në mbështetje të nenit 72 të ligjit nr.8577, datë 10.2.2000 “Për organizimin dhe funksionimin e Gjykatës Kushtetuese të Republikës së Shqipërisë”, me shumicë votash,</w:t>
      </w:r>
    </w:p>
    <w:p w:rsidR="00DD583F" w:rsidRPr="00246387" w:rsidRDefault="00DD583F" w:rsidP="00DD583F">
      <w:pPr>
        <w:pStyle w:val="Paragrafi"/>
        <w:rPr>
          <w:lang w:val="sq-AL"/>
        </w:rPr>
      </w:pPr>
    </w:p>
    <w:p w:rsidR="00DD583F" w:rsidRPr="00DD583F" w:rsidRDefault="00DD583F" w:rsidP="00DD583F">
      <w:pPr>
        <w:pStyle w:val="VENDOSI"/>
        <w:keepNext w:val="0"/>
        <w:rPr>
          <w:lang w:val="sq-AL"/>
        </w:rPr>
      </w:pPr>
      <w:r w:rsidRPr="00DD583F">
        <w:rPr>
          <w:lang w:val="sq-AL"/>
        </w:rPr>
        <w:t>VENDOSI:</w:t>
      </w:r>
    </w:p>
    <w:p w:rsidR="00DD583F" w:rsidRPr="00246387" w:rsidRDefault="00DD583F" w:rsidP="00DD583F">
      <w:pPr>
        <w:pStyle w:val="Paragrafi"/>
        <w:rPr>
          <w:lang w:val="sq-AL"/>
        </w:rPr>
      </w:pP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- Rrëzimin e kërkesës</w:t>
      </w:r>
      <w:r>
        <w:rPr>
          <w:lang w:val="sq-AL"/>
        </w:rPr>
        <w:t>.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Ky vendim është përfundimtar, i formës së prerë dhe hyn në fuqi ditën e botimit në Fletoren Zyrtare.</w:t>
      </w:r>
    </w:p>
    <w:p w:rsidR="00DD583F" w:rsidRDefault="00DD583F" w:rsidP="00DD583F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Anëtarë pro: V.</w:t>
      </w:r>
      <w:r w:rsidRPr="003D5C1C">
        <w:rPr>
          <w:szCs w:val="22"/>
          <w:lang w:val="sq-AL"/>
        </w:rPr>
        <w:t xml:space="preserve">Kristo </w:t>
      </w:r>
      <w:r>
        <w:rPr>
          <w:szCs w:val="22"/>
          <w:lang w:val="sq-AL"/>
        </w:rPr>
        <w:t>(kryetar),</w:t>
      </w:r>
      <w:r w:rsidRPr="0087261B">
        <w:rPr>
          <w:szCs w:val="22"/>
          <w:lang w:val="sq-AL"/>
        </w:rPr>
        <w:t xml:space="preserve"> </w:t>
      </w:r>
      <w:r>
        <w:rPr>
          <w:lang w:val="sq-AL"/>
        </w:rPr>
        <w:t>F.</w:t>
      </w:r>
      <w:r w:rsidRPr="00246387">
        <w:rPr>
          <w:lang w:val="sq-AL"/>
        </w:rPr>
        <w:t>Abdiu</w:t>
      </w:r>
      <w:r>
        <w:rPr>
          <w:lang w:val="sq-AL"/>
        </w:rPr>
        <w:t>, Xh.</w:t>
      </w:r>
      <w:r w:rsidRPr="00246387">
        <w:rPr>
          <w:lang w:val="sq-AL"/>
        </w:rPr>
        <w:t>Zaganjori</w:t>
      </w:r>
      <w:r>
        <w:rPr>
          <w:lang w:val="sq-AL"/>
        </w:rPr>
        <w:t>,</w:t>
      </w:r>
      <w:r w:rsidRPr="002048FE">
        <w:rPr>
          <w:lang w:val="sq-AL"/>
        </w:rPr>
        <w:t xml:space="preserve"> </w:t>
      </w:r>
      <w:r>
        <w:rPr>
          <w:lang w:val="sq-AL"/>
        </w:rPr>
        <w:t>K.</w:t>
      </w:r>
      <w:r w:rsidRPr="00246387">
        <w:rPr>
          <w:lang w:val="sq-AL"/>
        </w:rPr>
        <w:t>Peçi</w:t>
      </w:r>
      <w:r>
        <w:rPr>
          <w:lang w:val="sq-AL"/>
        </w:rPr>
        <w:t>, S.</w:t>
      </w:r>
      <w:r w:rsidRPr="00246387">
        <w:rPr>
          <w:lang w:val="sq-AL"/>
        </w:rPr>
        <w:t>Berberi</w:t>
      </w:r>
      <w:r>
        <w:rPr>
          <w:lang w:val="sq-AL"/>
        </w:rPr>
        <w:t>,</w:t>
      </w:r>
      <w:r w:rsidRPr="002048FE">
        <w:rPr>
          <w:lang w:val="sq-AL"/>
        </w:rPr>
        <w:t xml:space="preserve"> </w:t>
      </w:r>
      <w:r>
        <w:rPr>
          <w:lang w:val="sq-AL"/>
        </w:rPr>
        <w:t>S.</w:t>
      </w:r>
      <w:r w:rsidRPr="00246387">
        <w:rPr>
          <w:lang w:val="sq-AL"/>
        </w:rPr>
        <w:t>Sadushi</w:t>
      </w:r>
      <w:r>
        <w:rPr>
          <w:lang w:val="sq-AL"/>
        </w:rPr>
        <w:t>.</w:t>
      </w:r>
    </w:p>
    <w:p w:rsidR="00DD583F" w:rsidRDefault="00DD583F" w:rsidP="00DD583F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Anëtarë kundër:</w:t>
      </w:r>
      <w:r w:rsidRPr="002048FE">
        <w:rPr>
          <w:lang w:val="sq-AL"/>
        </w:rPr>
        <w:t xml:space="preserve"> </w:t>
      </w:r>
      <w:r>
        <w:rPr>
          <w:lang w:val="sq-AL"/>
        </w:rPr>
        <w:t>Gj.</w:t>
      </w:r>
      <w:r w:rsidRPr="00246387">
        <w:rPr>
          <w:lang w:val="sq-AL"/>
        </w:rPr>
        <w:t>Sauli</w:t>
      </w:r>
      <w:r>
        <w:rPr>
          <w:lang w:val="sq-AL"/>
        </w:rPr>
        <w:t>,</w:t>
      </w:r>
      <w:r w:rsidRPr="002048FE">
        <w:rPr>
          <w:lang w:val="sq-AL"/>
        </w:rPr>
        <w:t xml:space="preserve"> </w:t>
      </w:r>
      <w:r>
        <w:rPr>
          <w:lang w:val="sq-AL"/>
        </w:rPr>
        <w:t>K.</w:t>
      </w:r>
      <w:r w:rsidRPr="00246387">
        <w:rPr>
          <w:lang w:val="sq-AL"/>
        </w:rPr>
        <w:t>Puto</w:t>
      </w:r>
      <w:r>
        <w:rPr>
          <w:lang w:val="sq-AL"/>
        </w:rPr>
        <w:t>,</w:t>
      </w:r>
      <w:r w:rsidRPr="002D6341">
        <w:rPr>
          <w:lang w:val="sq-AL"/>
        </w:rPr>
        <w:t xml:space="preserve"> </w:t>
      </w:r>
      <w:r>
        <w:rPr>
          <w:lang w:val="sq-AL"/>
        </w:rPr>
        <w:t>P.</w:t>
      </w:r>
      <w:r w:rsidRPr="00246387">
        <w:rPr>
          <w:lang w:val="sq-AL"/>
        </w:rPr>
        <w:t>Plloçi</w:t>
      </w:r>
      <w:r>
        <w:rPr>
          <w:szCs w:val="22"/>
          <w:lang w:val="sq-AL"/>
        </w:rPr>
        <w:t>.</w:t>
      </w:r>
    </w:p>
    <w:p w:rsidR="00DD583F" w:rsidRDefault="00DD583F" w:rsidP="00DD583F">
      <w:pPr>
        <w:pStyle w:val="Paragrafi"/>
        <w:rPr>
          <w:lang w:val="sq-AL"/>
        </w:rPr>
      </w:pPr>
    </w:p>
    <w:p w:rsidR="00DD583F" w:rsidRDefault="00DD583F" w:rsidP="00DD583F">
      <w:pPr>
        <w:pStyle w:val="Paragrafi"/>
        <w:rPr>
          <w:lang w:val="sq-AL"/>
        </w:rPr>
      </w:pPr>
    </w:p>
    <w:p w:rsidR="00DD583F" w:rsidRDefault="00DD583F" w:rsidP="00DD583F">
      <w:pPr>
        <w:pStyle w:val="Paragrafi"/>
        <w:rPr>
          <w:lang w:val="sq-AL"/>
        </w:rPr>
      </w:pPr>
    </w:p>
    <w:p w:rsidR="00DD583F" w:rsidRPr="00246387" w:rsidRDefault="00DD583F" w:rsidP="00DD583F">
      <w:pPr>
        <w:pStyle w:val="Paragrafi"/>
        <w:rPr>
          <w:lang w:val="sq-AL"/>
        </w:rPr>
      </w:pPr>
    </w:p>
    <w:p w:rsidR="00DD583F" w:rsidRPr="00DD583F" w:rsidRDefault="00DD583F" w:rsidP="00DD583F">
      <w:pPr>
        <w:pStyle w:val="TitulliTitull"/>
        <w:keepNext w:val="0"/>
        <w:rPr>
          <w:lang w:val="sq-AL"/>
        </w:rPr>
      </w:pPr>
      <w:r w:rsidRPr="00DD583F">
        <w:rPr>
          <w:lang w:val="sq-AL"/>
        </w:rPr>
        <w:t>MENDIMI I PAKICËS</w:t>
      </w:r>
    </w:p>
    <w:p w:rsidR="00DD583F" w:rsidRPr="00246387" w:rsidRDefault="00DD583F" w:rsidP="00DD583F">
      <w:pPr>
        <w:pStyle w:val="Paragrafi"/>
        <w:rPr>
          <w:lang w:val="sq-AL"/>
        </w:rPr>
      </w:pP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Nuk jemi dakord me mendimin e shumicës për rrëzimin e kërkesës së ish</w:t>
      </w:r>
      <w:r>
        <w:rPr>
          <w:lang w:val="sq-AL"/>
        </w:rPr>
        <w:t>-</w:t>
      </w:r>
      <w:r w:rsidRPr="00246387">
        <w:rPr>
          <w:lang w:val="sq-AL"/>
        </w:rPr>
        <w:t>Gjykatës së Rrethit Skrapar, sepse kjo e fundit legjitimohet të vërë në lëvizje Gjykatën Kushtetuese për shfuqizimin si të papajtueshëm me Kushtetutën të nenit 1</w:t>
      </w:r>
      <w:r>
        <w:rPr>
          <w:lang w:val="sq-AL"/>
        </w:rPr>
        <w:t>7/3 të ligjit nr.</w:t>
      </w:r>
      <w:r w:rsidRPr="00246387">
        <w:rPr>
          <w:lang w:val="sq-AL"/>
        </w:rPr>
        <w:t xml:space="preserve">9235, datë 29.7.2004 “Për Kthimin dhe </w:t>
      </w:r>
      <w:r w:rsidRPr="00246387">
        <w:rPr>
          <w:lang w:val="sq-AL"/>
        </w:rPr>
        <w:lastRenderedPageBreak/>
        <w:t>Kompensimin e Pronës”, të ndryshuar.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Gjykata e Rrethit Gjyqësor Skrapar, bazuar në nenin 388 e vijues të Kodit të Procedurës Civile, ka pranuar për shqyrtim kërkesën e një qytetari me objekt vërtetimin e ish</w:t>
      </w:r>
      <w:r>
        <w:rPr>
          <w:lang w:val="sq-AL"/>
        </w:rPr>
        <w:t>-</w:t>
      </w:r>
      <w:r w:rsidRPr="00246387">
        <w:rPr>
          <w:lang w:val="sq-AL"/>
        </w:rPr>
        <w:t>pronësisë mbi një sipërfaqe toke, për të cilën nuk kishte dokumente pronësie. Dispozitat e lartpërmendura të Kodit të Procedurës Civile kushtëzojnë pranimin e kërkesës me vërtetimin e interesit të tij për këtë çështj</w:t>
      </w:r>
      <w:r>
        <w:rPr>
          <w:lang w:val="sq-AL"/>
        </w:rPr>
        <w:t>e</w:t>
      </w:r>
      <w:r w:rsidRPr="00246387">
        <w:rPr>
          <w:lang w:val="sq-AL"/>
        </w:rPr>
        <w:t xml:space="preserve"> d.m.th. me lindjen, ndryshimin ose shuarjen e të drejtave dhe detyrimeve personale ose pasurore. Në zbatim të këtyre kërkesave, qytetari në gjykatën e rrethit ka dëshmuar se vërtetimi i mësipërm i faktit të pronësisë i nevojitet për të kërkuar kthimin e kësaj prone nga Agjencia e Kthimit dhe Kompensimit të Pronave. Por, pavarësisht nga sa më sipër, vetë neni 17/3 i ligjit </w:t>
      </w:r>
      <w:r>
        <w:rPr>
          <w:lang w:val="sq-AL"/>
        </w:rPr>
        <w:t>nr.</w:t>
      </w:r>
      <w:r w:rsidRPr="00246387">
        <w:rPr>
          <w:lang w:val="sq-AL"/>
        </w:rPr>
        <w:t>9235, datë 29.7.2004 “Për kthimin dhe kompensimin e pronës”, i ndryshuar, e ndalon Agjencinë t’u kthejë pronat ish</w:t>
      </w:r>
      <w:r>
        <w:rPr>
          <w:lang w:val="sq-AL"/>
        </w:rPr>
        <w:t>-</w:t>
      </w:r>
      <w:r w:rsidRPr="00246387">
        <w:rPr>
          <w:lang w:val="sq-AL"/>
        </w:rPr>
        <w:t>pronarëve</w:t>
      </w:r>
      <w:r>
        <w:rPr>
          <w:lang w:val="sq-AL"/>
        </w:rPr>
        <w:t>,</w:t>
      </w:r>
      <w:r w:rsidRPr="00246387">
        <w:rPr>
          <w:lang w:val="sq-AL"/>
        </w:rPr>
        <w:t xml:space="preserve"> në rastet kur pretendimet e tyre për pronësi i mbështesin vetëm në vendimet gjyqësore të vërtetimit të faktit. Në këto kushte gjykata, për të vërtetuar interesin në kuptim të nenit 338 të Kodit të Procedurës Civile, është e detyruar të verifikojë lidhjen që ekziston midis kërkesës për vërtetim fakti dhe ligjit për kthimin dhe kompensimin e pronës, lidhje kjo që është e drejtpërdrejtë në kuptim të nenit 68 të ligjit nr.8577, datë 10.2.2000 “Për Organizimin dhe funksionimin e Gjykatës Kushtetuese të Republikës së Shqipërisë”.</w:t>
      </w:r>
    </w:p>
    <w:p w:rsidR="00DD583F" w:rsidRPr="00246387" w:rsidRDefault="00DD583F" w:rsidP="00DD583F">
      <w:pPr>
        <w:pStyle w:val="Paragrafi"/>
        <w:rPr>
          <w:lang w:val="sq-AL"/>
        </w:rPr>
      </w:pPr>
      <w:r w:rsidRPr="00246387">
        <w:rPr>
          <w:lang w:val="sq-AL"/>
        </w:rPr>
        <w:t>Duke u nisur nga sa më sipër, në kundërshtim me qëndrimin e shumicës, jemi të mendimit që dispozita objekt shqyrtimi, nëse vjen në kundërshtim me Kushtetutën, e cenon</w:t>
      </w:r>
      <w:r>
        <w:rPr>
          <w:lang w:val="sq-AL"/>
        </w:rPr>
        <w:t xml:space="preserve"> të drejtën e aks</w:t>
      </w:r>
      <w:r w:rsidRPr="00246387">
        <w:rPr>
          <w:lang w:val="sq-AL"/>
        </w:rPr>
        <w:t>esit në gjykatë të individëve dhe e bën procesin gjyqësor për vërtetimin e faktit juridik të pronës të parregullt në kuptimin kushtetues. Prandaj, gjykata e sistemit gjyqësor legjitimohet ta vërë në lëvizje Gjykatën Kushtetuese dhe kj</w:t>
      </w:r>
      <w:r>
        <w:rPr>
          <w:lang w:val="sq-AL"/>
        </w:rPr>
        <w:t>o e fundit ka juridiksion për ta</w:t>
      </w:r>
      <w:r w:rsidRPr="00246387">
        <w:rPr>
          <w:lang w:val="sq-AL"/>
        </w:rPr>
        <w:t xml:space="preserve"> shqyrtuar kërkesën e asaj gjykate për shfuqizimin e nenit 17/3 të ligjit nr.9235, datë 29.7.2004 “Për kthimin dhe kompensimin e pronës”, i ndryshuar.</w:t>
      </w:r>
    </w:p>
    <w:p w:rsidR="00DD583F" w:rsidRDefault="00DD583F" w:rsidP="00DD583F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Anëtarë:</w:t>
      </w:r>
      <w:r w:rsidRPr="002048FE">
        <w:rPr>
          <w:lang w:val="sq-AL"/>
        </w:rPr>
        <w:t xml:space="preserve"> </w:t>
      </w:r>
      <w:r>
        <w:rPr>
          <w:lang w:val="sq-AL"/>
        </w:rPr>
        <w:t>Gj.</w:t>
      </w:r>
      <w:r w:rsidRPr="00246387">
        <w:rPr>
          <w:lang w:val="sq-AL"/>
        </w:rPr>
        <w:t>Sauli</w:t>
      </w:r>
      <w:r>
        <w:rPr>
          <w:lang w:val="sq-AL"/>
        </w:rPr>
        <w:t>,</w:t>
      </w:r>
      <w:r w:rsidRPr="002048FE">
        <w:rPr>
          <w:lang w:val="sq-AL"/>
        </w:rPr>
        <w:t xml:space="preserve"> </w:t>
      </w:r>
      <w:r>
        <w:rPr>
          <w:lang w:val="sq-AL"/>
        </w:rPr>
        <w:t>K.</w:t>
      </w:r>
      <w:r w:rsidRPr="00246387">
        <w:rPr>
          <w:lang w:val="sq-AL"/>
        </w:rPr>
        <w:t>Puto</w:t>
      </w:r>
      <w:r>
        <w:rPr>
          <w:lang w:val="sq-AL"/>
        </w:rPr>
        <w:t>,</w:t>
      </w:r>
      <w:r w:rsidRPr="002D6341">
        <w:rPr>
          <w:lang w:val="sq-AL"/>
        </w:rPr>
        <w:t xml:space="preserve"> </w:t>
      </w:r>
      <w:r>
        <w:rPr>
          <w:lang w:val="sq-AL"/>
        </w:rPr>
        <w:t>P.</w:t>
      </w:r>
      <w:r w:rsidRPr="00246387">
        <w:rPr>
          <w:lang w:val="sq-AL"/>
        </w:rPr>
        <w:t>Plloçi</w:t>
      </w:r>
      <w:r>
        <w:rPr>
          <w:szCs w:val="22"/>
          <w:lang w:val="sq-AL"/>
        </w:rPr>
        <w:t>.</w:t>
      </w:r>
    </w:p>
    <w:p w:rsidR="000178C2" w:rsidRPr="00DD583F" w:rsidRDefault="000178C2" w:rsidP="00DD583F">
      <w:pPr>
        <w:pStyle w:val="Paragrafi"/>
        <w:rPr>
          <w:lang w:val="sq-AL"/>
        </w:rPr>
      </w:pPr>
    </w:p>
    <w:sectPr w:rsidR="000178C2" w:rsidRPr="00DD583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583F"/>
    <w:rsid w:val="000178C2"/>
    <w:rsid w:val="00737DA6"/>
    <w:rsid w:val="00C84B66"/>
    <w:rsid w:val="00DD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11DBB8-0E40-49EB-91D7-399EBB58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D58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DD583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DD583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DD583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D58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DD583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DD58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D583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DD583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