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227E" w:rsidRPr="00B17489" w:rsidRDefault="00E5227E" w:rsidP="00E5227E">
      <w:pPr>
        <w:pStyle w:val="Akti"/>
        <w:keepNext w:val="0"/>
        <w:rPr>
          <w:sz w:val="21"/>
          <w:szCs w:val="21"/>
          <w:lang w:val="sq-AL"/>
        </w:rPr>
      </w:pPr>
      <w:bookmarkStart w:id="0" w:name="_GoBack"/>
      <w:bookmarkEnd w:id="0"/>
      <w:r w:rsidRPr="00B17489">
        <w:rPr>
          <w:sz w:val="21"/>
          <w:szCs w:val="21"/>
          <w:lang w:val="sq-AL"/>
        </w:rPr>
        <w:t>VENDIM</w:t>
      </w:r>
    </w:p>
    <w:p w:rsidR="00E5227E" w:rsidRPr="00B17489" w:rsidRDefault="00E5227E" w:rsidP="00E5227E">
      <w:pPr>
        <w:pStyle w:val="NumriData"/>
        <w:keepNext w:val="0"/>
        <w:rPr>
          <w:sz w:val="21"/>
          <w:szCs w:val="21"/>
          <w:lang w:val="sq-AL"/>
        </w:rPr>
      </w:pPr>
      <w:r w:rsidRPr="00B17489">
        <w:rPr>
          <w:sz w:val="21"/>
          <w:szCs w:val="21"/>
          <w:lang w:val="sq-AL"/>
        </w:rPr>
        <w:t>Nr.2, datë 5.2.2008</w:t>
      </w:r>
    </w:p>
    <w:p w:rsidR="00E5227E" w:rsidRPr="00B17489" w:rsidRDefault="00E5227E" w:rsidP="00E5227E">
      <w:pPr>
        <w:pStyle w:val="Paragrafi"/>
        <w:rPr>
          <w:sz w:val="21"/>
          <w:szCs w:val="21"/>
          <w:lang w:val="sq-AL"/>
        </w:rPr>
      </w:pPr>
    </w:p>
    <w:p w:rsidR="00E5227E" w:rsidRPr="00B17489" w:rsidRDefault="00E5227E" w:rsidP="00E5227E">
      <w:pPr>
        <w:pStyle w:val="Titulli"/>
        <w:keepNext w:val="0"/>
        <w:rPr>
          <w:sz w:val="21"/>
          <w:szCs w:val="21"/>
          <w:lang w:val="sq-AL"/>
        </w:rPr>
      </w:pPr>
      <w:r w:rsidRPr="00B17489">
        <w:rPr>
          <w:sz w:val="21"/>
          <w:szCs w:val="21"/>
          <w:lang w:val="sq-AL"/>
        </w:rPr>
        <w:t>NË EMËR TË REPUBLIKËS SË SHQIPËRISË</w:t>
      </w:r>
    </w:p>
    <w:p w:rsidR="00E5227E" w:rsidRPr="00B17489" w:rsidRDefault="00E5227E" w:rsidP="00E5227E">
      <w:pPr>
        <w:pStyle w:val="Paragrafi"/>
        <w:rPr>
          <w:sz w:val="21"/>
          <w:szCs w:val="21"/>
          <w:lang w:val="sq-AL"/>
        </w:rPr>
      </w:pPr>
    </w:p>
    <w:p w:rsidR="00E5227E" w:rsidRPr="00B17489" w:rsidRDefault="00E5227E" w:rsidP="00E5227E">
      <w:pPr>
        <w:pStyle w:val="Paragrafi"/>
        <w:rPr>
          <w:sz w:val="21"/>
          <w:szCs w:val="21"/>
          <w:lang w:val="sq-AL"/>
        </w:rPr>
      </w:pPr>
      <w:r w:rsidRPr="00B17489">
        <w:rPr>
          <w:sz w:val="21"/>
          <w:szCs w:val="21"/>
          <w:lang w:val="sq-AL"/>
        </w:rPr>
        <w:t>Gjykata Kushtetuese e Republikës së Shqipërisë, e përbërë nga:</w:t>
      </w:r>
    </w:p>
    <w:p w:rsidR="00E5227E" w:rsidRPr="00B17489" w:rsidRDefault="00E5227E" w:rsidP="00E5227E">
      <w:pPr>
        <w:pStyle w:val="Paragrafi"/>
        <w:rPr>
          <w:sz w:val="21"/>
          <w:szCs w:val="21"/>
          <w:lang w:val="sq-AL"/>
        </w:rPr>
      </w:pPr>
    </w:p>
    <w:p w:rsidR="00E5227E" w:rsidRPr="00E5227E" w:rsidRDefault="00E5227E" w:rsidP="00E5227E">
      <w:pPr>
        <w:pStyle w:val="Paragrafi"/>
        <w:rPr>
          <w:sz w:val="21"/>
          <w:szCs w:val="21"/>
          <w:lang w:val="sq-AL"/>
        </w:rPr>
      </w:pPr>
      <w:r w:rsidRPr="00E5227E">
        <w:rPr>
          <w:sz w:val="21"/>
          <w:szCs w:val="21"/>
          <w:lang w:val="sq-AL"/>
        </w:rPr>
        <w:t>Vladimir Kristo</w:t>
      </w:r>
      <w:r w:rsidRPr="00E5227E">
        <w:rPr>
          <w:sz w:val="21"/>
          <w:szCs w:val="21"/>
          <w:lang w:val="sq-AL"/>
        </w:rPr>
        <w:tab/>
      </w:r>
      <w:r w:rsidRPr="00E5227E">
        <w:rPr>
          <w:sz w:val="21"/>
          <w:szCs w:val="21"/>
          <w:lang w:val="sq-AL"/>
        </w:rPr>
        <w:tab/>
        <w:t>Kryetar i Gjykatës Kushtetuese,</w:t>
      </w:r>
    </w:p>
    <w:p w:rsidR="00E5227E" w:rsidRPr="00E5227E" w:rsidRDefault="00E5227E" w:rsidP="00E5227E">
      <w:pPr>
        <w:pStyle w:val="Paragrafi"/>
        <w:rPr>
          <w:sz w:val="21"/>
          <w:szCs w:val="21"/>
          <w:lang w:val="sq-AL"/>
        </w:rPr>
      </w:pPr>
      <w:r w:rsidRPr="00E5227E">
        <w:rPr>
          <w:sz w:val="21"/>
          <w:szCs w:val="21"/>
          <w:lang w:val="sq-AL"/>
        </w:rPr>
        <w:t>Fehmi Abdiu</w:t>
      </w:r>
      <w:r w:rsidRPr="00E5227E">
        <w:rPr>
          <w:sz w:val="21"/>
          <w:szCs w:val="21"/>
          <w:lang w:val="sq-AL"/>
        </w:rPr>
        <w:tab/>
      </w:r>
      <w:r w:rsidRPr="00E5227E">
        <w:rPr>
          <w:sz w:val="21"/>
          <w:szCs w:val="21"/>
          <w:lang w:val="sq-AL"/>
        </w:rPr>
        <w:tab/>
        <w:t>anëtar i</w:t>
      </w:r>
      <w:r w:rsidRPr="00E5227E">
        <w:rPr>
          <w:sz w:val="21"/>
          <w:szCs w:val="21"/>
          <w:lang w:val="sq-AL"/>
        </w:rPr>
        <w:tab/>
      </w:r>
      <w:r w:rsidRPr="00E5227E">
        <w:rPr>
          <w:sz w:val="21"/>
          <w:szCs w:val="21"/>
          <w:lang w:val="sq-AL"/>
        </w:rPr>
        <w:tab/>
        <w:t>“</w:t>
      </w:r>
      <w:r w:rsidRPr="00E5227E">
        <w:rPr>
          <w:sz w:val="21"/>
          <w:szCs w:val="21"/>
          <w:lang w:val="sq-AL"/>
        </w:rPr>
        <w:tab/>
        <w:t xml:space="preserve">“ </w:t>
      </w:r>
      <w:r w:rsidRPr="00E5227E">
        <w:rPr>
          <w:sz w:val="21"/>
          <w:szCs w:val="21"/>
          <w:lang w:val="sq-AL"/>
        </w:rPr>
        <w:tab/>
      </w:r>
    </w:p>
    <w:p w:rsidR="00E5227E" w:rsidRPr="00E5227E" w:rsidRDefault="00E5227E" w:rsidP="00E5227E">
      <w:pPr>
        <w:pStyle w:val="Paragrafi"/>
        <w:rPr>
          <w:sz w:val="21"/>
          <w:szCs w:val="21"/>
          <w:lang w:val="sq-AL"/>
        </w:rPr>
      </w:pPr>
      <w:r w:rsidRPr="00E5227E">
        <w:rPr>
          <w:sz w:val="21"/>
          <w:szCs w:val="21"/>
          <w:lang w:val="sq-AL"/>
        </w:rPr>
        <w:t>Kristofor Peçi</w:t>
      </w:r>
      <w:r w:rsidRPr="00E5227E">
        <w:rPr>
          <w:sz w:val="21"/>
          <w:szCs w:val="21"/>
          <w:lang w:val="sq-AL"/>
        </w:rPr>
        <w:tab/>
      </w:r>
      <w:r w:rsidRPr="00E5227E">
        <w:rPr>
          <w:sz w:val="21"/>
          <w:szCs w:val="21"/>
          <w:lang w:val="sq-AL"/>
        </w:rPr>
        <w:tab/>
        <w:t xml:space="preserve">anëtar i </w:t>
      </w:r>
      <w:r w:rsidRPr="00E5227E">
        <w:rPr>
          <w:sz w:val="21"/>
          <w:szCs w:val="21"/>
          <w:lang w:val="sq-AL"/>
        </w:rPr>
        <w:tab/>
        <w:t>“</w:t>
      </w:r>
      <w:r w:rsidRPr="00E5227E">
        <w:rPr>
          <w:sz w:val="21"/>
          <w:szCs w:val="21"/>
          <w:lang w:val="sq-AL"/>
        </w:rPr>
        <w:tab/>
        <w:t>“</w:t>
      </w:r>
      <w:r w:rsidRPr="00E5227E">
        <w:rPr>
          <w:sz w:val="21"/>
          <w:szCs w:val="21"/>
          <w:lang w:val="sq-AL"/>
        </w:rPr>
        <w:tab/>
      </w:r>
    </w:p>
    <w:p w:rsidR="00E5227E" w:rsidRPr="00E5227E" w:rsidRDefault="00E5227E" w:rsidP="00E5227E">
      <w:pPr>
        <w:pStyle w:val="Paragrafi"/>
        <w:rPr>
          <w:sz w:val="21"/>
          <w:szCs w:val="21"/>
          <w:lang w:val="sq-AL"/>
        </w:rPr>
      </w:pPr>
      <w:r w:rsidRPr="00E5227E">
        <w:rPr>
          <w:sz w:val="21"/>
          <w:szCs w:val="21"/>
          <w:lang w:val="sq-AL"/>
        </w:rPr>
        <w:t>Xhezair Zaganjori</w:t>
      </w:r>
      <w:r w:rsidRPr="00E5227E">
        <w:rPr>
          <w:sz w:val="21"/>
          <w:szCs w:val="21"/>
          <w:lang w:val="sq-AL"/>
        </w:rPr>
        <w:tab/>
        <w:t>anëtar i</w:t>
      </w:r>
      <w:r w:rsidRPr="00E5227E">
        <w:rPr>
          <w:sz w:val="21"/>
          <w:szCs w:val="21"/>
          <w:lang w:val="sq-AL"/>
        </w:rPr>
        <w:tab/>
      </w:r>
      <w:r w:rsidRPr="00E5227E">
        <w:rPr>
          <w:sz w:val="21"/>
          <w:szCs w:val="21"/>
          <w:lang w:val="sq-AL"/>
        </w:rPr>
        <w:tab/>
        <w:t>“</w:t>
      </w:r>
      <w:r w:rsidRPr="00E5227E">
        <w:rPr>
          <w:sz w:val="21"/>
          <w:szCs w:val="21"/>
          <w:lang w:val="sq-AL"/>
        </w:rPr>
        <w:tab/>
        <w:t>“</w:t>
      </w:r>
    </w:p>
    <w:p w:rsidR="00E5227E" w:rsidRPr="00E5227E" w:rsidRDefault="00E5227E" w:rsidP="00E5227E">
      <w:pPr>
        <w:pStyle w:val="Paragrafi"/>
        <w:rPr>
          <w:sz w:val="21"/>
          <w:szCs w:val="21"/>
          <w:lang w:val="sq-AL"/>
        </w:rPr>
      </w:pPr>
      <w:r w:rsidRPr="00E5227E">
        <w:rPr>
          <w:sz w:val="21"/>
          <w:szCs w:val="21"/>
          <w:lang w:val="sq-AL"/>
        </w:rPr>
        <w:t>Kujtim Puto</w:t>
      </w:r>
      <w:r w:rsidRPr="00E5227E">
        <w:rPr>
          <w:sz w:val="21"/>
          <w:szCs w:val="21"/>
          <w:lang w:val="sq-AL"/>
        </w:rPr>
        <w:tab/>
      </w:r>
      <w:r w:rsidRPr="00E5227E">
        <w:rPr>
          <w:sz w:val="21"/>
          <w:szCs w:val="21"/>
          <w:lang w:val="sq-AL"/>
        </w:rPr>
        <w:tab/>
        <w:t xml:space="preserve">anëtar i </w:t>
      </w:r>
      <w:r w:rsidRPr="00E5227E">
        <w:rPr>
          <w:sz w:val="21"/>
          <w:szCs w:val="21"/>
          <w:lang w:val="sq-AL"/>
        </w:rPr>
        <w:tab/>
        <w:t>“</w:t>
      </w:r>
      <w:r w:rsidRPr="00E5227E">
        <w:rPr>
          <w:sz w:val="21"/>
          <w:szCs w:val="21"/>
          <w:lang w:val="sq-AL"/>
        </w:rPr>
        <w:tab/>
        <w:t>“</w:t>
      </w:r>
      <w:r w:rsidRPr="00E5227E">
        <w:rPr>
          <w:sz w:val="21"/>
          <w:szCs w:val="21"/>
          <w:lang w:val="sq-AL"/>
        </w:rPr>
        <w:tab/>
      </w:r>
    </w:p>
    <w:p w:rsidR="00E5227E" w:rsidRPr="00E5227E" w:rsidRDefault="00E5227E" w:rsidP="00E5227E">
      <w:pPr>
        <w:pStyle w:val="Paragrafi"/>
        <w:rPr>
          <w:sz w:val="21"/>
          <w:szCs w:val="21"/>
          <w:lang w:val="sq-AL"/>
        </w:rPr>
      </w:pPr>
      <w:r w:rsidRPr="00E5227E">
        <w:rPr>
          <w:sz w:val="21"/>
          <w:szCs w:val="21"/>
          <w:lang w:val="sq-AL"/>
        </w:rPr>
        <w:t>Petrit Plloçi</w:t>
      </w:r>
      <w:r w:rsidRPr="00E5227E">
        <w:rPr>
          <w:sz w:val="21"/>
          <w:szCs w:val="21"/>
          <w:lang w:val="sq-AL"/>
        </w:rPr>
        <w:tab/>
      </w:r>
      <w:r w:rsidRPr="00E5227E">
        <w:rPr>
          <w:sz w:val="21"/>
          <w:szCs w:val="21"/>
          <w:lang w:val="sq-AL"/>
        </w:rPr>
        <w:tab/>
        <w:t>anëtar i</w:t>
      </w:r>
      <w:r w:rsidRPr="00E5227E">
        <w:rPr>
          <w:sz w:val="21"/>
          <w:szCs w:val="21"/>
          <w:lang w:val="sq-AL"/>
        </w:rPr>
        <w:tab/>
      </w:r>
      <w:r w:rsidRPr="00E5227E">
        <w:rPr>
          <w:sz w:val="21"/>
          <w:szCs w:val="21"/>
          <w:lang w:val="sq-AL"/>
        </w:rPr>
        <w:tab/>
        <w:t>“</w:t>
      </w:r>
      <w:r w:rsidRPr="00E5227E">
        <w:rPr>
          <w:sz w:val="21"/>
          <w:szCs w:val="21"/>
          <w:lang w:val="sq-AL"/>
        </w:rPr>
        <w:tab/>
        <w:t>“</w:t>
      </w:r>
      <w:r w:rsidRPr="00E5227E">
        <w:rPr>
          <w:sz w:val="21"/>
          <w:szCs w:val="21"/>
          <w:lang w:val="sq-AL"/>
        </w:rPr>
        <w:tab/>
      </w:r>
    </w:p>
    <w:p w:rsidR="00E5227E" w:rsidRPr="00B17489" w:rsidRDefault="00E5227E" w:rsidP="00E5227E">
      <w:pPr>
        <w:pStyle w:val="Paragrafi"/>
        <w:rPr>
          <w:sz w:val="21"/>
          <w:szCs w:val="21"/>
          <w:lang w:val="it-IT"/>
        </w:rPr>
      </w:pPr>
      <w:r w:rsidRPr="00B17489">
        <w:rPr>
          <w:sz w:val="21"/>
          <w:szCs w:val="21"/>
          <w:lang w:val="it-IT"/>
        </w:rPr>
        <w:t>Sokol Sadushi</w:t>
      </w:r>
      <w:r w:rsidRPr="00B17489">
        <w:rPr>
          <w:sz w:val="21"/>
          <w:szCs w:val="21"/>
          <w:lang w:val="it-IT"/>
        </w:rPr>
        <w:tab/>
      </w:r>
      <w:r w:rsidRPr="00B17489">
        <w:rPr>
          <w:sz w:val="21"/>
          <w:szCs w:val="21"/>
          <w:lang w:val="it-IT"/>
        </w:rPr>
        <w:tab/>
        <w:t>anëtar i</w:t>
      </w:r>
      <w:r w:rsidRPr="00B17489">
        <w:rPr>
          <w:sz w:val="21"/>
          <w:szCs w:val="21"/>
          <w:lang w:val="it-IT"/>
        </w:rPr>
        <w:tab/>
      </w:r>
      <w:r w:rsidRPr="00B17489">
        <w:rPr>
          <w:sz w:val="21"/>
          <w:szCs w:val="21"/>
          <w:lang w:val="it-IT"/>
        </w:rPr>
        <w:tab/>
        <w:t>“</w:t>
      </w:r>
      <w:r w:rsidRPr="00B17489">
        <w:rPr>
          <w:sz w:val="21"/>
          <w:szCs w:val="21"/>
          <w:lang w:val="it-IT"/>
        </w:rPr>
        <w:tab/>
        <w:t>“</w:t>
      </w:r>
      <w:r w:rsidRPr="00B17489">
        <w:rPr>
          <w:sz w:val="21"/>
          <w:szCs w:val="21"/>
          <w:lang w:val="it-IT"/>
        </w:rPr>
        <w:tab/>
      </w:r>
    </w:p>
    <w:p w:rsidR="00E5227E" w:rsidRPr="00B17489" w:rsidRDefault="00E5227E" w:rsidP="00E5227E">
      <w:pPr>
        <w:pStyle w:val="Paragrafi"/>
        <w:rPr>
          <w:sz w:val="21"/>
          <w:szCs w:val="21"/>
          <w:lang w:val="it-IT"/>
        </w:rPr>
      </w:pPr>
      <w:r w:rsidRPr="00B17489">
        <w:rPr>
          <w:sz w:val="21"/>
          <w:szCs w:val="21"/>
          <w:lang w:val="it-IT"/>
        </w:rPr>
        <w:t>Sokol Berberi</w:t>
      </w:r>
      <w:r w:rsidRPr="00B17489">
        <w:rPr>
          <w:sz w:val="21"/>
          <w:szCs w:val="21"/>
          <w:lang w:val="it-IT"/>
        </w:rPr>
        <w:tab/>
      </w:r>
      <w:r w:rsidRPr="00B17489">
        <w:rPr>
          <w:sz w:val="21"/>
          <w:szCs w:val="21"/>
          <w:lang w:val="it-IT"/>
        </w:rPr>
        <w:tab/>
        <w:t xml:space="preserve">anëtar i </w:t>
      </w:r>
      <w:r w:rsidRPr="00B17489">
        <w:rPr>
          <w:sz w:val="21"/>
          <w:szCs w:val="21"/>
          <w:lang w:val="it-IT"/>
        </w:rPr>
        <w:tab/>
        <w:t>“</w:t>
      </w:r>
      <w:r w:rsidRPr="00B17489">
        <w:rPr>
          <w:sz w:val="21"/>
          <w:szCs w:val="21"/>
          <w:lang w:val="it-IT"/>
        </w:rPr>
        <w:tab/>
        <w:t>“</w:t>
      </w:r>
      <w:r w:rsidRPr="00B17489">
        <w:rPr>
          <w:sz w:val="21"/>
          <w:szCs w:val="21"/>
          <w:lang w:val="it-IT"/>
        </w:rPr>
        <w:tab/>
        <w:t xml:space="preserve">   </w:t>
      </w:r>
    </w:p>
    <w:p w:rsidR="00E5227E" w:rsidRPr="00B17489" w:rsidRDefault="00E5227E" w:rsidP="00E5227E">
      <w:pPr>
        <w:pStyle w:val="Paragrafi"/>
        <w:rPr>
          <w:sz w:val="21"/>
          <w:szCs w:val="21"/>
          <w:lang w:val="it-IT"/>
        </w:rPr>
      </w:pPr>
      <w:r w:rsidRPr="00B17489">
        <w:rPr>
          <w:sz w:val="21"/>
          <w:szCs w:val="21"/>
          <w:lang w:val="it-IT"/>
        </w:rPr>
        <w:t>Gjergji Sauli</w:t>
      </w:r>
      <w:r w:rsidRPr="00B17489">
        <w:rPr>
          <w:sz w:val="21"/>
          <w:szCs w:val="21"/>
          <w:lang w:val="it-IT"/>
        </w:rPr>
        <w:tab/>
      </w:r>
      <w:r w:rsidRPr="00B17489">
        <w:rPr>
          <w:sz w:val="21"/>
          <w:szCs w:val="21"/>
          <w:lang w:val="it-IT"/>
        </w:rPr>
        <w:tab/>
        <w:t xml:space="preserve">anëtar i </w:t>
      </w:r>
      <w:r w:rsidRPr="00B17489">
        <w:rPr>
          <w:sz w:val="21"/>
          <w:szCs w:val="21"/>
          <w:lang w:val="it-IT"/>
        </w:rPr>
        <w:tab/>
        <w:t>“</w:t>
      </w:r>
      <w:r w:rsidRPr="00B17489">
        <w:rPr>
          <w:sz w:val="21"/>
          <w:szCs w:val="21"/>
          <w:lang w:val="it-IT"/>
        </w:rPr>
        <w:tab/>
        <w:t>“</w:t>
      </w:r>
      <w:r w:rsidRPr="00B17489">
        <w:rPr>
          <w:sz w:val="21"/>
          <w:szCs w:val="21"/>
          <w:lang w:val="it-IT"/>
        </w:rPr>
        <w:tab/>
      </w:r>
    </w:p>
    <w:p w:rsidR="00E5227E" w:rsidRPr="00B17489" w:rsidRDefault="00E5227E" w:rsidP="00E5227E">
      <w:pPr>
        <w:pStyle w:val="Paragrafi"/>
        <w:rPr>
          <w:sz w:val="21"/>
          <w:szCs w:val="21"/>
          <w:lang w:val="it-IT"/>
        </w:rPr>
      </w:pPr>
    </w:p>
    <w:p w:rsidR="00E5227E" w:rsidRPr="00B17489" w:rsidRDefault="00E5227E" w:rsidP="00E5227E">
      <w:pPr>
        <w:pStyle w:val="Paragrafi"/>
        <w:rPr>
          <w:sz w:val="21"/>
          <w:szCs w:val="21"/>
          <w:lang w:val="it-IT"/>
        </w:rPr>
      </w:pPr>
      <w:r w:rsidRPr="00B17489">
        <w:rPr>
          <w:sz w:val="21"/>
          <w:szCs w:val="21"/>
          <w:lang w:val="it-IT"/>
        </w:rPr>
        <w:t>me sekretare Brunilda Bara, në datë 25.9.2007, mori në shqyrtim në seancë gjyqësore me dyer të hapura çështjen nr.44/2 Akti, që i përket:</w:t>
      </w:r>
    </w:p>
    <w:p w:rsidR="00E5227E" w:rsidRPr="00B17489" w:rsidRDefault="00E5227E" w:rsidP="00E5227E">
      <w:pPr>
        <w:pStyle w:val="Paragrafi"/>
        <w:rPr>
          <w:sz w:val="21"/>
          <w:szCs w:val="21"/>
          <w:lang w:val="it-IT"/>
        </w:rPr>
      </w:pPr>
    </w:p>
    <w:p w:rsidR="00E5227E" w:rsidRPr="00B17489" w:rsidRDefault="00E5227E" w:rsidP="00E5227E">
      <w:pPr>
        <w:pStyle w:val="Paragrafi"/>
        <w:rPr>
          <w:sz w:val="21"/>
          <w:szCs w:val="21"/>
          <w:lang w:val="it-IT"/>
        </w:rPr>
      </w:pPr>
      <w:r w:rsidRPr="00B17489">
        <w:rPr>
          <w:sz w:val="21"/>
          <w:szCs w:val="21"/>
          <w:lang w:val="it-IT"/>
        </w:rPr>
        <w:t>KËRKUES: MYZEJEN BARDHOSHI (KARAPICI), ARJAN KARAPICI, RASIM KARAPICI, përfaqësuar nga avokatët Eno Bushi dhe Dhimitër Muslia, me prokurë.</w:t>
      </w:r>
    </w:p>
    <w:p w:rsidR="00E5227E" w:rsidRPr="00B17489" w:rsidRDefault="00E5227E" w:rsidP="00E5227E">
      <w:pPr>
        <w:pStyle w:val="Paragrafi"/>
        <w:rPr>
          <w:sz w:val="21"/>
          <w:szCs w:val="21"/>
          <w:lang w:val="it-IT"/>
        </w:rPr>
      </w:pPr>
      <w:r w:rsidRPr="00B17489">
        <w:rPr>
          <w:sz w:val="21"/>
          <w:szCs w:val="21"/>
          <w:lang w:val="it-IT"/>
        </w:rPr>
        <w:t>SUBJEKTE TE INTERESUARA:</w:t>
      </w:r>
      <w:r w:rsidRPr="00B17489">
        <w:rPr>
          <w:sz w:val="21"/>
          <w:szCs w:val="21"/>
          <w:lang w:val="it-IT"/>
        </w:rPr>
        <w:tab/>
      </w:r>
    </w:p>
    <w:p w:rsidR="00E5227E" w:rsidRPr="00B17489" w:rsidRDefault="00E5227E" w:rsidP="00E5227E">
      <w:pPr>
        <w:pStyle w:val="Paragrafi"/>
        <w:rPr>
          <w:sz w:val="21"/>
          <w:szCs w:val="21"/>
          <w:lang w:val="it-IT"/>
        </w:rPr>
      </w:pPr>
      <w:r w:rsidRPr="00B17489">
        <w:rPr>
          <w:sz w:val="21"/>
          <w:szCs w:val="21"/>
          <w:lang w:val="it-IT"/>
        </w:rPr>
        <w:t>AFRIM VIGANI, AGRON ZALA, përfaqësuar nga avokat Viktor Ikonomi, me prokurë.</w:t>
      </w:r>
    </w:p>
    <w:p w:rsidR="00E5227E" w:rsidRPr="00B17489" w:rsidRDefault="00E5227E" w:rsidP="00E5227E">
      <w:pPr>
        <w:pStyle w:val="Paragrafi"/>
        <w:rPr>
          <w:sz w:val="21"/>
          <w:szCs w:val="21"/>
          <w:lang w:val="it-IT"/>
        </w:rPr>
      </w:pPr>
      <w:r w:rsidRPr="00B17489">
        <w:rPr>
          <w:sz w:val="21"/>
          <w:szCs w:val="21"/>
          <w:lang w:val="it-IT"/>
        </w:rPr>
        <w:t>ISMAIL NELAJ, FORTUZ NELAJ, përfaqësuar nga avokatët Bashkim Merkaj dhe Brahim Lahi, me prokurë.</w:t>
      </w:r>
    </w:p>
    <w:p w:rsidR="00E5227E" w:rsidRPr="00B17489" w:rsidRDefault="00E5227E" w:rsidP="00E5227E">
      <w:pPr>
        <w:pStyle w:val="Paragrafi"/>
        <w:rPr>
          <w:sz w:val="21"/>
          <w:szCs w:val="21"/>
          <w:lang w:val="it-IT"/>
        </w:rPr>
      </w:pPr>
      <w:r w:rsidRPr="00B17489">
        <w:rPr>
          <w:sz w:val="21"/>
          <w:szCs w:val="21"/>
          <w:lang w:val="it-IT"/>
        </w:rPr>
        <w:t>RASIM NELAJ, FITNETE NELAJ, në mungesë.</w:t>
      </w:r>
    </w:p>
    <w:p w:rsidR="00E5227E" w:rsidRPr="00B17489" w:rsidRDefault="00E5227E" w:rsidP="00E5227E">
      <w:pPr>
        <w:pStyle w:val="Paragrafi"/>
        <w:rPr>
          <w:sz w:val="21"/>
          <w:szCs w:val="21"/>
          <w:lang w:val="it-IT"/>
        </w:rPr>
      </w:pPr>
      <w:r w:rsidRPr="00B17489">
        <w:rPr>
          <w:sz w:val="21"/>
          <w:szCs w:val="21"/>
          <w:lang w:val="it-IT"/>
        </w:rPr>
        <w:t>OBJEKTI: Shfuqizimi si i papajtueshëm me Kushtetutën i vendimit të Kolegjit Civil të Gjykatës së Lartë nr.838, datë 27.6.2006.</w:t>
      </w:r>
    </w:p>
    <w:p w:rsidR="00E5227E" w:rsidRPr="00B17489" w:rsidRDefault="00E5227E" w:rsidP="00E5227E">
      <w:pPr>
        <w:pStyle w:val="Paragrafi"/>
        <w:rPr>
          <w:sz w:val="21"/>
          <w:szCs w:val="21"/>
          <w:lang w:val="it-IT"/>
        </w:rPr>
      </w:pPr>
      <w:r w:rsidRPr="00B17489">
        <w:rPr>
          <w:sz w:val="21"/>
          <w:szCs w:val="21"/>
          <w:lang w:val="it-IT"/>
        </w:rPr>
        <w:t>BAZA LIGJORE: Nenet 131/f, 131/1, 134/1, shkronja “g” dhe 42 të Kushtetutës së Republikës së Shqipërisë, si dhe neni 6 i Konventës Europiane për të Drejtat e Njeriut.</w:t>
      </w:r>
    </w:p>
    <w:p w:rsidR="00E5227E" w:rsidRPr="00B17489" w:rsidRDefault="00E5227E" w:rsidP="00E5227E">
      <w:pPr>
        <w:pStyle w:val="Paragrafi"/>
        <w:rPr>
          <w:sz w:val="21"/>
          <w:szCs w:val="21"/>
          <w:lang w:val="it-IT"/>
        </w:rPr>
      </w:pPr>
    </w:p>
    <w:p w:rsidR="00E5227E" w:rsidRPr="00B17489" w:rsidRDefault="00E5227E" w:rsidP="00E5227E">
      <w:pPr>
        <w:pStyle w:val="Paragrafi"/>
        <w:rPr>
          <w:sz w:val="21"/>
          <w:szCs w:val="21"/>
          <w:lang w:val="it-IT"/>
        </w:rPr>
      </w:pPr>
      <w:r w:rsidRPr="00B17489">
        <w:rPr>
          <w:sz w:val="21"/>
          <w:szCs w:val="21"/>
          <w:lang w:val="it-IT"/>
        </w:rPr>
        <w:t>Kërkuesit, për shfuqizimin e vendimit të mësipërm të Gjykatës së Lartë, kanë parashtruar këto shkaqe:</w:t>
      </w:r>
    </w:p>
    <w:p w:rsidR="00E5227E" w:rsidRPr="00B17489" w:rsidRDefault="00E5227E" w:rsidP="00E5227E">
      <w:pPr>
        <w:pStyle w:val="Paragrafi"/>
        <w:rPr>
          <w:sz w:val="21"/>
          <w:szCs w:val="21"/>
          <w:lang w:val="it-IT"/>
        </w:rPr>
      </w:pPr>
      <w:r w:rsidRPr="00B17489">
        <w:rPr>
          <w:sz w:val="21"/>
          <w:szCs w:val="21"/>
          <w:lang w:val="it-IT"/>
        </w:rPr>
        <w:t>- gjykimi i çështjes në Kolegjin Civil të Gjykatës së Lartë është zhvilluar në seancë plenare në mungesë të tyre, në një kohë që, në bazë të nenit 447 të Kodit të Procedurës Civile, duhet të thirreshin për të marrë pjesë në gjykim;</w:t>
      </w:r>
    </w:p>
    <w:p w:rsidR="00E5227E" w:rsidRPr="00B17489" w:rsidRDefault="00E5227E" w:rsidP="00E5227E">
      <w:pPr>
        <w:pStyle w:val="Paragrafi"/>
        <w:rPr>
          <w:sz w:val="21"/>
          <w:szCs w:val="21"/>
          <w:lang w:val="it-IT"/>
        </w:rPr>
      </w:pPr>
      <w:r w:rsidRPr="00B17489">
        <w:rPr>
          <w:sz w:val="21"/>
          <w:szCs w:val="21"/>
          <w:lang w:val="it-IT"/>
        </w:rPr>
        <w:t xml:space="preserve">- kërkesa për rishikim është paraqitur brenda afatit ligjor të parashikuar nga neni 496 i Kodit të Procedurës Civile. </w:t>
      </w:r>
    </w:p>
    <w:p w:rsidR="00E5227E" w:rsidRPr="00B17489" w:rsidRDefault="00E5227E" w:rsidP="00E5227E">
      <w:pPr>
        <w:pStyle w:val="Paragrafi"/>
        <w:rPr>
          <w:sz w:val="21"/>
          <w:szCs w:val="21"/>
          <w:lang w:val="it-IT"/>
        </w:rPr>
      </w:pPr>
      <w:r w:rsidRPr="00B17489">
        <w:rPr>
          <w:sz w:val="21"/>
          <w:szCs w:val="21"/>
          <w:lang w:val="it-IT"/>
        </w:rPr>
        <w:t xml:space="preserve">  Subjektet e interesuara:</w:t>
      </w:r>
    </w:p>
    <w:p w:rsidR="00E5227E" w:rsidRPr="00B17489" w:rsidRDefault="00E5227E" w:rsidP="00E5227E">
      <w:pPr>
        <w:pStyle w:val="Paragrafi"/>
        <w:rPr>
          <w:sz w:val="21"/>
          <w:szCs w:val="21"/>
          <w:lang w:val="it-IT"/>
        </w:rPr>
      </w:pPr>
      <w:r w:rsidRPr="00B17489">
        <w:rPr>
          <w:sz w:val="21"/>
          <w:szCs w:val="21"/>
          <w:lang w:val="it-IT"/>
        </w:rPr>
        <w:t>Afrim Vigani dhe Agron Zala kërkuan shfuqizimin e vendimit të mësipërm të Kolegjit Civil të Gjykatës së Lartë, pasi gjatë procesit gjyqësor nuk u administruan dhe vlerësuan provat e paraqituara për falsifikimin e dokumenteve të pronësisë.</w:t>
      </w:r>
    </w:p>
    <w:p w:rsidR="00E5227E" w:rsidRPr="00B17489" w:rsidRDefault="00E5227E" w:rsidP="00E5227E">
      <w:pPr>
        <w:pStyle w:val="Paragrafi"/>
        <w:rPr>
          <w:sz w:val="21"/>
          <w:szCs w:val="21"/>
          <w:lang w:val="it-IT"/>
        </w:rPr>
      </w:pPr>
      <w:r w:rsidRPr="00B17489">
        <w:rPr>
          <w:sz w:val="21"/>
          <w:szCs w:val="21"/>
          <w:lang w:val="it-IT"/>
        </w:rPr>
        <w:t>Ismail Nelaj dhe Fortuz Nelaj u shprehën për mospranimin e kërkesës sepse:</w:t>
      </w:r>
    </w:p>
    <w:p w:rsidR="00E5227E" w:rsidRPr="00B17489" w:rsidRDefault="00E5227E" w:rsidP="00E5227E">
      <w:pPr>
        <w:pStyle w:val="Paragrafi"/>
        <w:rPr>
          <w:sz w:val="21"/>
          <w:szCs w:val="21"/>
          <w:lang w:val="it-IT"/>
        </w:rPr>
      </w:pPr>
      <w:r w:rsidRPr="00B17489">
        <w:rPr>
          <w:sz w:val="21"/>
          <w:szCs w:val="21"/>
          <w:lang w:val="it-IT"/>
        </w:rPr>
        <w:t>- kërkuesit kanë marrë dijeni për kërkesën e rishikimit dhe për datën e gjykimit të çështjes nëpërmjet përfaqësimit nga avokat Viktor Ikonomi;</w:t>
      </w:r>
    </w:p>
    <w:p w:rsidR="00E5227E" w:rsidRPr="00B17489" w:rsidRDefault="00E5227E" w:rsidP="00E5227E">
      <w:pPr>
        <w:pStyle w:val="Paragrafi"/>
        <w:rPr>
          <w:sz w:val="21"/>
          <w:szCs w:val="21"/>
          <w:lang w:val="it-IT"/>
        </w:rPr>
      </w:pPr>
      <w:r w:rsidRPr="00B17489">
        <w:rPr>
          <w:sz w:val="21"/>
          <w:szCs w:val="21"/>
          <w:lang w:val="it-IT"/>
        </w:rPr>
        <w:t>- kërkuesit kanë të drejtë për të paraqitur kërkesë për rishikim në Gjykatën e Lartë, edhe pse një të drejtë të tillë e kanë ushtruar subjektet e interesuara Afrim Vigani dhe Agron Zala.</w:t>
      </w:r>
    </w:p>
    <w:p w:rsidR="00E5227E" w:rsidRPr="00B17489" w:rsidRDefault="00E5227E" w:rsidP="00E5227E">
      <w:pPr>
        <w:pStyle w:val="Paragrafi"/>
        <w:ind w:firstLine="0"/>
        <w:rPr>
          <w:sz w:val="21"/>
          <w:szCs w:val="21"/>
          <w:lang w:val="it-IT"/>
        </w:rPr>
      </w:pPr>
    </w:p>
    <w:p w:rsidR="00E5227E" w:rsidRPr="00B17489" w:rsidRDefault="00E5227E" w:rsidP="00E5227E">
      <w:pPr>
        <w:pStyle w:val="Institucioni"/>
        <w:keepNext w:val="0"/>
        <w:rPr>
          <w:sz w:val="21"/>
          <w:szCs w:val="21"/>
          <w:lang w:val="it-IT"/>
        </w:rPr>
      </w:pPr>
      <w:r w:rsidRPr="00B17489">
        <w:rPr>
          <w:sz w:val="21"/>
          <w:szCs w:val="21"/>
          <w:lang w:val="it-IT"/>
        </w:rPr>
        <w:t>GJYKATA KUSHTETUESE,</w:t>
      </w:r>
    </w:p>
    <w:p w:rsidR="00E5227E" w:rsidRPr="00B17489" w:rsidRDefault="00E5227E" w:rsidP="00E5227E">
      <w:pPr>
        <w:pStyle w:val="Paragrafi"/>
        <w:rPr>
          <w:sz w:val="21"/>
          <w:szCs w:val="21"/>
          <w:lang w:val="it-IT"/>
        </w:rPr>
      </w:pPr>
    </w:p>
    <w:p w:rsidR="00E5227E" w:rsidRPr="00B17489" w:rsidRDefault="00E5227E" w:rsidP="00E5227E">
      <w:pPr>
        <w:pStyle w:val="Paragrafi"/>
        <w:rPr>
          <w:sz w:val="21"/>
          <w:szCs w:val="21"/>
          <w:lang w:val="it-IT"/>
        </w:rPr>
      </w:pPr>
      <w:r w:rsidRPr="00B17489">
        <w:rPr>
          <w:sz w:val="21"/>
          <w:szCs w:val="21"/>
          <w:lang w:val="it-IT"/>
        </w:rPr>
        <w:t>pasi dëgjoi relatorin e çështjes Gjergji Sauli, përfaqësuesin e kërkuesit që kërkoi pranimin e kërkesës; përfaqësuesit e subjekteve të interesuara që kërkuan rrëzimin e kërkesës dhe bisedoi çështjen në tërësi,</w:t>
      </w:r>
    </w:p>
    <w:p w:rsidR="00E5227E" w:rsidRDefault="00E5227E" w:rsidP="00E5227E">
      <w:pPr>
        <w:pStyle w:val="VENDOSI"/>
        <w:keepNext w:val="0"/>
        <w:rPr>
          <w:sz w:val="21"/>
          <w:szCs w:val="21"/>
          <w:lang w:val="it-IT"/>
        </w:rPr>
      </w:pPr>
    </w:p>
    <w:p w:rsidR="00E5227E" w:rsidRDefault="00E5227E" w:rsidP="00E5227E">
      <w:pPr>
        <w:pStyle w:val="VENDOSI"/>
        <w:keepNext w:val="0"/>
        <w:rPr>
          <w:sz w:val="21"/>
          <w:szCs w:val="21"/>
          <w:lang w:val="it-IT"/>
        </w:rPr>
      </w:pPr>
    </w:p>
    <w:p w:rsidR="00E5227E" w:rsidRPr="00B17489" w:rsidRDefault="00E5227E" w:rsidP="00E5227E">
      <w:pPr>
        <w:pStyle w:val="VENDOSI"/>
        <w:keepNext w:val="0"/>
        <w:rPr>
          <w:sz w:val="21"/>
          <w:szCs w:val="21"/>
          <w:lang w:val="it-IT"/>
        </w:rPr>
      </w:pPr>
      <w:r w:rsidRPr="00B17489">
        <w:rPr>
          <w:sz w:val="21"/>
          <w:szCs w:val="21"/>
          <w:lang w:val="it-IT"/>
        </w:rPr>
        <w:t>VËREN:</w:t>
      </w:r>
    </w:p>
    <w:p w:rsidR="00E5227E" w:rsidRPr="00B17489" w:rsidRDefault="00E5227E" w:rsidP="00E5227E">
      <w:pPr>
        <w:pStyle w:val="Paragrafi"/>
        <w:rPr>
          <w:sz w:val="21"/>
          <w:szCs w:val="21"/>
          <w:lang w:val="it-IT"/>
        </w:rPr>
      </w:pPr>
    </w:p>
    <w:p w:rsidR="00E5227E" w:rsidRPr="00B17489" w:rsidRDefault="00E5227E" w:rsidP="00E5227E">
      <w:pPr>
        <w:pStyle w:val="Paragrafi"/>
        <w:rPr>
          <w:sz w:val="21"/>
          <w:szCs w:val="21"/>
          <w:lang w:val="it-IT"/>
        </w:rPr>
      </w:pPr>
      <w:r w:rsidRPr="00B17489">
        <w:rPr>
          <w:sz w:val="21"/>
          <w:szCs w:val="21"/>
          <w:lang w:val="it-IT"/>
        </w:rPr>
        <w:t>Me vendimin nr.167, datë 30.9.1997 të K.K.K.Pronave pranë Bashkisë Tiranë, kërkuesit janë kompensuar si ish-pronarë me një sipërfaqe trualli prej 645 m</w:t>
      </w:r>
      <w:r w:rsidRPr="00B17489">
        <w:rPr>
          <w:sz w:val="21"/>
          <w:szCs w:val="21"/>
          <w:vertAlign w:val="superscript"/>
          <w:lang w:val="it-IT"/>
        </w:rPr>
        <w:t>2</w:t>
      </w:r>
      <w:r w:rsidRPr="00B17489">
        <w:rPr>
          <w:sz w:val="21"/>
          <w:szCs w:val="21"/>
          <w:lang w:val="it-IT"/>
        </w:rPr>
        <w:t xml:space="preserve"> në ish-pronën e subjekteve të interesuara Xhevdet Nelaj etj., në pjesën e tyre të pakthyer prej 11325 m</w:t>
      </w:r>
      <w:r w:rsidRPr="00B17489">
        <w:rPr>
          <w:sz w:val="21"/>
          <w:szCs w:val="21"/>
          <w:vertAlign w:val="superscript"/>
          <w:lang w:val="it-IT"/>
        </w:rPr>
        <w:t>2</w:t>
      </w:r>
      <w:r w:rsidRPr="00B17489">
        <w:rPr>
          <w:sz w:val="21"/>
          <w:szCs w:val="21"/>
          <w:lang w:val="it-IT"/>
        </w:rPr>
        <w:t>. Kërkuesit, truallin e mësipërm me sipërfaqe prej 645 m</w:t>
      </w:r>
      <w:r w:rsidRPr="00B17489">
        <w:rPr>
          <w:sz w:val="21"/>
          <w:szCs w:val="21"/>
          <w:vertAlign w:val="superscript"/>
          <w:lang w:val="it-IT"/>
        </w:rPr>
        <w:t>2</w:t>
      </w:r>
      <w:r w:rsidRPr="00B17489">
        <w:rPr>
          <w:sz w:val="21"/>
          <w:szCs w:val="21"/>
          <w:lang w:val="it-IT"/>
        </w:rPr>
        <w:t>, ua kanë shitur subjekteve të interesuara Afrim Vigani dhe Agron Zala me kontratën noteriale nr.975/328, datë 25.11.1997.</w:t>
      </w:r>
    </w:p>
    <w:p w:rsidR="00E5227E" w:rsidRPr="00B17489" w:rsidRDefault="00E5227E" w:rsidP="00E5227E">
      <w:pPr>
        <w:pStyle w:val="Paragrafi"/>
        <w:rPr>
          <w:sz w:val="21"/>
          <w:szCs w:val="21"/>
          <w:lang w:val="it-IT"/>
        </w:rPr>
      </w:pPr>
      <w:r w:rsidRPr="00B17489">
        <w:rPr>
          <w:sz w:val="21"/>
          <w:szCs w:val="21"/>
          <w:lang w:val="it-IT"/>
        </w:rPr>
        <w:t>Gjykata e Rrethit Gjyqësor Tiranë, pas shqyrtimit të kërkesëpadisë së ngritur prej subjekteve të interesuara Xhevdet Nelaj etj., me vendimin nr.1454, datë 10.4.2002 ka anuluar vendimin nr.167, datë 30.9.1997 të K.K.K.Pronave të Bashkisë Tiranë, si dhe ka deklaruar pavlefshmërinë e kontratës së shitblerjes nr.975/328, datë 25.11.1997, për sipërfaqen e truallit prej 645 m</w:t>
      </w:r>
      <w:r w:rsidRPr="00B17489">
        <w:rPr>
          <w:sz w:val="21"/>
          <w:szCs w:val="21"/>
          <w:vertAlign w:val="superscript"/>
          <w:lang w:val="it-IT"/>
        </w:rPr>
        <w:t>2</w:t>
      </w:r>
      <w:r w:rsidRPr="00B17489">
        <w:rPr>
          <w:sz w:val="21"/>
          <w:szCs w:val="21"/>
          <w:lang w:val="it-IT"/>
        </w:rPr>
        <w:t xml:space="preserve">. </w:t>
      </w:r>
    </w:p>
    <w:p w:rsidR="00E5227E" w:rsidRPr="00B17489" w:rsidRDefault="00E5227E" w:rsidP="00E5227E">
      <w:pPr>
        <w:pStyle w:val="Paragrafi"/>
        <w:rPr>
          <w:sz w:val="21"/>
          <w:szCs w:val="21"/>
          <w:lang w:val="it-IT"/>
        </w:rPr>
      </w:pPr>
      <w:r w:rsidRPr="00B17489">
        <w:rPr>
          <w:sz w:val="21"/>
          <w:szCs w:val="21"/>
          <w:lang w:val="it-IT"/>
        </w:rPr>
        <w:t>Gjykata e Apelit Tiranë, me vendimin nr.619, datë 15.5.2003 ka ndryshuar vendimin e gjykatës së rrethit dhe ka rrëzuar kërkesëpadinë.</w:t>
      </w:r>
    </w:p>
    <w:p w:rsidR="00E5227E" w:rsidRPr="00B17489" w:rsidRDefault="00E5227E" w:rsidP="00E5227E">
      <w:pPr>
        <w:pStyle w:val="Paragrafi"/>
        <w:rPr>
          <w:sz w:val="21"/>
          <w:szCs w:val="21"/>
          <w:lang w:val="it-IT"/>
        </w:rPr>
      </w:pPr>
      <w:r w:rsidRPr="00B17489">
        <w:rPr>
          <w:sz w:val="21"/>
          <w:szCs w:val="21"/>
          <w:lang w:val="it-IT"/>
        </w:rPr>
        <w:t>Kolegji Civil i Gjykatës së Lartë, mbi ankimin e subjekteve të interesuara Xhevdet Nelaj etj., me vendimin nr.1894, datë 7.10.2004 ka prishur vendimin nr.619, datë 15.5.2003 të Gjykatës së Apelit Tiranë dhe ka lënë në fuqi vendimin nr.1454, datë 10.4.2002 të Gjykatës së Rrethit Gjyqësor Tiranë.</w:t>
      </w:r>
    </w:p>
    <w:p w:rsidR="00E5227E" w:rsidRPr="00B17489" w:rsidRDefault="00E5227E" w:rsidP="00E5227E">
      <w:pPr>
        <w:pStyle w:val="Paragrafi"/>
        <w:rPr>
          <w:sz w:val="21"/>
          <w:szCs w:val="21"/>
          <w:lang w:val="it-IT"/>
        </w:rPr>
      </w:pPr>
      <w:r w:rsidRPr="00B17489">
        <w:rPr>
          <w:sz w:val="21"/>
          <w:szCs w:val="21"/>
          <w:lang w:val="it-IT"/>
        </w:rPr>
        <w:t>Subjektet e interesuara Afrim Vigani dhe Agron Zala kanë bërë kërkesë për rishikim kundër vendimit të mësipërm të Gjykatës së Lartë. Si shkak i kërkesës për rishikim u paraqit vendimi penal nr.348, datë 8.4.2004 i Gjykatës së Rrethit Gjyqësor Tiranë, me të cilin subjekti i interesuar Rasim Nelaj është deklaruar fajtor në bazë të nenit 186/1 të Kodit Penal për falsifikim të dokumenteve të pronësisë së truallit me sipërfaqe prej 645 m2, vendim  i cili është lënë në fuqi në të gjitha shkallët e gjykimit.</w:t>
      </w:r>
    </w:p>
    <w:p w:rsidR="00E5227E" w:rsidRPr="00B17489" w:rsidRDefault="00E5227E" w:rsidP="00E5227E">
      <w:pPr>
        <w:pStyle w:val="Paragrafi"/>
        <w:rPr>
          <w:sz w:val="21"/>
          <w:szCs w:val="21"/>
          <w:lang w:val="it-IT"/>
        </w:rPr>
      </w:pPr>
      <w:r w:rsidRPr="00B17489">
        <w:rPr>
          <w:sz w:val="21"/>
          <w:szCs w:val="21"/>
          <w:lang w:val="it-IT"/>
        </w:rPr>
        <w:t xml:space="preserve">Kolegji Civil i Gjykatës së Lartë, pasi </w:t>
      </w:r>
      <w:r>
        <w:rPr>
          <w:sz w:val="21"/>
          <w:szCs w:val="21"/>
          <w:lang w:val="it-IT"/>
        </w:rPr>
        <w:t>ka</w:t>
      </w:r>
      <w:r w:rsidRPr="00B17489">
        <w:rPr>
          <w:sz w:val="21"/>
          <w:szCs w:val="21"/>
          <w:lang w:val="it-IT"/>
        </w:rPr>
        <w:t xml:space="preserve"> kaluar çështjen për shqyrtim në seancë plenare, me vendimin nr.838, datë 27.6.2006 ka vendosur mospranimin e kërkesës për rishikim me arsyetimin, se kërkuesit nuk kanë paraqitur asnjë provë për të vërtetuar se kur kanë marrë dijeni për vendimin penal të lartpërmendur dhe se atyre u ka kaluar afati 30 ditor i paraqitjes së kërkesës, që sipas nenit 496 të Kodit të Procedurës Civile fillon nga data kur vendimi ka marrë formë të prerë.</w:t>
      </w:r>
    </w:p>
    <w:p w:rsidR="00E5227E" w:rsidRPr="00B17489" w:rsidRDefault="00E5227E" w:rsidP="00E5227E">
      <w:pPr>
        <w:pStyle w:val="Paragrafi"/>
        <w:rPr>
          <w:sz w:val="21"/>
          <w:szCs w:val="21"/>
          <w:lang w:val="it-IT"/>
        </w:rPr>
      </w:pPr>
      <w:r w:rsidRPr="00B17489">
        <w:rPr>
          <w:sz w:val="21"/>
          <w:szCs w:val="21"/>
          <w:lang w:val="it-IT"/>
        </w:rPr>
        <w:t>Kërkuesit pretendojnë se Kolegji Civil i Gjykatës së Lartë, kërkesën për rishikimin e vendimit të mësipërm e ka shqyrtuar padrejtësisht në mungesë të tyre pa i thirrur ata për të marrë pjesë në gjykimin e çështjes. Këtë fakt kërkuesit e quajnë shkak të rëndësishëm për deklarimin e vendimit si antikushtetues duke e bërë procesin jo të rregullt ligjor, në kuptim të nenit 42 të Kushtetutës së Republikës së Shqipërisë dhe nenit 6 të Konventës Europiane të të Drejtave të Njeriut.</w:t>
      </w:r>
    </w:p>
    <w:p w:rsidR="00E5227E" w:rsidRPr="00B17489" w:rsidRDefault="00E5227E" w:rsidP="00E5227E">
      <w:pPr>
        <w:pStyle w:val="Paragrafi"/>
        <w:rPr>
          <w:sz w:val="21"/>
          <w:szCs w:val="21"/>
          <w:lang w:val="it-IT"/>
        </w:rPr>
      </w:pPr>
      <w:r w:rsidRPr="00B17489">
        <w:rPr>
          <w:sz w:val="21"/>
          <w:szCs w:val="21"/>
          <w:lang w:val="it-IT"/>
        </w:rPr>
        <w:t>Gjykata Kushtetuese çmon se për çështjen në gjykim, me objekt rishikim vendimi, mosthirrja në këtë rast e kërkuesve për të marrë pjesë në gjykim nuk e bën procesin gjyqësor të parregullt në kuptimin kushtetues.</w:t>
      </w:r>
    </w:p>
    <w:p w:rsidR="00E5227E" w:rsidRPr="00B17489" w:rsidRDefault="00E5227E" w:rsidP="00E5227E">
      <w:pPr>
        <w:pStyle w:val="Paragrafi"/>
        <w:rPr>
          <w:sz w:val="21"/>
          <w:szCs w:val="21"/>
          <w:lang w:val="it-IT"/>
        </w:rPr>
      </w:pPr>
      <w:r w:rsidRPr="00B17489">
        <w:rPr>
          <w:sz w:val="21"/>
          <w:szCs w:val="21"/>
          <w:lang w:val="it-IT"/>
        </w:rPr>
        <w:t>Sipas nenit 494 e vijues të Kodit të Procedurës Civile, e drejta për të paraqitur kërkesë në Gjykatën e Lartë për rishikimin e një vendimi të formës së prerë, i përket në mënyrë të pavarur çdo personi që ka qenë palë në gjykimin e çështjes, për të cilën është dhënë vendimi dhe që ka interes të ligjshëm për rishikimin e tij. Kjo do të thotë se është në vullnetin e personit të mësipërm që të paraqesë ose jo kërkesën për rishikim, ose ta paraqesë atë së bashku me persona të tjerë që janë palë në të njëjtën çështje.</w:t>
      </w:r>
    </w:p>
    <w:p w:rsidR="00E5227E" w:rsidRPr="00B17489" w:rsidRDefault="00E5227E" w:rsidP="00E5227E">
      <w:pPr>
        <w:pStyle w:val="Paragrafi"/>
        <w:rPr>
          <w:sz w:val="21"/>
          <w:szCs w:val="21"/>
          <w:lang w:val="it-IT"/>
        </w:rPr>
      </w:pPr>
      <w:r w:rsidRPr="00B17489">
        <w:rPr>
          <w:sz w:val="21"/>
          <w:szCs w:val="21"/>
          <w:lang w:val="it-IT"/>
        </w:rPr>
        <w:t>Gjatë gjykimit të çështjes Gjykata Kushtetuese konstatoi se kërkuesit nuk kanë paraqitur ndonjë kërkesë të veçantë në Gjykatën e Lartë për rishikimin e vendimit dhe as nuk kanë ndërhyrë gjatë procesit gjyqësor për t’u bashkuar me kërkesën për rishikim, të paraqitur prej subjekteve të interesuara Afrim Vigani dhe Agron Zala. Gjithashtu, kërkuesit, në kërkesën e paraqitur për shqyrtim në Gjykatën Kushtetuese, nuk përmendën ndonjë shkak të ri ose të ndryshëm nga shkaqet e paraqitura nga subjektet e interesuara të mësipërme. Në këto kushte, Gjykata Kushtetuese çmon se kërkesa e paraqitur nga kërkuesit për shfuqizimin e vendimit si rezultat i një procesi jo të rregullt ligjor, duhet rrëzuar.</w:t>
      </w:r>
    </w:p>
    <w:p w:rsidR="00E5227E" w:rsidRPr="00B17489" w:rsidRDefault="00E5227E" w:rsidP="00E5227E">
      <w:pPr>
        <w:pStyle w:val="Paragrafi"/>
        <w:rPr>
          <w:sz w:val="21"/>
          <w:szCs w:val="21"/>
          <w:lang w:val="it-IT"/>
        </w:rPr>
      </w:pPr>
    </w:p>
    <w:p w:rsidR="00E5227E" w:rsidRPr="00B17489" w:rsidRDefault="00E5227E" w:rsidP="00E5227E">
      <w:pPr>
        <w:pStyle w:val="VENDOSI"/>
        <w:keepNext w:val="0"/>
        <w:rPr>
          <w:sz w:val="21"/>
          <w:szCs w:val="21"/>
          <w:lang w:val="it-IT"/>
        </w:rPr>
      </w:pPr>
      <w:r w:rsidRPr="00B17489">
        <w:rPr>
          <w:sz w:val="21"/>
          <w:szCs w:val="21"/>
          <w:lang w:val="it-IT"/>
        </w:rPr>
        <w:t>PËR KËTO ARSYE,</w:t>
      </w:r>
    </w:p>
    <w:p w:rsidR="00E5227E" w:rsidRPr="00B17489" w:rsidRDefault="00E5227E" w:rsidP="00E5227E">
      <w:pPr>
        <w:pStyle w:val="Paragrafi"/>
        <w:rPr>
          <w:sz w:val="21"/>
          <w:szCs w:val="21"/>
          <w:lang w:val="it-IT"/>
        </w:rPr>
      </w:pPr>
    </w:p>
    <w:p w:rsidR="00E5227E" w:rsidRPr="00B17489" w:rsidRDefault="00E5227E" w:rsidP="00E5227E">
      <w:pPr>
        <w:pStyle w:val="Paragrafi"/>
        <w:rPr>
          <w:sz w:val="21"/>
          <w:szCs w:val="21"/>
          <w:lang w:val="it-IT"/>
        </w:rPr>
      </w:pPr>
      <w:r w:rsidRPr="00B17489">
        <w:rPr>
          <w:sz w:val="21"/>
          <w:szCs w:val="21"/>
          <w:lang w:val="it-IT"/>
        </w:rPr>
        <w:t>Gjykata Kushtetuese e Republikës së Shqipërisë, në mbështetje të nenit 131/f dhe 134/1 germa “g” të Kushtetutës, si dhe nenit 72 e vijues të ligjit nr.8577, datë 10.2.2000 “Për organizimin dhe funksionimin e Gjykatës Kushtetuese të Republikës së Shqipërisë”, me shumicë votash,</w:t>
      </w:r>
    </w:p>
    <w:p w:rsidR="00E5227E" w:rsidRDefault="00E5227E" w:rsidP="00E5227E">
      <w:pPr>
        <w:pStyle w:val="Paragrafi"/>
        <w:rPr>
          <w:sz w:val="21"/>
          <w:szCs w:val="21"/>
          <w:lang w:val="it-IT"/>
        </w:rPr>
      </w:pPr>
    </w:p>
    <w:p w:rsidR="00E5227E" w:rsidRPr="00B17489" w:rsidRDefault="00E5227E" w:rsidP="00E5227E">
      <w:pPr>
        <w:pStyle w:val="Paragrafi"/>
        <w:rPr>
          <w:sz w:val="21"/>
          <w:szCs w:val="21"/>
          <w:lang w:val="it-IT"/>
        </w:rPr>
      </w:pPr>
    </w:p>
    <w:p w:rsidR="00E5227E" w:rsidRPr="00B17489" w:rsidRDefault="00E5227E" w:rsidP="00E5227E">
      <w:pPr>
        <w:pStyle w:val="VENDOSI"/>
        <w:keepNext w:val="0"/>
        <w:rPr>
          <w:sz w:val="21"/>
          <w:szCs w:val="21"/>
          <w:lang w:val="it-IT"/>
        </w:rPr>
      </w:pPr>
      <w:r w:rsidRPr="00B17489">
        <w:rPr>
          <w:sz w:val="21"/>
          <w:szCs w:val="21"/>
          <w:lang w:val="it-IT"/>
        </w:rPr>
        <w:t>VENDOSI:</w:t>
      </w:r>
    </w:p>
    <w:p w:rsidR="00E5227E" w:rsidRPr="00B17489" w:rsidRDefault="00E5227E" w:rsidP="00E5227E">
      <w:pPr>
        <w:pStyle w:val="Paragrafi"/>
        <w:rPr>
          <w:sz w:val="21"/>
          <w:szCs w:val="21"/>
          <w:lang w:val="it-IT"/>
        </w:rPr>
      </w:pPr>
    </w:p>
    <w:p w:rsidR="00E5227E" w:rsidRPr="00B17489" w:rsidRDefault="00E5227E" w:rsidP="00E5227E">
      <w:pPr>
        <w:pStyle w:val="Paragrafi"/>
        <w:rPr>
          <w:sz w:val="21"/>
          <w:szCs w:val="21"/>
          <w:lang w:val="it-IT"/>
        </w:rPr>
      </w:pPr>
      <w:r w:rsidRPr="00B17489">
        <w:rPr>
          <w:sz w:val="21"/>
          <w:szCs w:val="21"/>
          <w:lang w:val="it-IT"/>
        </w:rPr>
        <w:t>- Rrëzimin e kërkesës</w:t>
      </w:r>
    </w:p>
    <w:p w:rsidR="00E5227E" w:rsidRPr="00B17489" w:rsidRDefault="00E5227E" w:rsidP="00E5227E">
      <w:pPr>
        <w:pStyle w:val="Paragrafi"/>
        <w:rPr>
          <w:sz w:val="21"/>
          <w:szCs w:val="21"/>
          <w:lang w:val="it-IT"/>
        </w:rPr>
      </w:pPr>
      <w:r w:rsidRPr="00B17489">
        <w:rPr>
          <w:sz w:val="21"/>
          <w:szCs w:val="21"/>
          <w:lang w:val="it-IT"/>
        </w:rPr>
        <w:t xml:space="preserve">Ky vendim është përfundimtar, i formës së prerë dhe hyn në fuqi ditën e botimit në Fletoren </w:t>
      </w:r>
      <w:r w:rsidRPr="00B17489">
        <w:rPr>
          <w:sz w:val="21"/>
          <w:szCs w:val="21"/>
          <w:lang w:val="it-IT"/>
        </w:rPr>
        <w:lastRenderedPageBreak/>
        <w:t>Zyrtare.</w:t>
      </w:r>
    </w:p>
    <w:p w:rsidR="00E5227E" w:rsidRPr="00B17489" w:rsidRDefault="00E5227E" w:rsidP="00E5227E">
      <w:pPr>
        <w:pStyle w:val="Paragrafi"/>
        <w:rPr>
          <w:sz w:val="21"/>
          <w:szCs w:val="21"/>
          <w:lang w:val="it-IT"/>
        </w:rPr>
      </w:pPr>
    </w:p>
    <w:p w:rsidR="00E5227E" w:rsidRPr="00B17489" w:rsidRDefault="00E5227E" w:rsidP="00E5227E">
      <w:pPr>
        <w:pStyle w:val="Paragrafi"/>
        <w:rPr>
          <w:sz w:val="21"/>
          <w:szCs w:val="21"/>
          <w:lang w:val="it-IT"/>
        </w:rPr>
      </w:pPr>
      <w:r w:rsidRPr="00B17489">
        <w:rPr>
          <w:sz w:val="21"/>
          <w:szCs w:val="21"/>
          <w:lang w:val="it-IT"/>
        </w:rPr>
        <w:t>Kryetar: V. Kristo</w:t>
      </w:r>
    </w:p>
    <w:p w:rsidR="00E5227E" w:rsidRPr="00B17489" w:rsidRDefault="00E5227E" w:rsidP="00E5227E">
      <w:pPr>
        <w:pStyle w:val="Paragrafi"/>
        <w:rPr>
          <w:sz w:val="21"/>
          <w:szCs w:val="21"/>
          <w:lang w:val="it-IT"/>
        </w:rPr>
      </w:pPr>
      <w:r w:rsidRPr="00B17489">
        <w:rPr>
          <w:sz w:val="21"/>
          <w:szCs w:val="21"/>
          <w:lang w:val="it-IT"/>
        </w:rPr>
        <w:t>Anëtarë: K. Peçi, S. Sadushi, P. Plloçi, Xh. Zaganjori, K. Puto</w:t>
      </w:r>
    </w:p>
    <w:p w:rsidR="00E5227E" w:rsidRPr="00B17489" w:rsidRDefault="00E5227E" w:rsidP="00E5227E">
      <w:pPr>
        <w:pStyle w:val="Paragrafi"/>
        <w:rPr>
          <w:sz w:val="21"/>
          <w:szCs w:val="21"/>
          <w:lang w:val="it-IT"/>
        </w:rPr>
      </w:pPr>
      <w:r w:rsidRPr="00B17489">
        <w:rPr>
          <w:sz w:val="21"/>
          <w:szCs w:val="21"/>
          <w:lang w:val="it-IT"/>
        </w:rPr>
        <w:t>Anëtarë kundër: F. Abdiu, Gj. Sauli, S. Berberi</w:t>
      </w:r>
    </w:p>
    <w:p w:rsidR="00E5227E" w:rsidRPr="00B17489" w:rsidRDefault="00E5227E" w:rsidP="00E5227E">
      <w:pPr>
        <w:pStyle w:val="Paragrafi"/>
        <w:rPr>
          <w:sz w:val="21"/>
          <w:szCs w:val="21"/>
          <w:lang w:val="it-IT"/>
        </w:rPr>
      </w:pPr>
    </w:p>
    <w:p w:rsidR="000178C2" w:rsidRPr="00C84B66" w:rsidRDefault="000178C2" w:rsidP="00E5227E">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5227E"/>
    <w:rsid w:val="000178C2"/>
    <w:rsid w:val="000A780A"/>
    <w:rsid w:val="00211EE2"/>
    <w:rsid w:val="003218C2"/>
    <w:rsid w:val="003B3DD8"/>
    <w:rsid w:val="009723D5"/>
    <w:rsid w:val="00BD1D25"/>
    <w:rsid w:val="00C84B66"/>
    <w:rsid w:val="00E5227E"/>
    <w:rsid w:val="00F75A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B012070-ADCC-4819-9FE0-FF9CA6BF9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0A780A"/>
  </w:style>
  <w:style w:type="paragraph" w:customStyle="1" w:styleId="Akti">
    <w:name w:val="Akti"/>
    <w:rsid w:val="003B3DD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B3DD8"/>
    <w:rPr>
      <w:rFonts w:ascii="CG Times" w:hAnsi="CG Times"/>
      <w:sz w:val="22"/>
      <w:lang w:eastAsia="en-US"/>
    </w:rPr>
  </w:style>
  <w:style w:type="paragraph" w:customStyle="1" w:styleId="AneksiNr">
    <w:name w:val="Aneksi_Nr"/>
    <w:next w:val="Normal"/>
    <w:rsid w:val="003B3DD8"/>
    <w:pPr>
      <w:keepNext/>
      <w:widowControl w:val="0"/>
      <w:jc w:val="center"/>
    </w:pPr>
    <w:rPr>
      <w:rFonts w:ascii="CG Times" w:hAnsi="CG Times"/>
      <w:caps/>
      <w:sz w:val="22"/>
      <w:szCs w:val="22"/>
      <w:lang w:eastAsia="en-US"/>
    </w:rPr>
  </w:style>
  <w:style w:type="paragraph" w:customStyle="1" w:styleId="AneksiTitull">
    <w:name w:val="Aneksi_Titull"/>
    <w:next w:val="Normal"/>
    <w:rsid w:val="003B3DD8"/>
    <w:pPr>
      <w:jc w:val="center"/>
    </w:pPr>
    <w:rPr>
      <w:rFonts w:ascii="CG Times" w:hAnsi="CG Times"/>
      <w:sz w:val="24"/>
      <w:szCs w:val="24"/>
      <w:lang w:eastAsia="en-US"/>
    </w:rPr>
  </w:style>
  <w:style w:type="paragraph" w:customStyle="1" w:styleId="Autoriteti">
    <w:name w:val="Autoriteti"/>
    <w:next w:val="AutoritetiEmer"/>
    <w:rsid w:val="003B3DD8"/>
    <w:pPr>
      <w:keepNext/>
      <w:widowControl w:val="0"/>
      <w:jc w:val="right"/>
    </w:pPr>
    <w:rPr>
      <w:rFonts w:ascii="CG Times" w:hAnsi="CG Times"/>
      <w:caps/>
      <w:sz w:val="22"/>
      <w:szCs w:val="22"/>
      <w:lang w:eastAsia="en-US"/>
    </w:rPr>
  </w:style>
  <w:style w:type="paragraph" w:customStyle="1" w:styleId="AutoritetiEmer">
    <w:name w:val="Autoriteti_Emer"/>
    <w:next w:val="Normal"/>
    <w:rsid w:val="003B3DD8"/>
    <w:pPr>
      <w:widowControl w:val="0"/>
      <w:jc w:val="right"/>
    </w:pPr>
    <w:rPr>
      <w:rFonts w:ascii="CG Times" w:hAnsi="CG Times"/>
      <w:b/>
      <w:sz w:val="22"/>
      <w:szCs w:val="22"/>
      <w:lang w:eastAsia="en-US"/>
    </w:rPr>
  </w:style>
  <w:style w:type="paragraph" w:customStyle="1" w:styleId="BazLigjPropozues">
    <w:name w:val="Baz_Ligj_Propozues"/>
    <w:rsid w:val="003B3DD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B3DD8"/>
    <w:pPr>
      <w:jc w:val="center"/>
    </w:pPr>
    <w:rPr>
      <w:rFonts w:ascii="CG Times" w:hAnsi="CG Times"/>
      <w:caps/>
      <w:sz w:val="22"/>
      <w:szCs w:val="22"/>
      <w:lang w:eastAsia="en-US"/>
    </w:rPr>
  </w:style>
  <w:style w:type="paragraph" w:customStyle="1" w:styleId="Figure">
    <w:name w:val="Figure"/>
    <w:next w:val="Normal"/>
    <w:rsid w:val="003B3DD8"/>
    <w:pPr>
      <w:widowControl w:val="0"/>
      <w:outlineLvl w:val="2"/>
    </w:pPr>
    <w:rPr>
      <w:rFonts w:ascii="CG Times" w:hAnsi="CG Times"/>
      <w:sz w:val="22"/>
      <w:lang w:val="en-US" w:eastAsia="en-US"/>
    </w:rPr>
  </w:style>
  <w:style w:type="paragraph" w:customStyle="1" w:styleId="Institucioni">
    <w:name w:val="Institucioni"/>
    <w:next w:val="Normal"/>
    <w:rsid w:val="003B3DD8"/>
    <w:pPr>
      <w:keepNext/>
      <w:widowControl w:val="0"/>
      <w:jc w:val="center"/>
    </w:pPr>
    <w:rPr>
      <w:rFonts w:ascii="CG Times" w:hAnsi="CG Times"/>
      <w:caps/>
      <w:sz w:val="22"/>
      <w:szCs w:val="22"/>
      <w:lang w:eastAsia="en-US"/>
    </w:rPr>
  </w:style>
  <w:style w:type="paragraph" w:customStyle="1" w:styleId="Kapakufund">
    <w:name w:val="Kapaku_fund"/>
    <w:next w:val="Normal"/>
    <w:rsid w:val="003B3DD8"/>
    <w:pPr>
      <w:pageBreakBefore/>
    </w:pPr>
    <w:rPr>
      <w:rFonts w:ascii="CG Times" w:hAnsi="CG Times"/>
      <w:b/>
      <w:sz w:val="22"/>
      <w:szCs w:val="22"/>
      <w:lang w:val="en-US" w:eastAsia="en-US"/>
    </w:rPr>
  </w:style>
  <w:style w:type="paragraph" w:customStyle="1" w:styleId="KapitulliNr">
    <w:name w:val="Kapitulli_Nr"/>
    <w:rsid w:val="003B3DD8"/>
    <w:pPr>
      <w:keepNext/>
      <w:widowControl w:val="0"/>
      <w:jc w:val="center"/>
    </w:pPr>
    <w:rPr>
      <w:rFonts w:ascii="CG Times" w:hAnsi="CG Times"/>
      <w:caps/>
      <w:sz w:val="22"/>
      <w:szCs w:val="22"/>
      <w:lang w:eastAsia="en-US"/>
    </w:rPr>
  </w:style>
  <w:style w:type="paragraph" w:customStyle="1" w:styleId="KapitulliTitull">
    <w:name w:val="Kapitulli_Titull"/>
    <w:rsid w:val="003B3DD8"/>
    <w:pPr>
      <w:keepNext/>
      <w:widowControl w:val="0"/>
      <w:jc w:val="center"/>
    </w:pPr>
    <w:rPr>
      <w:rFonts w:ascii="CG Times" w:hAnsi="CG Times"/>
      <w:caps/>
      <w:sz w:val="22"/>
      <w:szCs w:val="22"/>
      <w:lang w:eastAsia="en-US"/>
    </w:rPr>
  </w:style>
  <w:style w:type="paragraph" w:customStyle="1" w:styleId="KreuNr">
    <w:name w:val="Kreu_Nr"/>
    <w:rsid w:val="003B3DD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B3DD8"/>
    <w:pPr>
      <w:keepNext/>
      <w:widowControl w:val="0"/>
      <w:jc w:val="center"/>
    </w:pPr>
    <w:rPr>
      <w:rFonts w:ascii="CG Times" w:hAnsi="CG Times"/>
      <w:caps/>
      <w:sz w:val="22"/>
      <w:szCs w:val="22"/>
      <w:lang w:val="en-US" w:eastAsia="en-US"/>
    </w:rPr>
  </w:style>
  <w:style w:type="paragraph" w:customStyle="1" w:styleId="Ndryshimet">
    <w:name w:val="Ndryshimet"/>
    <w:next w:val="Paragrafi"/>
    <w:rsid w:val="003B3DD8"/>
    <w:pPr>
      <w:keepNext/>
      <w:widowControl w:val="0"/>
      <w:jc w:val="center"/>
    </w:pPr>
    <w:rPr>
      <w:rFonts w:ascii="CG Times" w:hAnsi="CG Times"/>
      <w:i/>
      <w:sz w:val="22"/>
      <w:lang w:val="en-US" w:eastAsia="en-US"/>
    </w:rPr>
  </w:style>
  <w:style w:type="paragraph" w:customStyle="1" w:styleId="NeniNr">
    <w:name w:val="Neni_Nr"/>
    <w:next w:val="Normal"/>
    <w:rsid w:val="003B3DD8"/>
    <w:pPr>
      <w:keepNext/>
      <w:widowControl w:val="0"/>
      <w:jc w:val="center"/>
    </w:pPr>
    <w:rPr>
      <w:rFonts w:ascii="CG Times" w:hAnsi="CG Times"/>
      <w:sz w:val="22"/>
      <w:lang w:eastAsia="en-US"/>
    </w:rPr>
  </w:style>
  <w:style w:type="paragraph" w:customStyle="1" w:styleId="NeniTitull">
    <w:name w:val="Neni_Titull"/>
    <w:next w:val="Normal"/>
    <w:rsid w:val="003B3DD8"/>
    <w:pPr>
      <w:keepNext/>
      <w:widowControl w:val="0"/>
      <w:jc w:val="center"/>
      <w:outlineLvl w:val="2"/>
    </w:pPr>
    <w:rPr>
      <w:rFonts w:ascii="CG Times" w:hAnsi="CG Times"/>
      <w:b/>
      <w:sz w:val="22"/>
      <w:lang w:eastAsia="en-US"/>
    </w:rPr>
  </w:style>
  <w:style w:type="paragraph" w:customStyle="1" w:styleId="NenkreuNr">
    <w:name w:val="Nenkreu_Nr"/>
    <w:rsid w:val="003B3DD8"/>
    <w:pPr>
      <w:keepNext/>
      <w:widowControl w:val="0"/>
      <w:jc w:val="center"/>
    </w:pPr>
    <w:rPr>
      <w:rFonts w:ascii="CG Times" w:hAnsi="CG Times"/>
      <w:caps/>
      <w:sz w:val="22"/>
      <w:szCs w:val="22"/>
      <w:lang w:eastAsia="en-US"/>
    </w:rPr>
  </w:style>
  <w:style w:type="paragraph" w:customStyle="1" w:styleId="NenkreuTitull">
    <w:name w:val="Nenkreu_Titull"/>
    <w:rsid w:val="003B3DD8"/>
    <w:pPr>
      <w:jc w:val="center"/>
    </w:pPr>
    <w:rPr>
      <w:rFonts w:ascii="CG Times" w:hAnsi="CG Times"/>
      <w:caps/>
      <w:sz w:val="22"/>
      <w:szCs w:val="22"/>
      <w:lang w:eastAsia="en-US"/>
    </w:rPr>
  </w:style>
  <w:style w:type="paragraph" w:customStyle="1" w:styleId="Nenpika">
    <w:name w:val="Nenpika"/>
    <w:next w:val="Normal"/>
    <w:autoRedefine/>
    <w:rsid w:val="003B3DD8"/>
    <w:pPr>
      <w:ind w:firstLine="720"/>
    </w:pPr>
    <w:rPr>
      <w:rFonts w:ascii="CG Times" w:hAnsi="CG Times"/>
      <w:sz w:val="22"/>
      <w:lang w:val="en-US" w:eastAsia="en-US"/>
    </w:rPr>
  </w:style>
  <w:style w:type="paragraph" w:customStyle="1" w:styleId="NumriData">
    <w:name w:val="Numri_Data"/>
    <w:next w:val="Normal"/>
    <w:rsid w:val="003B3DD8"/>
    <w:pPr>
      <w:keepNext/>
      <w:widowControl w:val="0"/>
      <w:jc w:val="center"/>
      <w:outlineLvl w:val="0"/>
    </w:pPr>
    <w:rPr>
      <w:rFonts w:ascii="CG Times" w:hAnsi="CG Times"/>
      <w:b/>
      <w:sz w:val="22"/>
      <w:lang w:eastAsia="en-US"/>
    </w:rPr>
  </w:style>
  <w:style w:type="paragraph" w:customStyle="1" w:styleId="Paragrafi">
    <w:name w:val="Paragrafi"/>
    <w:link w:val="ParagrafiChar"/>
    <w:rsid w:val="003B3DD8"/>
    <w:pPr>
      <w:widowControl w:val="0"/>
      <w:ind w:firstLine="720"/>
      <w:jc w:val="both"/>
    </w:pPr>
    <w:rPr>
      <w:rFonts w:ascii="CG Times" w:hAnsi="CG Times"/>
      <w:sz w:val="22"/>
      <w:lang w:val="en-US" w:eastAsia="en-US"/>
    </w:rPr>
  </w:style>
  <w:style w:type="paragraph" w:customStyle="1" w:styleId="Pika">
    <w:name w:val="Pika"/>
    <w:next w:val="Normal"/>
    <w:autoRedefine/>
    <w:rsid w:val="003B3DD8"/>
    <w:pPr>
      <w:ind w:firstLine="720"/>
    </w:pPr>
    <w:rPr>
      <w:rFonts w:ascii="CG Times" w:hAnsi="CG Times"/>
      <w:sz w:val="22"/>
      <w:lang w:val="en-US" w:eastAsia="en-US"/>
    </w:rPr>
  </w:style>
  <w:style w:type="paragraph" w:customStyle="1" w:styleId="PikeKreu">
    <w:name w:val="Pike_Kreu"/>
    <w:basedOn w:val="Heading1"/>
    <w:rsid w:val="003B3DD8"/>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B3DD8"/>
    <w:pPr>
      <w:keepNext/>
      <w:widowControl w:val="0"/>
      <w:jc w:val="center"/>
    </w:pPr>
    <w:rPr>
      <w:rFonts w:ascii="CG Times" w:hAnsi="CG Times"/>
      <w:caps/>
      <w:sz w:val="22"/>
      <w:szCs w:val="22"/>
      <w:lang w:eastAsia="en-US"/>
    </w:rPr>
  </w:style>
  <w:style w:type="paragraph" w:customStyle="1" w:styleId="PjesaTitull">
    <w:name w:val="Pjesa_Titull"/>
    <w:rsid w:val="003B3DD8"/>
    <w:pPr>
      <w:keepNext/>
      <w:widowControl w:val="0"/>
      <w:jc w:val="center"/>
    </w:pPr>
    <w:rPr>
      <w:rFonts w:ascii="CG Times" w:hAnsi="CG Times"/>
      <w:caps/>
      <w:sz w:val="22"/>
      <w:szCs w:val="22"/>
      <w:lang w:eastAsia="en-US"/>
    </w:rPr>
  </w:style>
  <w:style w:type="paragraph" w:customStyle="1" w:styleId="Shpallja">
    <w:name w:val="Shpallja"/>
    <w:rsid w:val="003B3DD8"/>
    <w:pPr>
      <w:widowControl w:val="0"/>
      <w:jc w:val="both"/>
    </w:pPr>
    <w:rPr>
      <w:rFonts w:ascii="CG Times" w:hAnsi="CG Times"/>
      <w:b/>
      <w:color w:val="000000"/>
      <w:sz w:val="22"/>
      <w:szCs w:val="22"/>
      <w:lang w:val="sq-AL" w:eastAsia="en-US"/>
    </w:rPr>
  </w:style>
  <w:style w:type="paragraph" w:customStyle="1" w:styleId="Tabele">
    <w:name w:val="Tabele"/>
    <w:rsid w:val="003B3DD8"/>
    <w:rPr>
      <w:rFonts w:ascii="CG Times" w:hAnsi="CG Times"/>
      <w:sz w:val="22"/>
      <w:lang w:eastAsia="en-US"/>
    </w:rPr>
  </w:style>
  <w:style w:type="paragraph" w:customStyle="1" w:styleId="Titulli">
    <w:name w:val="Titulli"/>
    <w:next w:val="Normal"/>
    <w:link w:val="TitulliChar"/>
    <w:rsid w:val="003B3DD8"/>
    <w:pPr>
      <w:keepNext/>
      <w:widowControl w:val="0"/>
      <w:jc w:val="center"/>
      <w:outlineLvl w:val="1"/>
    </w:pPr>
    <w:rPr>
      <w:rFonts w:ascii="CG Times" w:hAnsi="CG Times"/>
      <w:b/>
      <w:caps/>
      <w:sz w:val="22"/>
      <w:szCs w:val="22"/>
      <w:lang w:eastAsia="en-US"/>
    </w:rPr>
  </w:style>
  <w:style w:type="paragraph" w:customStyle="1" w:styleId="TitulliNr">
    <w:name w:val="Titulli_Nr"/>
    <w:rsid w:val="003B3DD8"/>
    <w:pPr>
      <w:keepNext/>
      <w:widowControl w:val="0"/>
      <w:jc w:val="center"/>
    </w:pPr>
    <w:rPr>
      <w:rFonts w:ascii="CG Times" w:hAnsi="CG Times"/>
      <w:caps/>
      <w:sz w:val="22"/>
      <w:szCs w:val="22"/>
      <w:lang w:eastAsia="en-US"/>
    </w:rPr>
  </w:style>
  <w:style w:type="paragraph" w:customStyle="1" w:styleId="TitulliTitull">
    <w:name w:val="Titulli_Titull"/>
    <w:rsid w:val="003B3DD8"/>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B3DD8"/>
    <w:pPr>
      <w:keepNext/>
      <w:widowControl w:val="0"/>
      <w:jc w:val="center"/>
    </w:pPr>
    <w:rPr>
      <w:rFonts w:ascii="CG Times" w:hAnsi="CG Times"/>
      <w:caps/>
      <w:sz w:val="22"/>
      <w:szCs w:val="22"/>
      <w:lang w:eastAsia="en-US"/>
    </w:rPr>
  </w:style>
  <w:style w:type="paragraph" w:customStyle="1" w:styleId="ADDRESS">
    <w:name w:val="ADDRESS"/>
    <w:basedOn w:val="Normal"/>
    <w:rsid w:val="000A780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0A780A"/>
    <w:rPr>
      <w:rFonts w:ascii="CG Times" w:eastAsia="MS Mincho" w:hAnsi="CG Times"/>
      <w:b/>
      <w:sz w:val="22"/>
      <w:szCs w:val="22"/>
      <w:lang w:val="en-GB" w:eastAsia="en-US" w:bidi="ar-SA"/>
    </w:rPr>
  </w:style>
  <w:style w:type="paragraph" w:customStyle="1" w:styleId="bcpara">
    <w:name w:val="bc para"/>
    <w:basedOn w:val="Normal"/>
    <w:rsid w:val="00211EE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211EE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211EE2"/>
    <w:pPr>
      <w:spacing w:after="720"/>
      <w:ind w:left="1134"/>
      <w:jc w:val="both"/>
    </w:pPr>
    <w:rPr>
      <w:rFonts w:ascii="Arial" w:hAnsi="Arial"/>
      <w:sz w:val="20"/>
      <w:szCs w:val="20"/>
      <w:lang w:val="en-GB"/>
    </w:rPr>
  </w:style>
  <w:style w:type="paragraph" w:customStyle="1" w:styleId="bcverylastparaa">
    <w:name w:val="bc very last para (a)"/>
    <w:basedOn w:val="Normal"/>
    <w:rsid w:val="00211EE2"/>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211EE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211EE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0A780A"/>
    <w:pPr>
      <w:spacing w:after="120"/>
      <w:jc w:val="both"/>
    </w:pPr>
    <w:rPr>
      <w:rFonts w:ascii="Bookman Old Style" w:hAnsi="Bookman Old Style"/>
      <w:szCs w:val="20"/>
    </w:rPr>
  </w:style>
  <w:style w:type="paragraph" w:customStyle="1" w:styleId="numberedindent">
    <w:name w:val="numberedindent"/>
    <w:rsid w:val="000A780A"/>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211EE2"/>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0A780A"/>
    <w:rPr>
      <w:rFonts w:ascii="CG Times" w:eastAsia="MS Mincho" w:hAnsi="CG Times"/>
      <w:b/>
      <w:caps/>
      <w:sz w:val="22"/>
      <w:szCs w:val="22"/>
      <w:lang w:val="en-GB" w:eastAsia="en-US" w:bidi="ar-SA"/>
    </w:rPr>
  </w:style>
  <w:style w:type="character" w:customStyle="1" w:styleId="TitulliChar">
    <w:name w:val="Titulli Char"/>
    <w:basedOn w:val="DefaultParagraphFont"/>
    <w:link w:val="Titulli"/>
    <w:rsid w:val="00E5227E"/>
    <w:rPr>
      <w:rFonts w:ascii="CG Times" w:hAnsi="CG Times"/>
      <w:b/>
      <w:caps/>
      <w:sz w:val="22"/>
      <w:szCs w:val="22"/>
      <w:lang w:val="en-GB" w:eastAsia="en-US" w:bidi="ar-SA"/>
    </w:rPr>
  </w:style>
  <w:style w:type="character" w:customStyle="1" w:styleId="VENDOSIChar">
    <w:name w:val="VENDOSI Char"/>
    <w:basedOn w:val="DefaultParagraphFont"/>
    <w:link w:val="VENDOSI"/>
    <w:rsid w:val="00E5227E"/>
    <w:rPr>
      <w:rFonts w:ascii="CG Times" w:hAnsi="CG Times"/>
      <w:caps/>
      <w:sz w:val="22"/>
      <w:szCs w:val="22"/>
      <w:lang w:val="en-GB" w:eastAsia="en-US" w:bidi="ar-SA"/>
    </w:rPr>
  </w:style>
  <w:style w:type="character" w:customStyle="1" w:styleId="ParagrafiChar">
    <w:name w:val="Paragrafi Char"/>
    <w:basedOn w:val="DefaultParagraphFont"/>
    <w:link w:val="Paragrafi"/>
    <w:rsid w:val="00E5227E"/>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1089</Words>
  <Characters>6212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7287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2019-03-16T18:06:00Z</dcterms:created>
  <dcterms:modified xsi:type="dcterms:W3CDTF">2019-03-16T18:06:00Z</dcterms:modified>
</cp:coreProperties>
</file>