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055" w:rsidRPr="00D4335E" w:rsidRDefault="00A06055" w:rsidP="00A06055">
      <w:pPr>
        <w:pStyle w:val="Akti"/>
        <w:keepNext w:val="0"/>
      </w:pPr>
      <w:bookmarkStart w:id="0" w:name="_GoBack"/>
      <w:bookmarkEnd w:id="0"/>
      <w:r w:rsidRPr="00D4335E">
        <w:t>VENDIM</w:t>
      </w:r>
    </w:p>
    <w:p w:rsidR="00A06055" w:rsidRPr="00D4335E" w:rsidRDefault="00A06055" w:rsidP="00A06055">
      <w:pPr>
        <w:pStyle w:val="NumriData"/>
        <w:keepNext w:val="0"/>
      </w:pPr>
      <w:r w:rsidRPr="00D4335E">
        <w:t>Nr.5, datë 4.3.2008</w:t>
      </w:r>
    </w:p>
    <w:p w:rsidR="00A06055" w:rsidRPr="00D4335E" w:rsidRDefault="00A06055" w:rsidP="00A06055">
      <w:pPr>
        <w:pStyle w:val="Paragrafi"/>
        <w:rPr>
          <w:lang w:val="sq-AL"/>
        </w:rPr>
      </w:pPr>
    </w:p>
    <w:p w:rsidR="00A06055" w:rsidRPr="00D4335E" w:rsidRDefault="00A06055" w:rsidP="00A06055">
      <w:pPr>
        <w:pStyle w:val="Titulli"/>
        <w:keepNext w:val="0"/>
      </w:pPr>
      <w:r w:rsidRPr="00D4335E">
        <w:t>NË EMËR TË REPUBLIKËS SË SHQIPËRISË</w:t>
      </w:r>
    </w:p>
    <w:p w:rsidR="00A06055" w:rsidRPr="00D4335E" w:rsidRDefault="00A06055" w:rsidP="00A06055">
      <w:pPr>
        <w:pStyle w:val="Paragrafi"/>
        <w:rPr>
          <w:lang w:val="sq-AL"/>
        </w:rPr>
      </w:pPr>
    </w:p>
    <w:p w:rsidR="00A06055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>Gjykata Kushtetuese e Republikës së Shqipërisë, e përbërë nga:</w:t>
      </w:r>
    </w:p>
    <w:p w:rsidR="00A06055" w:rsidRPr="00D4335E" w:rsidRDefault="00A06055" w:rsidP="00A06055">
      <w:pPr>
        <w:pStyle w:val="Paragrafi"/>
        <w:rPr>
          <w:lang w:val="sq-AL"/>
        </w:rPr>
      </w:pPr>
    </w:p>
    <w:p w:rsidR="00A06055" w:rsidRPr="00D4335E" w:rsidRDefault="00A06055" w:rsidP="00A06055">
      <w:pPr>
        <w:pStyle w:val="Paragrafi"/>
        <w:rPr>
          <w:lang w:val="sq-AL"/>
        </w:rPr>
      </w:pPr>
      <w:r>
        <w:rPr>
          <w:lang w:val="sq-AL"/>
        </w:rPr>
        <w:t>Vl</w:t>
      </w:r>
      <w:r w:rsidRPr="00D4335E">
        <w:rPr>
          <w:lang w:val="sq-AL"/>
        </w:rPr>
        <w:t xml:space="preserve">adimir Kristo        </w:t>
      </w:r>
      <w:r w:rsidRPr="00D4335E">
        <w:rPr>
          <w:lang w:val="sq-AL"/>
        </w:rPr>
        <w:tab/>
        <w:t xml:space="preserve">Kryetar i  Gjykatës Kushtetuese 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 xml:space="preserve">Gjergj Sauli              </w:t>
      </w:r>
      <w:r w:rsidRPr="00D4335E">
        <w:rPr>
          <w:lang w:val="sq-AL"/>
        </w:rPr>
        <w:tab/>
        <w:t xml:space="preserve">Anëtar  i          “          “   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 xml:space="preserve">Fehmi Abdiu             </w:t>
      </w:r>
      <w:r w:rsidRPr="00D4335E">
        <w:rPr>
          <w:lang w:val="sq-AL"/>
        </w:rPr>
        <w:tab/>
        <w:t>Anëtar i           “          “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 xml:space="preserve">Kristofor Peçi           </w:t>
      </w:r>
      <w:r w:rsidRPr="00D4335E">
        <w:rPr>
          <w:lang w:val="sq-AL"/>
        </w:rPr>
        <w:tab/>
        <w:t xml:space="preserve">Anëtar i          “           “ 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 xml:space="preserve">Kujtim Puto              </w:t>
      </w:r>
      <w:r w:rsidRPr="00D4335E">
        <w:rPr>
          <w:lang w:val="sq-AL"/>
        </w:rPr>
        <w:tab/>
        <w:t>Anëtar i          “           “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 xml:space="preserve">Xhezair Zaganjori     </w:t>
      </w:r>
      <w:r w:rsidRPr="00D4335E">
        <w:rPr>
          <w:lang w:val="sq-AL"/>
        </w:rPr>
        <w:tab/>
        <w:t xml:space="preserve">Anëtar  i          “          “   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 xml:space="preserve">Petrit Plloçi               </w:t>
      </w:r>
      <w:r w:rsidRPr="00D4335E">
        <w:rPr>
          <w:lang w:val="sq-AL"/>
        </w:rPr>
        <w:tab/>
        <w:t xml:space="preserve">Anëtar  i          “          “  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 xml:space="preserve">Sokol Berberi           </w:t>
      </w:r>
      <w:r w:rsidRPr="00D4335E">
        <w:rPr>
          <w:lang w:val="sq-AL"/>
        </w:rPr>
        <w:tab/>
        <w:t>Anëtar i          “           “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 xml:space="preserve">Sokol Sadushi           </w:t>
      </w:r>
      <w:r w:rsidRPr="00D4335E">
        <w:rPr>
          <w:lang w:val="sq-AL"/>
        </w:rPr>
        <w:tab/>
        <w:t>Anëtar  i         “          “</w:t>
      </w:r>
    </w:p>
    <w:p w:rsidR="00A06055" w:rsidRPr="00D4335E" w:rsidRDefault="00A06055" w:rsidP="00A06055">
      <w:pPr>
        <w:pStyle w:val="Paragrafi"/>
        <w:rPr>
          <w:lang w:val="sq-AL"/>
        </w:rPr>
      </w:pP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>me sekretare Brunilda Bara, më datë</w:t>
      </w:r>
      <w:r>
        <w:rPr>
          <w:lang w:val="sq-AL"/>
        </w:rPr>
        <w:t>n</w:t>
      </w:r>
      <w:r w:rsidRPr="00D4335E">
        <w:rPr>
          <w:lang w:val="sq-AL"/>
        </w:rPr>
        <w:t xml:space="preserve"> 18.12.2007, mori në shqyrtim në seancë gjyqësore me dyer të hapura çështjen nr.56/10 Akti</w:t>
      </w:r>
      <w:r>
        <w:rPr>
          <w:lang w:val="sq-AL"/>
        </w:rPr>
        <w:t>,</w:t>
      </w:r>
      <w:r w:rsidRPr="00D4335E">
        <w:rPr>
          <w:lang w:val="sq-AL"/>
        </w:rPr>
        <w:t xml:space="preserve"> që i përket: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>KËRKUES:  ASTRIT ZEKA,  përfaqësuar nga</w:t>
      </w:r>
      <w:r>
        <w:rPr>
          <w:lang w:val="sq-AL"/>
        </w:rPr>
        <w:t xml:space="preserve"> avokat Brahim Lahi, me prokurë.</w:t>
      </w:r>
      <w:r w:rsidRPr="00D4335E">
        <w:rPr>
          <w:lang w:val="sq-AL"/>
        </w:rPr>
        <w:t xml:space="preserve">   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>SUBJEKTI I INTERESUAR: PROKURORIA E PËRGJITHSHME, në mungesë.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 xml:space="preserve">OBJEKTI: Shfuqizimi si antikushtetues i vendimit nr.538, datë 27.6.2007 të Kolegjit Penal të Gjykatës së Lartë. </w:t>
      </w:r>
    </w:p>
    <w:p w:rsidR="00A06055" w:rsidRPr="00D4335E" w:rsidRDefault="00A06055" w:rsidP="00A06055">
      <w:pPr>
        <w:pStyle w:val="Paragrafi"/>
        <w:rPr>
          <w:lang w:val="sq-AL"/>
        </w:rPr>
      </w:pPr>
      <w:r>
        <w:rPr>
          <w:lang w:val="sq-AL"/>
        </w:rPr>
        <w:t>Kërkuesi pretendon</w:t>
      </w:r>
      <w:r w:rsidRPr="00D4335E">
        <w:rPr>
          <w:lang w:val="sq-AL"/>
        </w:rPr>
        <w:t xml:space="preserve"> se gjatë gjykimit të çështjes penale në ngarkim të tij nuk janë respektuar standardet e procesit të rregullt ligjor në këto drejtime kryesore:  </w:t>
      </w:r>
    </w:p>
    <w:p w:rsidR="00A06055" w:rsidRPr="00D4335E" w:rsidRDefault="00A06055" w:rsidP="00A06055">
      <w:pPr>
        <w:pStyle w:val="Paragrafi"/>
        <w:rPr>
          <w:lang w:val="sq-AL"/>
        </w:rPr>
      </w:pPr>
      <w:r>
        <w:rPr>
          <w:lang w:val="sq-AL"/>
        </w:rPr>
        <w:t>- Ç</w:t>
      </w:r>
      <w:r w:rsidRPr="00D4335E">
        <w:rPr>
          <w:lang w:val="sq-AL"/>
        </w:rPr>
        <w:t>ështja është shqyrtuar në Gjykatën e Lartë pa i njoftuar më parë rekursin atij, por d</w:t>
      </w:r>
      <w:r>
        <w:rPr>
          <w:lang w:val="sq-AL"/>
        </w:rPr>
        <w:t>he avokatit të caktuar prej tij.</w:t>
      </w:r>
      <w:r w:rsidRPr="00D4335E">
        <w:rPr>
          <w:lang w:val="sq-AL"/>
        </w:rPr>
        <w:t xml:space="preserve"> 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 xml:space="preserve">- Kolegji Penal i Gjykatës së Lartë e ka zhvilluar gjykimin e çështjes pa praninë e tij apo të mbrojtësit dhe madje, pa caktuar as edhe një mbrojtës kryesisht. 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 xml:space="preserve">  </w:t>
      </w:r>
    </w:p>
    <w:p w:rsidR="00A06055" w:rsidRPr="00A06055" w:rsidRDefault="00A06055" w:rsidP="00A06055">
      <w:pPr>
        <w:pStyle w:val="Institucioni"/>
        <w:keepNext w:val="0"/>
        <w:rPr>
          <w:lang w:val="sq-AL"/>
        </w:rPr>
      </w:pPr>
      <w:r w:rsidRPr="00A06055">
        <w:rPr>
          <w:lang w:val="sq-AL"/>
        </w:rPr>
        <w:t>GJYKATA KUSHTETUESE,</w:t>
      </w:r>
    </w:p>
    <w:p w:rsidR="00A06055" w:rsidRPr="00D4335E" w:rsidRDefault="00A06055" w:rsidP="00A06055">
      <w:pPr>
        <w:pStyle w:val="Paragrafi"/>
        <w:rPr>
          <w:lang w:val="sq-AL"/>
        </w:rPr>
      </w:pP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>pasi dëgjoi relatorin e çështjes z.Sokol Sadushi dhe pasi shqyrtoi çështjen në tërësi</w:t>
      </w:r>
      <w:r>
        <w:rPr>
          <w:lang w:val="sq-AL"/>
        </w:rPr>
        <w:t>,</w:t>
      </w:r>
    </w:p>
    <w:p w:rsidR="00A06055" w:rsidRPr="00D4335E" w:rsidRDefault="00A06055" w:rsidP="00A06055">
      <w:pPr>
        <w:pStyle w:val="Paragrafi"/>
        <w:rPr>
          <w:lang w:val="sq-AL"/>
        </w:rPr>
      </w:pPr>
    </w:p>
    <w:p w:rsidR="00A06055" w:rsidRPr="00A06055" w:rsidRDefault="00A06055" w:rsidP="00A06055">
      <w:pPr>
        <w:pStyle w:val="VENDOSI"/>
        <w:keepNext w:val="0"/>
        <w:rPr>
          <w:lang w:val="sq-AL"/>
        </w:rPr>
      </w:pPr>
      <w:r w:rsidRPr="00A06055">
        <w:rPr>
          <w:lang w:val="sq-AL"/>
        </w:rPr>
        <w:t>VËREN:</w:t>
      </w:r>
    </w:p>
    <w:p w:rsidR="00A06055" w:rsidRPr="00D4335E" w:rsidRDefault="00A06055" w:rsidP="00A06055">
      <w:pPr>
        <w:pStyle w:val="Paragrafi"/>
        <w:rPr>
          <w:lang w:val="sq-AL"/>
        </w:rPr>
      </w:pP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>Me vendimin e Gjykatës së Rrethit Gjyqësor Korçë, kërkuesi është dënuar me 11 vjet burgim për veprën penale të vrasjes të parashikuar nga neni 76 i Kodit Penal. Gjykata e Apelit Korçë ka ndryshuar cilësimin juridik të veprës</w:t>
      </w:r>
      <w:r>
        <w:rPr>
          <w:lang w:val="sq-AL"/>
        </w:rPr>
        <w:t>, nga vrasje e thjeshtë</w:t>
      </w:r>
      <w:r w:rsidRPr="00D4335E">
        <w:rPr>
          <w:lang w:val="sq-AL"/>
        </w:rPr>
        <w:t xml:space="preserve"> (neni 76 i Kodit Penal) në vrasje në kapërcim të kufijve të mbrojtjes së nevojshme (neni 83 i Kodit Penal) dhe e ka dënuar me 6 vjet burgim. Për pjesën e mbetur të dënimit kërkuesi ka përfituar nga amnistia dhe, për rrjedhojë, në kohën që zhvillohej gjykimi në Gjykatën e Lartë, ka qenë në gjendje të lirë. Mbi bazën e rekursit të prokurorit, Kolegji Penal i Gjykatës së Lartë ka prishur vendimin e Gjykatës së Apelit Korçë dhe ka lënë në fuqi vendimin e Gjykatës së Rrethit Gjyqësor Korçë. </w:t>
      </w:r>
    </w:p>
    <w:p w:rsidR="00A06055" w:rsidRPr="00D4335E" w:rsidRDefault="00A06055" w:rsidP="00A06055">
      <w:pPr>
        <w:pStyle w:val="Paragrafi"/>
        <w:rPr>
          <w:lang w:val="sq-AL"/>
        </w:rPr>
      </w:pPr>
      <w:r>
        <w:rPr>
          <w:lang w:val="sq-AL"/>
        </w:rPr>
        <w:t>Kërkuesi, në bazë të nenin 131</w:t>
      </w:r>
      <w:r w:rsidRPr="00D4335E">
        <w:rPr>
          <w:lang w:val="sq-AL"/>
        </w:rPr>
        <w:t xml:space="preserve"> shkronja “f” të Kushtetutës së Republikës së Shqipërisë, i është drejtuar Gjykatës Kushtetuese për kontrollin e kushtetushmërisë së vendimit të Kolegjit Penal të Gjykatës së Lartë, në drejtim të respektimit të së drejtës për një proces të rregullt ligjor.   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>Në lidhje me pretendimin e kërkuesit për mosnjoftimin e rekursit, nga dosja gjyqësore rezulton se nga ana e Gjykatës së Apelit Korçë është dërguar ky njoftim, i cili nuk është nënshkruar nga kërkuesi, avokati apo persona të tjerë të njohur nga ligji procedural penal, por nga xhaxhai i tij. Kolegji Penal i</w:t>
      </w:r>
      <w:r>
        <w:rPr>
          <w:lang w:val="sq-AL"/>
        </w:rPr>
        <w:t xml:space="preserve"> Gjykatës së Lartë, n</w:t>
      </w:r>
      <w:r w:rsidRPr="00D4335E">
        <w:rPr>
          <w:lang w:val="sq-AL"/>
        </w:rPr>
        <w:t>ë datë</w:t>
      </w:r>
      <w:r>
        <w:rPr>
          <w:lang w:val="sq-AL"/>
        </w:rPr>
        <w:t>n</w:t>
      </w:r>
      <w:r w:rsidRPr="00D4335E">
        <w:rPr>
          <w:lang w:val="sq-AL"/>
        </w:rPr>
        <w:t xml:space="preserve"> 18.4.2007, pasi ka verifikuar se nga aktet e dosjes nuk rezulton të jetë njoftuar i pandehuri apo avokati i tij, e ka shtyrë seancën gjyqësore për një datë tjetër. 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>Gjykata e Apelit Korçë, mbështetur në nenin 140 të Kodit të Procedurës Penale, në pamundësi për të bërë njoftimin për të pandehurin, pasi nuk i dihej vendbanimi, ka proceduar me komunikimin me shpallje.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lastRenderedPageBreak/>
        <w:t>Kolegji Penal i Gjykatës së Lartë e ka riçelur seancën gjyqësore më datën 27.6.2007</w:t>
      </w:r>
      <w:r>
        <w:rPr>
          <w:lang w:val="sq-AL"/>
        </w:rPr>
        <w:t>,</w:t>
      </w:r>
      <w:r w:rsidRPr="00D4335E">
        <w:rPr>
          <w:lang w:val="sq-AL"/>
        </w:rPr>
        <w:t xml:space="preserve"> ku  mungonin si i pandehuri</w:t>
      </w:r>
      <w:r>
        <w:rPr>
          <w:lang w:val="sq-AL"/>
        </w:rPr>
        <w:t>,</w:t>
      </w:r>
      <w:r w:rsidRPr="00D4335E">
        <w:rPr>
          <w:lang w:val="sq-AL"/>
        </w:rPr>
        <w:t xml:space="preserve"> ashtu edhe mbrojtësi i tij. Në këto rrethana, Kolegji Penal i Gjykatës së Lartë, pasi mori mendimin e prokurorit të çështjes, duke arsyetuar se “komunikimi është bërë sipas kërkesave ligjore”, vazhdoi seancën gjyqësore.</w:t>
      </w:r>
    </w:p>
    <w:p w:rsidR="00A06055" w:rsidRPr="00D4335E" w:rsidRDefault="00A06055" w:rsidP="00A06055">
      <w:pPr>
        <w:pStyle w:val="Paragrafi"/>
        <w:rPr>
          <w:lang w:val="sq-AL"/>
        </w:rPr>
      </w:pPr>
      <w:r>
        <w:rPr>
          <w:lang w:val="sq-AL"/>
        </w:rPr>
        <w:t>Gjykata Kushtetuese konstaton</w:t>
      </w:r>
      <w:r w:rsidRPr="00D4335E">
        <w:rPr>
          <w:lang w:val="sq-AL"/>
        </w:rPr>
        <w:t xml:space="preserve"> se pas rekursit të paraqitur nga prokurori, Kolegji Penal i Gjykatës së Lartë me vendimin e dhënë e ka ndryshuar </w:t>
      </w:r>
      <w:r w:rsidRPr="001E23B7">
        <w:rPr>
          <w:i/>
          <w:lang w:val="sq-AL"/>
        </w:rPr>
        <w:t>in peus</w:t>
      </w:r>
      <w:r w:rsidRPr="00D4335E">
        <w:rPr>
          <w:lang w:val="sq-AL"/>
        </w:rPr>
        <w:t xml:space="preserve"> (në përkeqësim) masën e dënimit të kërkuesit, ndërkohë që ky i fundit nuk ka mundur të sigurojë mbrojtjen e tij. Në praktikën e Gjykatës Kushtetuese, në varësi të specifikës së çdo rasti konkret, mënyra e zhvillimit të gjykimit është konsideruar pjesë përbërëse e juridiksionit kushtetues, në kuptim të neneve 42 dhe 131, shkronja “f” të Kushtetutës, s</w:t>
      </w:r>
      <w:r>
        <w:rPr>
          <w:lang w:val="sq-AL"/>
        </w:rPr>
        <w:t>i dhe të nenit 6 të Konventës Eu</w:t>
      </w:r>
      <w:r w:rsidRPr="00D4335E">
        <w:rPr>
          <w:lang w:val="sq-AL"/>
        </w:rPr>
        <w:t xml:space="preserve">ropiane për të Drejtat e Njeriut. 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>Duke iu referuar jurisprudencës gjyqësore, në mënyrë të veçantë asaj të Gjykatës Europiane për të Drejtat e Njeriut, përgjithësisht është pranuar që seancat gjyqësore të mos zhvillohen pa praninë e një avokati. Për shkak të zhvillimit të debatit gjyqësor për çështje të ligjit, pjesëmarrja e të pandehurit në gjykimin e ç</w:t>
      </w:r>
      <w:r>
        <w:rPr>
          <w:lang w:val="sq-AL"/>
        </w:rPr>
        <w:t>ështjes në gjykatat më të larta</w:t>
      </w:r>
      <w:r w:rsidRPr="00D4335E">
        <w:rPr>
          <w:lang w:val="sq-AL"/>
        </w:rPr>
        <w:t xml:space="preserve"> nuk është paraqitur e domosdoshme, me përjashtim të rasteve kur cilësitë personale të të pandehurit kanë pasur rëndësi vendimtare për dhënien e drejtësisë. Mbi këtë bazë është konsideruar si i mjaftueshëm njoftimi i avokatit mbi ankimin e ushtruar në shkallët më të larta të gjykimit. Në rast se as avokati dhe as i pandehuri nuk paraqiteshin në seancë gjyqësore, është konsideruar e palejueshme vazhdimi i mëtejshëm i saj.</w:t>
      </w:r>
      <w:r w:rsidRPr="00FF273E">
        <w:rPr>
          <w:vertAlign w:val="superscript"/>
          <w:lang w:val="sq-AL"/>
        </w:rPr>
        <w:footnoteReference w:id="1"/>
      </w:r>
      <w:r w:rsidRPr="00FF273E">
        <w:rPr>
          <w:vertAlign w:val="superscript"/>
          <w:lang w:val="sq-AL"/>
        </w:rPr>
        <w:t xml:space="preserve"> </w:t>
      </w:r>
      <w:r w:rsidRPr="00D4335E">
        <w:rPr>
          <w:lang w:val="sq-AL"/>
        </w:rPr>
        <w:t xml:space="preserve">   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 xml:space="preserve">Jurisprudenca kushtetuese shqiptare, në respektim edhe të qëndrimeve të mbajtura nga Gjykata Europiane për të </w:t>
      </w:r>
      <w:r>
        <w:rPr>
          <w:lang w:val="sq-AL"/>
        </w:rPr>
        <w:t>Drejtat e Njeriut, ka konkluduar</w:t>
      </w:r>
      <w:r w:rsidRPr="00D4335E">
        <w:rPr>
          <w:lang w:val="sq-AL"/>
        </w:rPr>
        <w:t xml:space="preserve"> se nisur nga natyra e gjykimit të çështjes në Gjykatën e Lartë dhe fokusimi i saj në probleme të ligjit “pa ndihmën e një avokati, procesi nuk mund të kontribuojë në mënyrë të dobishme në shqyrtimin e çështjeve juridike që qëndrojnë në thelb të mosmarrëveshjeve</w:t>
      </w:r>
      <w:r>
        <w:rPr>
          <w:lang w:val="sq-AL"/>
        </w:rPr>
        <w:t>”</w:t>
      </w:r>
      <w:r w:rsidRPr="00D4335E">
        <w:rPr>
          <w:lang w:val="sq-AL"/>
        </w:rPr>
        <w:t>.</w:t>
      </w:r>
      <w:r w:rsidRPr="00FF273E">
        <w:rPr>
          <w:vertAlign w:val="superscript"/>
          <w:lang w:val="sq-AL"/>
        </w:rPr>
        <w:footnoteReference w:id="2"/>
      </w:r>
      <w:r w:rsidRPr="00FF273E">
        <w:rPr>
          <w:vertAlign w:val="superscript"/>
          <w:lang w:val="sq-AL"/>
        </w:rPr>
        <w:t xml:space="preserve"> 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>Gjykimi në Gjykatën e Lartë, në dallim nga procedurat strikte të gjykimit që zhvillohen në gjykatat e zakonshme, ka si veçori paraqit</w:t>
      </w:r>
      <w:r>
        <w:rPr>
          <w:lang w:val="sq-AL"/>
        </w:rPr>
        <w:t>jen vetëm të argumenteve ligjore</w:t>
      </w:r>
      <w:r w:rsidRPr="00D4335E">
        <w:rPr>
          <w:lang w:val="sq-AL"/>
        </w:rPr>
        <w:t>. Kompleksiteti i procedurave të gjykimit në Gjykatën e Lartë konfirmohet edhe nga dis</w:t>
      </w:r>
      <w:r>
        <w:rPr>
          <w:lang w:val="sq-AL"/>
        </w:rPr>
        <w:t>pozitat ligjore që sanksionojnë se palët</w:t>
      </w:r>
      <w:r w:rsidRPr="00D4335E">
        <w:rPr>
          <w:lang w:val="sq-AL"/>
        </w:rPr>
        <w:t xml:space="preserve"> duhet të përfaqësohen në këtë gjykim nga avokati. Prandaj, shqyrtimi nga Gjykata e Lartë kryesisht i çështjeve të ligjit, jo vetëm që e justifikon plotësisht përfaqësimin me avokat në seancat dëgjimore, por për më tepër, bëhet i domosdoshëm për garantimin në favor të të pandehurit të një mbrojtjeje efektive dhe profesionale.  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>Nisur nga specifika e rastit në shqyrtim, kur çështja gjykohej mbi bazën e rekursit të paraqitur nga prokurori, i cili kishte kërkuar rëndimin e pozitës së të pandehurit, dhe faktit që as i pandehuri dhe as avokati nuk ishin të pranishëm në gjykim, Kolegji Penal i Gjykatës së Lartë nuk duhej të zhvillonte gjykimin pa i dhënë mundësi palës së akuzuar për të realizuar mbrojtjen ligjore. Në aspektin e garantimit të procesit të rregullt ligjor, për Kolegjin Penal të Gjykatës së Lartë dilte e domosdoshme marrja e masave për të  lejuar zhvillimin e seancës në mungesë të përfaqësuesit të interesave të të pandehurit, si e vetmja mënyrë që i pandehuri, përmes figurës përfaqësuese të avokatit, të realizonte të drejtën për t</w:t>
      </w:r>
      <w:r>
        <w:rPr>
          <w:lang w:val="sq-AL"/>
        </w:rPr>
        <w:t>’</w:t>
      </w:r>
      <w:r w:rsidRPr="00D4335E">
        <w:rPr>
          <w:lang w:val="sq-AL"/>
        </w:rPr>
        <w:t xml:space="preserve">u mbrojtur. 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>Përfundimisht, Gjykata Kushtetuese çmon se gjykimi i zhvilluar në Gjykatën e Lartë ka qenë i parregullt nga pikëpamja kushtetuese, për shkak se kërkuesit i është cenuar e drejta për një proces të rregullt ligjor në kuptim të nenit 42 të Kushtetutës së Republikës së Shqipëris</w:t>
      </w:r>
      <w:r>
        <w:rPr>
          <w:lang w:val="sq-AL"/>
        </w:rPr>
        <w:t>ë dhe të nenit 6 të Konventës Eu</w:t>
      </w:r>
      <w:r w:rsidRPr="00D4335E">
        <w:rPr>
          <w:lang w:val="sq-AL"/>
        </w:rPr>
        <w:t xml:space="preserve">ropiane për të Drejtat e Njeriut. 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 xml:space="preserve"> </w:t>
      </w:r>
    </w:p>
    <w:p w:rsidR="00A06055" w:rsidRPr="00A655B5" w:rsidRDefault="00A06055" w:rsidP="00A06055">
      <w:pPr>
        <w:pStyle w:val="VENDOSI"/>
        <w:keepNext w:val="0"/>
        <w:rPr>
          <w:lang w:val="sq-AL"/>
        </w:rPr>
      </w:pPr>
      <w:r w:rsidRPr="00A655B5">
        <w:rPr>
          <w:lang w:val="sq-AL"/>
        </w:rPr>
        <w:t>PËR KËTO ARSYE,</w:t>
      </w:r>
    </w:p>
    <w:p w:rsidR="00A06055" w:rsidRPr="00D4335E" w:rsidRDefault="00A06055" w:rsidP="00A06055">
      <w:pPr>
        <w:pStyle w:val="Paragrafi"/>
        <w:rPr>
          <w:lang w:val="sq-AL"/>
        </w:rPr>
      </w:pP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>Gjykata Kushtetuese e Republikës së Shqipërisë</w:t>
      </w:r>
      <w:r>
        <w:rPr>
          <w:lang w:val="sq-AL"/>
        </w:rPr>
        <w:t>,</w:t>
      </w:r>
      <w:r w:rsidRPr="00D4335E">
        <w:rPr>
          <w:lang w:val="sq-AL"/>
        </w:rPr>
        <w:t xml:space="preserve"> duke u bazuar në nenet 131, shkronja “f”</w:t>
      </w:r>
      <w:r>
        <w:rPr>
          <w:lang w:val="sq-AL"/>
        </w:rPr>
        <w:t>,</w:t>
      </w:r>
      <w:r w:rsidRPr="00D4335E">
        <w:rPr>
          <w:lang w:val="sq-AL"/>
        </w:rPr>
        <w:t xml:space="preserve"> dhe 134, pika 1, shkronja “g”</w:t>
      </w:r>
      <w:r>
        <w:rPr>
          <w:lang w:val="sq-AL"/>
        </w:rPr>
        <w:t>,</w:t>
      </w:r>
      <w:r w:rsidRPr="00D4335E">
        <w:rPr>
          <w:lang w:val="sq-AL"/>
        </w:rPr>
        <w:t xml:space="preserve"> të Kushtetutës, si dhe në nenet 72 e</w:t>
      </w:r>
      <w:r>
        <w:rPr>
          <w:lang w:val="sq-AL"/>
        </w:rPr>
        <w:t xml:space="preserve"> 77 të l</w:t>
      </w:r>
      <w:r w:rsidRPr="00D4335E">
        <w:rPr>
          <w:lang w:val="sq-AL"/>
        </w:rPr>
        <w:t xml:space="preserve">igjit nr.8577, datë 10.2.2000 “Për organizimin dhe funksionimin e Gjykatës Kushtetuese të Republikës së Shqipërisë”, njëzëri,  </w:t>
      </w:r>
    </w:p>
    <w:p w:rsidR="00A06055" w:rsidRPr="00D4335E" w:rsidRDefault="00A06055" w:rsidP="00A06055">
      <w:pPr>
        <w:pStyle w:val="Paragrafi"/>
        <w:rPr>
          <w:lang w:val="sq-AL"/>
        </w:rPr>
      </w:pPr>
    </w:p>
    <w:p w:rsidR="00A06055" w:rsidRPr="00A06055" w:rsidRDefault="00A06055" w:rsidP="00A06055">
      <w:pPr>
        <w:pStyle w:val="VENDOSI"/>
        <w:keepNext w:val="0"/>
        <w:rPr>
          <w:lang w:val="sq-AL"/>
        </w:rPr>
      </w:pPr>
      <w:r w:rsidRPr="00A06055">
        <w:rPr>
          <w:lang w:val="sq-AL"/>
        </w:rPr>
        <w:t>VENDOSI:</w:t>
      </w:r>
    </w:p>
    <w:p w:rsidR="00A06055" w:rsidRPr="00D4335E" w:rsidRDefault="00A06055" w:rsidP="00A06055">
      <w:pPr>
        <w:pStyle w:val="Paragrafi"/>
        <w:rPr>
          <w:lang w:val="sq-AL"/>
        </w:rPr>
      </w:pP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lastRenderedPageBreak/>
        <w:t xml:space="preserve">- Shfuqizimin si të papajtueshëm me Kushtetutën e Republikës së Shqipërisë të vendimit nr.538, datë 27.6.2007 të Kolegjit Penal të Gjykatës së Lartë. 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 xml:space="preserve">- Dërgimin e çështjes për shqyrtim në Gjykatën e Lartë. </w:t>
      </w:r>
    </w:p>
    <w:p w:rsidR="00A06055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 xml:space="preserve">Ky vendim është përfundimtar, i formës së prerë dhe hyn në fuqi ditën e botimit në Fletoren Zyrtare. </w:t>
      </w:r>
    </w:p>
    <w:p w:rsidR="00A06055" w:rsidRPr="00D4335E" w:rsidRDefault="00A06055" w:rsidP="00A06055">
      <w:pPr>
        <w:pStyle w:val="Paragrafi"/>
        <w:rPr>
          <w:lang w:val="sq-AL"/>
        </w:rPr>
      </w:pP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>Kryetar: Vladimir Kristo.</w:t>
      </w:r>
    </w:p>
    <w:p w:rsidR="00A06055" w:rsidRPr="00D4335E" w:rsidRDefault="00A06055" w:rsidP="00A06055">
      <w:pPr>
        <w:pStyle w:val="Paragrafi"/>
        <w:rPr>
          <w:lang w:val="sq-AL"/>
        </w:rPr>
      </w:pPr>
      <w:r w:rsidRPr="00D4335E">
        <w:rPr>
          <w:lang w:val="sq-AL"/>
        </w:rPr>
        <w:t>Anëtar</w:t>
      </w:r>
      <w:r>
        <w:rPr>
          <w:lang w:val="sq-AL"/>
        </w:rPr>
        <w:t>ë</w:t>
      </w:r>
      <w:r w:rsidRPr="00D4335E">
        <w:rPr>
          <w:lang w:val="sq-AL"/>
        </w:rPr>
        <w:t>: Fehmi Abdiu, Gjergj Sauli, Xhezair Zaganjori, Kujtim Puto, Kristofor Peçi, Sokol Sadushi, Sokol Berberi, Petrit Plloçi.</w:t>
      </w:r>
    </w:p>
    <w:sectPr w:rsidR="00A06055" w:rsidRPr="00D4335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363" w:rsidRDefault="00DE4363">
      <w:r>
        <w:separator/>
      </w:r>
    </w:p>
  </w:endnote>
  <w:endnote w:type="continuationSeparator" w:id="0">
    <w:p w:rsidR="00DE4363" w:rsidRDefault="00DE4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363" w:rsidRDefault="00DE4363">
      <w:r>
        <w:separator/>
      </w:r>
    </w:p>
  </w:footnote>
  <w:footnote w:type="continuationSeparator" w:id="0">
    <w:p w:rsidR="00DE4363" w:rsidRDefault="00DE4363">
      <w:r>
        <w:continuationSeparator/>
      </w:r>
    </w:p>
  </w:footnote>
  <w:footnote w:id="1">
    <w:p w:rsidR="00A06055" w:rsidRPr="008C542E" w:rsidRDefault="00A06055" w:rsidP="00A06055">
      <w:pPr>
        <w:pStyle w:val="FootnoteText"/>
        <w:rPr>
          <w:rFonts w:ascii="CG Times" w:hAnsi="CG Times"/>
        </w:rPr>
      </w:pPr>
      <w:r w:rsidRPr="000A5FEF">
        <w:rPr>
          <w:rStyle w:val="FootnoteReference"/>
        </w:rPr>
        <w:footnoteRef/>
      </w:r>
      <w:r w:rsidRPr="000A5FEF">
        <w:t xml:space="preserve"> </w:t>
      </w:r>
      <w:r w:rsidRPr="008C542E">
        <w:rPr>
          <w:rFonts w:ascii="CG Times" w:hAnsi="CG Times"/>
          <w:lang w:val="sq-AL"/>
        </w:rPr>
        <w:t>Vendimin nr.23, datë 13.10.2005 i Gjykatës Kushtetuese të RSH.</w:t>
      </w:r>
    </w:p>
  </w:footnote>
  <w:footnote w:id="2">
    <w:p w:rsidR="00A06055" w:rsidRPr="008C542E" w:rsidRDefault="00A06055" w:rsidP="00A06055">
      <w:pPr>
        <w:pStyle w:val="FootnoteText"/>
        <w:rPr>
          <w:rFonts w:ascii="CG Times" w:hAnsi="CG Times"/>
        </w:rPr>
      </w:pPr>
      <w:r w:rsidRPr="008C542E">
        <w:rPr>
          <w:rStyle w:val="FootnoteReference"/>
          <w:rFonts w:ascii="CG Times" w:hAnsi="CG Times"/>
        </w:rPr>
        <w:footnoteRef/>
      </w:r>
      <w:r w:rsidRPr="008C542E">
        <w:rPr>
          <w:rFonts w:ascii="CG Times" w:hAnsi="CG Times"/>
        </w:rPr>
        <w:t xml:space="preserve">  </w:t>
      </w:r>
      <w:r w:rsidRPr="008C542E">
        <w:rPr>
          <w:rFonts w:ascii="CG Times" w:hAnsi="CG Times"/>
          <w:lang w:val="sq-AL"/>
        </w:rPr>
        <w:t>Vendimin nr.25, datë 30.7.2003 i Gjykatës Kushtetuese të RSH.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6055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953DAB"/>
    <w:rsid w:val="009723D5"/>
    <w:rsid w:val="009C7562"/>
    <w:rsid w:val="00A06055"/>
    <w:rsid w:val="00BD1D25"/>
    <w:rsid w:val="00BF58DD"/>
    <w:rsid w:val="00C84B66"/>
    <w:rsid w:val="00DE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9F1B19-8577-41B2-A0F3-0629180CD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A0605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A0605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0605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2019-03-16T18:28:00Z</dcterms:created>
  <dcterms:modified xsi:type="dcterms:W3CDTF">2019-03-16T18:28:00Z</dcterms:modified>
</cp:coreProperties>
</file>