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18D" w:rsidRDefault="00A1518D" w:rsidP="00A1518D">
      <w:pPr>
        <w:pStyle w:val="Akti"/>
      </w:pPr>
      <w:bookmarkStart w:id="0" w:name="_GoBack"/>
      <w:bookmarkEnd w:id="0"/>
      <w:r>
        <w:t>VENDI</w:t>
      </w:r>
      <w:r w:rsidRPr="00E67530">
        <w:t>M</w:t>
      </w:r>
    </w:p>
    <w:p w:rsidR="00A1518D" w:rsidRDefault="00A1518D" w:rsidP="00A1518D">
      <w:pPr>
        <w:pStyle w:val="NumriData"/>
      </w:pPr>
      <w:r>
        <w:t>Nr.1, datë 19.1.2009</w:t>
      </w:r>
    </w:p>
    <w:p w:rsidR="00A1518D" w:rsidRPr="00E67530" w:rsidRDefault="00A1518D" w:rsidP="00A1518D">
      <w:pPr>
        <w:pStyle w:val="Paragrafi0"/>
      </w:pPr>
    </w:p>
    <w:p w:rsidR="00A1518D" w:rsidRPr="00E67530" w:rsidRDefault="00A1518D" w:rsidP="00A1518D">
      <w:pPr>
        <w:pStyle w:val="Titulli0"/>
      </w:pPr>
      <w:r w:rsidRPr="00E67530">
        <w:t>NË EMËR TË REPUBLIKËS SË SHQIPËRISË</w:t>
      </w:r>
    </w:p>
    <w:p w:rsidR="00A1518D" w:rsidRPr="00E67530" w:rsidRDefault="00A1518D" w:rsidP="00A1518D">
      <w:pPr>
        <w:pStyle w:val="Paragrafi0"/>
      </w:pPr>
    </w:p>
    <w:p w:rsidR="00A1518D" w:rsidRPr="00E67530" w:rsidRDefault="00A1518D" w:rsidP="00A1518D">
      <w:pPr>
        <w:pStyle w:val="Paragrafi0"/>
      </w:pPr>
      <w:r w:rsidRPr="00E67530">
        <w:t>Gjykata Kushtetuese e Republikës së Shqipërisë, e përbërë nga:</w:t>
      </w:r>
    </w:p>
    <w:p w:rsidR="00A1518D" w:rsidRPr="00E67530" w:rsidRDefault="00A1518D" w:rsidP="00A1518D">
      <w:pPr>
        <w:pStyle w:val="Paragrafi0"/>
      </w:pPr>
    </w:p>
    <w:p w:rsidR="00A1518D" w:rsidRPr="00E67530" w:rsidRDefault="00A1518D" w:rsidP="00A1518D">
      <w:pPr>
        <w:pStyle w:val="Paragrafi0"/>
      </w:pPr>
      <w:r>
        <w:t>Vladimir Kristo</w:t>
      </w:r>
      <w:r w:rsidRPr="00E67530">
        <w:t xml:space="preserve">               </w:t>
      </w:r>
      <w:r w:rsidRPr="00E67530">
        <w:tab/>
        <w:t xml:space="preserve">Kryetar  i Gjykatës Kushtetuese </w:t>
      </w:r>
    </w:p>
    <w:p w:rsidR="00A1518D" w:rsidRPr="00E67530" w:rsidRDefault="00A1518D" w:rsidP="00A1518D">
      <w:pPr>
        <w:pStyle w:val="Paragrafi0"/>
      </w:pPr>
      <w:r>
        <w:t>Gjergj Sauli</w:t>
      </w:r>
      <w:r w:rsidRPr="00E67530">
        <w:tab/>
      </w:r>
      <w:r w:rsidRPr="00E67530">
        <w:tab/>
      </w:r>
      <w:r w:rsidRPr="00E67530">
        <w:tab/>
        <w:t xml:space="preserve">Anëtar    i </w:t>
      </w:r>
      <w:r w:rsidRPr="00E67530">
        <w:tab/>
        <w:t>“</w:t>
      </w:r>
      <w:r w:rsidRPr="00E67530">
        <w:tab/>
        <w:t xml:space="preserve">“ </w:t>
      </w:r>
    </w:p>
    <w:p w:rsidR="00A1518D" w:rsidRPr="00E67530" w:rsidRDefault="00A1518D" w:rsidP="00A1518D">
      <w:pPr>
        <w:pStyle w:val="Paragrafi0"/>
      </w:pPr>
      <w:r w:rsidRPr="00E67530">
        <w:t>Fehmi Abdi</w:t>
      </w:r>
      <w:r>
        <w:t>u</w:t>
      </w:r>
      <w:r w:rsidRPr="00E67530">
        <w:tab/>
      </w:r>
      <w:r w:rsidRPr="00E67530">
        <w:tab/>
      </w:r>
      <w:r w:rsidRPr="00E67530">
        <w:tab/>
        <w:t>Anëtar    i</w:t>
      </w:r>
      <w:r w:rsidRPr="00E67530">
        <w:tab/>
        <w:t>“</w:t>
      </w:r>
      <w:r w:rsidRPr="00E67530">
        <w:tab/>
        <w:t>“</w:t>
      </w:r>
    </w:p>
    <w:p w:rsidR="00A1518D" w:rsidRPr="00E67530" w:rsidRDefault="00A1518D" w:rsidP="00A1518D">
      <w:pPr>
        <w:pStyle w:val="Paragrafi0"/>
      </w:pPr>
      <w:r w:rsidRPr="00E67530">
        <w:t xml:space="preserve">Kujtim Puto </w:t>
      </w:r>
      <w:r w:rsidRPr="00E67530">
        <w:tab/>
      </w:r>
      <w:r w:rsidRPr="00E67530">
        <w:tab/>
      </w:r>
      <w:r w:rsidRPr="00E67530">
        <w:tab/>
        <w:t>Anëtar    i</w:t>
      </w:r>
      <w:r w:rsidRPr="00E67530">
        <w:tab/>
        <w:t>“</w:t>
      </w:r>
      <w:r w:rsidRPr="00E67530">
        <w:tab/>
        <w:t xml:space="preserve">“   </w:t>
      </w:r>
    </w:p>
    <w:p w:rsidR="00A1518D" w:rsidRPr="00E67530" w:rsidRDefault="00A1518D" w:rsidP="00A1518D">
      <w:pPr>
        <w:pStyle w:val="Paragrafi0"/>
      </w:pPr>
      <w:r>
        <w:t>Xhezair Zaganjori</w:t>
      </w:r>
      <w:r w:rsidRPr="00E67530">
        <w:t xml:space="preserve">     </w:t>
      </w:r>
      <w:r w:rsidRPr="00E67530">
        <w:tab/>
      </w:r>
      <w:r w:rsidRPr="00E67530">
        <w:tab/>
        <w:t>Anëtar    i</w:t>
      </w:r>
      <w:r w:rsidRPr="00E67530">
        <w:tab/>
        <w:t>“</w:t>
      </w:r>
      <w:r w:rsidRPr="00E67530">
        <w:tab/>
        <w:t xml:space="preserve">“   </w:t>
      </w:r>
    </w:p>
    <w:p w:rsidR="00A1518D" w:rsidRPr="00E67530" w:rsidRDefault="00A1518D" w:rsidP="00A1518D">
      <w:pPr>
        <w:pStyle w:val="Paragrafi0"/>
      </w:pPr>
      <w:r>
        <w:t>Petrit Plloçi</w:t>
      </w:r>
      <w:r w:rsidRPr="00E67530">
        <w:tab/>
      </w:r>
      <w:r w:rsidRPr="00E67530">
        <w:tab/>
      </w:r>
      <w:r w:rsidRPr="00E67530">
        <w:tab/>
        <w:t>Anëtar    i</w:t>
      </w:r>
      <w:r w:rsidRPr="00E67530">
        <w:tab/>
        <w:t>“</w:t>
      </w:r>
      <w:r w:rsidRPr="00E67530">
        <w:tab/>
        <w:t xml:space="preserve">“  </w:t>
      </w:r>
    </w:p>
    <w:p w:rsidR="00A1518D" w:rsidRPr="00E67530" w:rsidRDefault="00A1518D" w:rsidP="00A1518D">
      <w:pPr>
        <w:pStyle w:val="Paragrafi0"/>
      </w:pPr>
      <w:r>
        <w:t>Sokol Sadushi</w:t>
      </w:r>
      <w:r w:rsidRPr="00E67530">
        <w:tab/>
      </w:r>
      <w:r w:rsidRPr="00E67530">
        <w:tab/>
      </w:r>
      <w:r>
        <w:tab/>
      </w:r>
      <w:r w:rsidRPr="00E67530">
        <w:t>Anëtar    i</w:t>
      </w:r>
      <w:r w:rsidRPr="00E67530">
        <w:tab/>
        <w:t>“</w:t>
      </w:r>
      <w:r w:rsidRPr="00E67530">
        <w:tab/>
        <w:t>“</w:t>
      </w:r>
    </w:p>
    <w:p w:rsidR="00A1518D" w:rsidRPr="00E67530" w:rsidRDefault="00A1518D" w:rsidP="00A1518D">
      <w:pPr>
        <w:pStyle w:val="Paragrafi0"/>
      </w:pPr>
      <w:r>
        <w:t>Sokol Berberi</w:t>
      </w:r>
      <w:r w:rsidRPr="00E67530">
        <w:tab/>
      </w:r>
      <w:r w:rsidRPr="00E67530">
        <w:tab/>
      </w:r>
      <w:r w:rsidRPr="00E67530">
        <w:tab/>
        <w:t>Anëtar    i</w:t>
      </w:r>
      <w:r w:rsidRPr="00E67530">
        <w:tab/>
        <w:t>“</w:t>
      </w:r>
      <w:r w:rsidRPr="00E67530">
        <w:tab/>
        <w:t>“</w:t>
      </w:r>
    </w:p>
    <w:p w:rsidR="00A1518D" w:rsidRPr="00E67530" w:rsidRDefault="00A1518D" w:rsidP="00A1518D">
      <w:pPr>
        <w:pStyle w:val="Paragrafi0"/>
      </w:pPr>
      <w:r>
        <w:t>Vitore Tusha</w:t>
      </w:r>
      <w:r w:rsidRPr="00E67530">
        <w:t xml:space="preserve"> </w:t>
      </w:r>
      <w:r w:rsidRPr="00E67530">
        <w:tab/>
      </w:r>
      <w:r w:rsidRPr="00E67530">
        <w:tab/>
      </w:r>
      <w:r w:rsidRPr="00E67530">
        <w:tab/>
        <w:t>Anëtare  e</w:t>
      </w:r>
      <w:r w:rsidRPr="00E67530">
        <w:tab/>
        <w:t>“</w:t>
      </w:r>
      <w:r w:rsidRPr="00E67530">
        <w:tab/>
        <w:t>“</w:t>
      </w:r>
    </w:p>
    <w:p w:rsidR="00A1518D" w:rsidRPr="00E67530" w:rsidRDefault="00A1518D" w:rsidP="00A1518D">
      <w:pPr>
        <w:pStyle w:val="Paragrafi0"/>
      </w:pPr>
    </w:p>
    <w:p w:rsidR="00A1518D" w:rsidRPr="00E67530" w:rsidRDefault="00A1518D" w:rsidP="00A1518D">
      <w:pPr>
        <w:pStyle w:val="Paragrafi0"/>
      </w:pPr>
      <w:r w:rsidRPr="00E67530">
        <w:t>me sekretare Blerina Çinari, në</w:t>
      </w:r>
      <w:r>
        <w:t xml:space="preserve"> datën </w:t>
      </w:r>
      <w:r w:rsidRPr="00E67530">
        <w:t>7.10.2008, mori në shqyrtim në seancë gjyqësore me dyer të hapura çështjen nr.17 Akti, që i përket:</w:t>
      </w:r>
    </w:p>
    <w:p w:rsidR="00A1518D" w:rsidRPr="00E67530" w:rsidRDefault="00A1518D" w:rsidP="00A1518D">
      <w:pPr>
        <w:pStyle w:val="Paragrafi0"/>
      </w:pPr>
    </w:p>
    <w:p w:rsidR="00A1518D" w:rsidRPr="00E67530" w:rsidRDefault="00A1518D" w:rsidP="00A1518D">
      <w:pPr>
        <w:pStyle w:val="Paragrafi0"/>
      </w:pPr>
      <w:r>
        <w:t>KËRKUES: </w:t>
      </w:r>
      <w:r w:rsidRPr="00E67530">
        <w:t>ARBEN BAJRAKTARI, përfaqësuar nga Av. Vangjel Kosta, me prokurë.</w:t>
      </w:r>
    </w:p>
    <w:p w:rsidR="00A1518D" w:rsidRPr="00E67530" w:rsidRDefault="00A1518D" w:rsidP="00A1518D">
      <w:pPr>
        <w:pStyle w:val="Paragrafi0"/>
      </w:pPr>
      <w:r w:rsidRPr="00E67530">
        <w:t>SUBJEKTE TË INTERESUARA:    </w:t>
      </w:r>
    </w:p>
    <w:p w:rsidR="00A1518D" w:rsidRPr="00E67530" w:rsidRDefault="00A1518D" w:rsidP="00A1518D">
      <w:pPr>
        <w:pStyle w:val="Paragrafi0"/>
      </w:pPr>
      <w:r w:rsidRPr="00E67530">
        <w:t>DREJTORI</w:t>
      </w:r>
      <w:r>
        <w:t xml:space="preserve">A E PËRGJITHSHME E DOGANAVE, </w:t>
      </w:r>
      <w:r w:rsidRPr="00E67530">
        <w:t xml:space="preserve">përfaqësuar nga Av. Neshat Fana, me prokurë.  </w:t>
      </w:r>
    </w:p>
    <w:p w:rsidR="00A1518D" w:rsidRPr="00E67530" w:rsidRDefault="00A1518D" w:rsidP="00A1518D">
      <w:pPr>
        <w:pStyle w:val="Paragrafi0"/>
      </w:pPr>
      <w:r w:rsidRPr="00E67530">
        <w:t>ZYRA E PËRMBARIMIT TIRANË, përfaqësuar nga z. Arben Matani</w:t>
      </w:r>
      <w:r>
        <w:t>,</w:t>
      </w:r>
      <w:r w:rsidRPr="00E67530">
        <w:t xml:space="preserve"> me autorizim.</w:t>
      </w:r>
    </w:p>
    <w:p w:rsidR="00A1518D" w:rsidRPr="00E67530" w:rsidRDefault="00A1518D" w:rsidP="00A1518D">
      <w:pPr>
        <w:pStyle w:val="Paragrafi0"/>
      </w:pPr>
      <w:r>
        <w:t xml:space="preserve">OBJEKTI: </w:t>
      </w:r>
      <w:r w:rsidRPr="00E67530">
        <w:t>Konstatimi i cenimit të së drejtës për një proces të rregullt ligjor si rrjedhojë e mosekzekutimit të vendimit gjyqësor të formës së prerë.</w:t>
      </w:r>
    </w:p>
    <w:p w:rsidR="00A1518D" w:rsidRPr="00E67530" w:rsidRDefault="00A1518D" w:rsidP="00A1518D">
      <w:pPr>
        <w:pStyle w:val="Paragrafi0"/>
      </w:pPr>
      <w:r>
        <w:t xml:space="preserve">BAZA LIGJORE: </w:t>
      </w:r>
      <w:r w:rsidRPr="00E67530">
        <w:t>Neni 42/1, 131/f, 132/1, 134/g të Kushtetutës së Republikës së Shqipërisë; nenet 27 e</w:t>
      </w:r>
      <w:r>
        <w:t xml:space="preserve"> 28 të ligjit nr.8577, datë 10.</w:t>
      </w:r>
      <w:r w:rsidRPr="00E67530">
        <w:t>2.2000 “Për organizimin dhe funksionimin e Gjykatës Kushtetuese të Republikës së Shqipërisë”.</w:t>
      </w:r>
    </w:p>
    <w:p w:rsidR="00A1518D" w:rsidRPr="00E67530" w:rsidRDefault="00A1518D" w:rsidP="00A1518D">
      <w:pPr>
        <w:pStyle w:val="Paragrafi0"/>
      </w:pPr>
      <w:r w:rsidRPr="00E67530">
        <w:t> </w:t>
      </w:r>
    </w:p>
    <w:p w:rsidR="00A1518D" w:rsidRDefault="00A1518D" w:rsidP="00A1518D">
      <w:pPr>
        <w:pStyle w:val="VENDOSI0"/>
      </w:pPr>
      <w:r w:rsidRPr="00E67530">
        <w:t>GJYKATA KUSHTETUESE,</w:t>
      </w:r>
    </w:p>
    <w:p w:rsidR="00A1518D" w:rsidRPr="00E67530" w:rsidRDefault="00A1518D" w:rsidP="00A1518D">
      <w:pPr>
        <w:pStyle w:val="Paragrafi0"/>
      </w:pPr>
    </w:p>
    <w:p w:rsidR="00A1518D" w:rsidRPr="00E67530" w:rsidRDefault="00A1518D" w:rsidP="00A1518D">
      <w:pPr>
        <w:pStyle w:val="Paragrafi0"/>
      </w:pPr>
      <w:r w:rsidRPr="00E67530">
        <w:t>pasi dëgjoi relatoren e çështjes, Vitore Tusha; përfaqësuesin e kërkuesit që u shpreh për pranimin e kërkesës; përfaqësuesit e subjekteve të interesuara që kërkuan rrëzimin e kërkesës dhe pasi bisedoi çështjen në tërësi,</w:t>
      </w:r>
    </w:p>
    <w:p w:rsidR="00A1518D" w:rsidRPr="00E67530" w:rsidRDefault="00A1518D" w:rsidP="00A1518D">
      <w:pPr>
        <w:pStyle w:val="Paragrafi0"/>
      </w:pPr>
    </w:p>
    <w:p w:rsidR="00A1518D" w:rsidRPr="00E67530" w:rsidRDefault="00A1518D" w:rsidP="00A1518D">
      <w:pPr>
        <w:pStyle w:val="VENDOSI0"/>
      </w:pPr>
      <w:r>
        <w:t>VËRE</w:t>
      </w:r>
      <w:r w:rsidRPr="00E67530">
        <w:t>N:</w:t>
      </w:r>
    </w:p>
    <w:p w:rsidR="00A1518D" w:rsidRPr="00E67530" w:rsidRDefault="00A1518D" w:rsidP="00A1518D">
      <w:pPr>
        <w:pStyle w:val="Paragrafi0"/>
      </w:pPr>
    </w:p>
    <w:p w:rsidR="00A1518D" w:rsidRPr="00E67530" w:rsidRDefault="00A1518D" w:rsidP="00A1518D">
      <w:pPr>
        <w:pStyle w:val="Paragrafi0"/>
      </w:pPr>
      <w:r w:rsidRPr="00E67530">
        <w:t>I</w:t>
      </w:r>
    </w:p>
    <w:p w:rsidR="00A1518D" w:rsidRPr="00E67530" w:rsidRDefault="00A1518D" w:rsidP="00A1518D">
      <w:pPr>
        <w:pStyle w:val="Paragrafi0"/>
      </w:pPr>
      <w:r w:rsidRPr="00E67530">
        <w:t>Kërkuesi ka punuar në administratën dog</w:t>
      </w:r>
      <w:r>
        <w:t>anore duke filluar nga data 24.3.1999. Ai është emëruar kryetar i degës doganore Durrës më datë 16.</w:t>
      </w:r>
      <w:r w:rsidRPr="00E67530">
        <w:t>9.2005, me aktin nr.6954 të Drejtorit të P</w:t>
      </w:r>
      <w:r>
        <w:t>ërgjithshëm të Doganave, detyrë</w:t>
      </w:r>
      <w:r w:rsidRPr="00E67530">
        <w:t xml:space="preserve"> në të cilën ka punuar deri më datë 10.11.2005. Kërkuesi është liruar nga kjo detyrë me aktin nr.9045, datë 10.11.2005 të Drejtorit të Përgjithshëm të Doganave. Marrëdhëniet financiare janë ndërprerë në datën e lirimit nga detyra me aktin nr.459/1 datë 30.11.2005. Më datë 14.12.2005 kërkuesi është njoftuar se vihet në dispozicion të Ministrisë së Financave për t’u emëruar në një pozicion pranë kësaj Ministrie</w:t>
      </w:r>
      <w:r>
        <w:t>. Me aktin nr.3150/34, datë 12.</w:t>
      </w:r>
      <w:r w:rsidRPr="00E67530">
        <w:t xml:space="preserve">4.2006, kërkuesit i është komunikuar  përsëri  ndërprerja e marrëdhënieve të punës. </w:t>
      </w:r>
    </w:p>
    <w:p w:rsidR="00A1518D" w:rsidRDefault="00A1518D" w:rsidP="00A1518D">
      <w:pPr>
        <w:pStyle w:val="Paragrafi0"/>
      </w:pPr>
      <w:r w:rsidRPr="00E67530">
        <w:t>Kërkuesi ka kundërshtuar në Komisionin e Shërbimit Civil (KSHC) aktin nr.9045,  datë 10.11.2005 të Drejtorit të Përgjithshëm të Doganave, me të cilin është</w:t>
      </w:r>
      <w:r>
        <w:t xml:space="preserve"> urdhëruar lirimi nga detyra e kryetarit të d</w:t>
      </w:r>
      <w:r w:rsidRPr="00E67530">
        <w:t xml:space="preserve">egës Doganore Durrës. </w:t>
      </w:r>
    </w:p>
    <w:p w:rsidR="00A1518D" w:rsidRPr="00E67530" w:rsidRDefault="00A1518D" w:rsidP="00A1518D">
      <w:pPr>
        <w:pStyle w:val="Paragrafi0"/>
      </w:pPr>
      <w:r w:rsidRPr="00E67530">
        <w:t>KSHC</w:t>
      </w:r>
      <w:r>
        <w:t>-ja</w:t>
      </w:r>
      <w:r w:rsidRPr="00E67530">
        <w:t>, me vendimin nr.266, datë 23.12.2005,  ka vendosur të shfuqizojë aktin nr.9045, datë 10.11.2005 si akt i pabazuar në ligj, duke urdhëruar kthimin e kërkuesit në vendin e mëparshëm të punës dhe pagimin e pagës për të gjithë kohën e qëndrimit padrejtësisht pa punë, nga momenti i ndërprerjes së marrëdhënieve financiare. Subjekti i interesuar, Drejtoria e Përgjithshme e Doganave (DPD) humbi afatin ligjor për kundërshtimin e vendimit të KSHC</w:t>
      </w:r>
      <w:r>
        <w:t>-së</w:t>
      </w:r>
      <w:r w:rsidRPr="00E67530">
        <w:t xml:space="preserve"> dhe paraqiti kërkesë për rivendosjen në afat të  padisë.</w:t>
      </w:r>
    </w:p>
    <w:p w:rsidR="00A1518D" w:rsidRPr="00E67530" w:rsidRDefault="00A1518D" w:rsidP="00A1518D">
      <w:pPr>
        <w:pStyle w:val="Paragrafi0"/>
      </w:pPr>
      <w:r w:rsidRPr="00E67530">
        <w:t>Gjykata e Apel</w:t>
      </w:r>
      <w:r>
        <w:t>it, me vendimin nr.18, datë 21.</w:t>
      </w:r>
      <w:r w:rsidRPr="00E67530">
        <w:t>3.2006, ka vendosur rrëzimin e kërkesës për</w:t>
      </w:r>
      <w:r>
        <w:t xml:space="preserve"> rivendosjen në afat të kërkesë</w:t>
      </w:r>
      <w:r w:rsidRPr="00E67530">
        <w:t>padisë së ngritur nga DPD</w:t>
      </w:r>
      <w:r>
        <w:t>-ja</w:t>
      </w:r>
      <w:r w:rsidRPr="00E67530">
        <w:t>. N</w:t>
      </w:r>
      <w:r>
        <w:t>dërsa, me vendimin nr.31, datë 6.</w:t>
      </w:r>
      <w:r w:rsidRPr="00E67530">
        <w:t xml:space="preserve">4.2006, po kjo gjykatë ka vendosur lëshimin e urdhrit të ekzekutimit të vendimit të formës së prerë </w:t>
      </w:r>
      <w:r>
        <w:t>nr.18, datë 21.</w:t>
      </w:r>
      <w:r w:rsidRPr="00E67530">
        <w:t>3.2006.</w:t>
      </w:r>
    </w:p>
    <w:p w:rsidR="00A1518D" w:rsidRPr="00E67530" w:rsidRDefault="00A1518D" w:rsidP="00A1518D">
      <w:pPr>
        <w:pStyle w:val="Paragrafi0"/>
      </w:pPr>
      <w:r w:rsidRPr="00E67530">
        <w:t>Kolegji Civil i Gjykatës së Lar</w:t>
      </w:r>
      <w:r>
        <w:t>të, me vendimin nr.43, datë 23.</w:t>
      </w:r>
      <w:r w:rsidRPr="00E67530">
        <w:t>3.2007</w:t>
      </w:r>
      <w:r>
        <w:t>,</w:t>
      </w:r>
      <w:r w:rsidRPr="00E67530">
        <w:t xml:space="preserve"> ka rrëzuar kërkesën e DPD-së me objekt pezullimin e vendimit nr.266, datë 23.12.2005 të KSHC</w:t>
      </w:r>
      <w:r>
        <w:t>-së</w:t>
      </w:r>
      <w:r w:rsidRPr="00E67530">
        <w:t xml:space="preserve"> d</w:t>
      </w:r>
      <w:r>
        <w:t>he me vendimin nr.688, datë 22.</w:t>
      </w:r>
      <w:r w:rsidRPr="00E67530">
        <w:t>5.2007 ka lënë n</w:t>
      </w:r>
      <w:r>
        <w:t>ë fuqi vendimin nr.18, datë 21.</w:t>
      </w:r>
      <w:r w:rsidRPr="00E67530">
        <w:t>3.2006 të Gjykatës së Apelit Tiranë.</w:t>
      </w:r>
    </w:p>
    <w:p w:rsidR="00A1518D" w:rsidRPr="00E67530" w:rsidRDefault="00A1518D" w:rsidP="00A1518D">
      <w:pPr>
        <w:pStyle w:val="Paragrafi0"/>
      </w:pPr>
      <w:r w:rsidRPr="00E67530">
        <w:t>Pas lëshimit të urdhrit të ekzekutimit nga Gjykata e Apelit Tiranë</w:t>
      </w:r>
      <w:r>
        <w:t>, me vendimin nr.31, datë 6.</w:t>
      </w:r>
      <w:r w:rsidRPr="00E67530">
        <w:t>4.2006, subjekti i interesuar DPD ka urdhëruar përsëri ndërprerjen e marrëdhënieve të punës të kërkuesi</w:t>
      </w:r>
      <w:r>
        <w:t>t me aktin nr.3150/34, datë 12.</w:t>
      </w:r>
      <w:r w:rsidRPr="00E67530">
        <w:t xml:space="preserve">4.2006. </w:t>
      </w:r>
    </w:p>
    <w:p w:rsidR="00A1518D" w:rsidRPr="00E67530" w:rsidRDefault="00A1518D" w:rsidP="00A1518D">
      <w:pPr>
        <w:pStyle w:val="Paragrafi0"/>
      </w:pPr>
      <w:r w:rsidRPr="00E67530">
        <w:t>KSHC</w:t>
      </w:r>
      <w:r>
        <w:t>-ja me vendimin nr.361, datë 13.</w:t>
      </w:r>
      <w:r w:rsidRPr="00E67530">
        <w:t>5.2006, ka vendosur shfuqizim</w:t>
      </w:r>
      <w:r>
        <w:t>in e aktit nr.3150/34, datë 12.</w:t>
      </w:r>
      <w:r w:rsidRPr="00E67530">
        <w:t>4.2006 “Për ndërprerjen e marrëdhënieve të punës” si të pabazuar në ligj.</w:t>
      </w:r>
    </w:p>
    <w:p w:rsidR="00A1518D" w:rsidRPr="00E67530" w:rsidRDefault="00A1518D" w:rsidP="00A1518D">
      <w:pPr>
        <w:pStyle w:val="Paragrafi0"/>
      </w:pPr>
      <w:r w:rsidRPr="00E67530">
        <w:t>Gjykata e Apelit me vendimin nr.200, datë 14.11.2006 ka vendosur rrëzimin e padisë së DPD</w:t>
      </w:r>
      <w:r>
        <w:t>-së</w:t>
      </w:r>
      <w:r w:rsidRPr="00E67530">
        <w:t xml:space="preserve"> dhe me vendimin nr.60, da</w:t>
      </w:r>
      <w:r>
        <w:t>të 1.</w:t>
      </w:r>
      <w:r w:rsidRPr="00E67530">
        <w:t>2.2007 ka vendosur lëshimin e urdhrit të ekzekutimit të vendimit të Gjykatës së Apelit nr.200, datë 14.11.2006.</w:t>
      </w:r>
    </w:p>
    <w:p w:rsidR="00A1518D" w:rsidRPr="00E67530" w:rsidRDefault="00A1518D" w:rsidP="00A1518D">
      <w:pPr>
        <w:pStyle w:val="Paragrafi0"/>
      </w:pPr>
      <w:r w:rsidRPr="00E67530">
        <w:t>Kërkuesi i është drejtuar Zyrës së Përmbarimit për ekzekutimin e vendimit të formës së prerë nga DPD</w:t>
      </w:r>
      <w:r>
        <w:t>-së</w:t>
      </w:r>
      <w:r w:rsidRPr="00E67530">
        <w:t xml:space="preserve">. Zyra e Përmbarimit Tiranë ka urdhëruar DPD-në për ekzekutimin e vendimit me </w:t>
      </w:r>
      <w:r>
        <w:t>shkresat nr.3490 Prot. datë 14.</w:t>
      </w:r>
      <w:r w:rsidRPr="00E67530">
        <w:t>4.2006, nr.6762 Prot, datë 26.</w:t>
      </w:r>
      <w:r>
        <w:t>6.2007,  nr.174 Prot, datë 10.1.2008, nr.4564 Prot., datë 14.</w:t>
      </w:r>
      <w:r w:rsidRPr="00E67530">
        <w:t xml:space="preserve">5.2008. Urdhërimet  për ekzekutimin e vendimit,  kanë rezultuar të pasuksesshme. </w:t>
      </w:r>
    </w:p>
    <w:p w:rsidR="00A1518D" w:rsidRPr="00E67530" w:rsidRDefault="00A1518D" w:rsidP="00A1518D">
      <w:pPr>
        <w:pStyle w:val="Paragrafi0"/>
      </w:pPr>
      <w:r w:rsidRPr="00E67530">
        <w:t>II</w:t>
      </w:r>
    </w:p>
    <w:p w:rsidR="00A1518D" w:rsidRPr="00DC3B84" w:rsidRDefault="00A1518D" w:rsidP="00A1518D">
      <w:pPr>
        <w:pStyle w:val="Paragrafi0"/>
        <w:rPr>
          <w:b/>
          <w:i/>
        </w:rPr>
      </w:pPr>
      <w:r w:rsidRPr="00DC3B84">
        <w:rPr>
          <w:b/>
          <w:i/>
        </w:rPr>
        <w:t>Kërkuesi pretendoi:</w:t>
      </w:r>
    </w:p>
    <w:p w:rsidR="00A1518D" w:rsidRPr="00E67530" w:rsidRDefault="00A1518D" w:rsidP="00A1518D">
      <w:pPr>
        <w:pStyle w:val="Paragrafi0"/>
      </w:pPr>
      <w:r>
        <w:t>- cenimin e s</w:t>
      </w:r>
      <w:r w:rsidRPr="00E67530">
        <w:t>ë drejtës për një proces të rregullt ligjor, si rrjedhojë e mosekzekutimit të vendimit gjyqësor të formës së prerë nga autoritetet e ngarkuara nga ligji, brenda afatit të arsyeshëm, në kuptimin e nenit 42 të Kushtetutës dhe nenit 6/1 të KEDNJ</w:t>
      </w:r>
      <w:r>
        <w:t>-së</w:t>
      </w:r>
      <w:r w:rsidRPr="00E67530">
        <w:t xml:space="preserve">; </w:t>
      </w:r>
    </w:p>
    <w:p w:rsidR="00A1518D" w:rsidRPr="00E67530" w:rsidRDefault="00A1518D" w:rsidP="00A1518D">
      <w:pPr>
        <w:pStyle w:val="Paragrafi0"/>
      </w:pPr>
      <w:r w:rsidRPr="00E67530">
        <w:t>- ka hasur në refuzimin dhe pasivitetin e organeve kompetente për të ekzekutuar vendimin e formës së prerë;</w:t>
      </w:r>
    </w:p>
    <w:p w:rsidR="00A1518D" w:rsidRDefault="00A1518D" w:rsidP="00A1518D">
      <w:pPr>
        <w:pStyle w:val="Paragrafi0"/>
      </w:pPr>
      <w:r w:rsidRPr="00E67530">
        <w:t>- ka shteruar të gjitha mjetet ligjore në dispozicion për përmbushjen e këtij qëllimi brenda afatit të arsyeshëm.</w:t>
      </w:r>
    </w:p>
    <w:p w:rsidR="00A1518D" w:rsidRDefault="00A1518D" w:rsidP="00A1518D">
      <w:pPr>
        <w:pStyle w:val="Paragrafi0"/>
      </w:pPr>
    </w:p>
    <w:p w:rsidR="00A1518D" w:rsidRDefault="00A1518D" w:rsidP="00A1518D">
      <w:pPr>
        <w:pStyle w:val="Paragrafi0"/>
      </w:pPr>
    </w:p>
    <w:p w:rsidR="00A1518D" w:rsidRPr="00E67530" w:rsidRDefault="00A1518D" w:rsidP="00A1518D">
      <w:pPr>
        <w:pStyle w:val="Paragrafi0"/>
      </w:pPr>
    </w:p>
    <w:p w:rsidR="00A1518D" w:rsidRPr="00DC3B84" w:rsidRDefault="00A1518D" w:rsidP="00A1518D">
      <w:pPr>
        <w:pStyle w:val="Paragrafi0"/>
        <w:rPr>
          <w:b/>
          <w:i/>
        </w:rPr>
      </w:pPr>
      <w:r w:rsidRPr="00DC3B84">
        <w:rPr>
          <w:b/>
          <w:i/>
        </w:rPr>
        <w:t>Përfaqësuesi i DPD-së pretendoi:</w:t>
      </w:r>
    </w:p>
    <w:p w:rsidR="00A1518D" w:rsidRPr="00E67530" w:rsidRDefault="00A1518D" w:rsidP="00A1518D">
      <w:pPr>
        <w:pStyle w:val="Paragrafi0"/>
      </w:pPr>
      <w:r w:rsidRPr="00E67530">
        <w:t>- K</w:t>
      </w:r>
      <w:r>
        <w:t>ërkuesi nuk legjitimohet për t’i</w:t>
      </w:r>
      <w:r w:rsidRPr="00E67530">
        <w:t>u drejtuar Gjykatës Kushtetuese, pasi nuk ka shteruar të gjitha mjetet juridike për mbrojtjen e të drejtave të pretenduara, në kuptim të nenit 131/f të Kushtetutës së Republikës së Shqipërisë. Pranë Kolegjit Civil të Gjykatës së Lartë gjenden ende të pashqyrtuara disa rekurse të paraqitura si nga kërkuesi</w:t>
      </w:r>
      <w:r>
        <w:t>,</w:t>
      </w:r>
      <w:r w:rsidRPr="00E67530">
        <w:t xml:space="preserve"> ashtu dhe DPD-ja kundër vendimeve gjyqësore që kanë lidhje me çështjen objekt gjykimi në Gjykatën Kushtetuese.</w:t>
      </w:r>
    </w:p>
    <w:p w:rsidR="00A1518D" w:rsidRPr="00E67530" w:rsidRDefault="00A1518D" w:rsidP="00A1518D">
      <w:pPr>
        <w:pStyle w:val="Paragrafi0"/>
      </w:pPr>
      <w:r w:rsidRPr="00E67530">
        <w:t>- Vendimi i KSHC-së është akt absolutisht i pavlefshëm, pasi është nxjerrë jashtë kompetencave të parashikuara nga ligji, në referim të vendimeve unif</w:t>
      </w:r>
      <w:r>
        <w:t>ikuese nr.8 dhe nr.10, datë 12.</w:t>
      </w:r>
      <w:r w:rsidRPr="00E67530">
        <w:t xml:space="preserve">9.2007 të Kolegjeve të Bashkuara të Gjykatës së Lartë. </w:t>
      </w:r>
    </w:p>
    <w:p w:rsidR="00A1518D" w:rsidRPr="00E67530" w:rsidRDefault="00A1518D" w:rsidP="00A1518D">
      <w:pPr>
        <w:pStyle w:val="Paragrafi0"/>
      </w:pPr>
      <w:r w:rsidRPr="00E67530">
        <w:t xml:space="preserve">- Vendimi i Gjykatës nuk përmban urdhërime, pasi nuk e ka shqyrtuar çështjen në themel, prandaj nuk përbën titull ekzekutiv.  </w:t>
      </w:r>
    </w:p>
    <w:p w:rsidR="00A1518D" w:rsidRPr="00E67530" w:rsidRDefault="00A1518D" w:rsidP="00A1518D">
      <w:pPr>
        <w:pStyle w:val="Paragrafi0"/>
      </w:pPr>
      <w:r w:rsidRPr="00E67530">
        <w:t>- Vendimi nr.266, datë 23.12.2005 i KSHC-së është ekzekutuar, pasi kërkuesi</w:t>
      </w:r>
      <w:r>
        <w:t>,</w:t>
      </w:r>
      <w:r w:rsidRPr="00E67530">
        <w:t xml:space="preserve"> me shkresën e Drejtor</w:t>
      </w:r>
      <w:r>
        <w:t>isë së Përgjithshme të Tatimeve</w:t>
      </w:r>
      <w:r w:rsidRPr="00E67530">
        <w:t xml:space="preserve"> nr.1097/1, datë 22.11.2007, ësht</w:t>
      </w:r>
      <w:r>
        <w:t>ë emëruar përgjegjës zyre në s</w:t>
      </w:r>
      <w:r w:rsidRPr="00E67530">
        <w:t xml:space="preserve">ektorin e Task-Forcës në Drejtorinë e Policisë Tatimore, në Drejtorinë e Përgjithshme të Tatimeve. </w:t>
      </w:r>
    </w:p>
    <w:p w:rsidR="00A1518D" w:rsidRPr="00E67530" w:rsidRDefault="00A1518D" w:rsidP="00A1518D">
      <w:pPr>
        <w:pStyle w:val="Paragrafi0"/>
      </w:pPr>
      <w:r>
        <w:rPr>
          <w:b/>
          <w:i/>
        </w:rPr>
        <w:t>Përfaqësuesi i zyrës së p</w:t>
      </w:r>
      <w:r w:rsidRPr="00DC3B84">
        <w:rPr>
          <w:b/>
          <w:i/>
        </w:rPr>
        <w:t>ërmbarimit pretendoi</w:t>
      </w:r>
      <w:r w:rsidRPr="00E67530">
        <w:t xml:space="preserve"> se ka vepruar në përputhje me procedurat e parashikuara nga ligji. </w:t>
      </w:r>
    </w:p>
    <w:p w:rsidR="00A1518D" w:rsidRPr="00E67530" w:rsidRDefault="00A1518D" w:rsidP="00A1518D">
      <w:pPr>
        <w:pStyle w:val="Paragrafi0"/>
      </w:pPr>
      <w:r w:rsidRPr="00E67530">
        <w:t>III</w:t>
      </w:r>
    </w:p>
    <w:p w:rsidR="00A1518D" w:rsidRPr="00BC6D0D" w:rsidRDefault="00A1518D" w:rsidP="00A1518D">
      <w:pPr>
        <w:pStyle w:val="Paragrafi0"/>
        <w:rPr>
          <w:b/>
          <w:i/>
        </w:rPr>
      </w:pPr>
      <w:r w:rsidRPr="00BC6D0D">
        <w:rPr>
          <w:b/>
          <w:i/>
        </w:rPr>
        <w:t>1. Lidhur me pretendimin e subjektit të interesuar mbi legjitimitetin e kërkuesit</w:t>
      </w:r>
    </w:p>
    <w:p w:rsidR="00A1518D" w:rsidRPr="00E67530" w:rsidRDefault="00A1518D" w:rsidP="00A1518D">
      <w:pPr>
        <w:pStyle w:val="Paragrafi0"/>
      </w:pPr>
      <w:r w:rsidRPr="00E67530">
        <w:t>Çështja e legjitimitetit të kërkuesit lidhet drejtpërdrejt me inicimin e një procesi kushtetues. Individi, në kuptim të nenit 131/f të Kushtetutës, legjitimohet t’i drejtohet Gjykatës Kushtetuese kur pretendon se i janë cenuar të drejtat kushtetuese për një proces të rregullt ligjor, pasi të ketë shteruar të gjitha mjetet juridike. Gjykata, në jurisprudencën e saj</w:t>
      </w:r>
      <w:r>
        <w:t>, ka vlerësuar</w:t>
      </w:r>
      <w:r w:rsidRPr="00E67530">
        <w:t xml:space="preserve"> se shterimi i mjeteve juridike nënkupton që ankuesi duhet të shfrytëzojë në rrugë normale mjetet juridike, të cilat janë të përshtatshme, të disponueshme dhe e</w:t>
      </w:r>
      <w:r>
        <w:t>fikase për një çështje konkrete (vendimin nr.6, datë 31.3.2006; vendimi nr.27, datë 20.</w:t>
      </w:r>
      <w:r w:rsidRPr="00E67530">
        <w:t>6.2007). Shterimi i mjeteve të ankimit është trajtuar edhe nga jurisprudenca e Gjykatës Europiane për të Drejtat e Njeriut, e cila në çës</w:t>
      </w:r>
      <w:r>
        <w:t>htjen “Qufaj kundër Shqipërisë” është shprehur</w:t>
      </w:r>
      <w:r w:rsidRPr="00E67530">
        <w:t xml:space="preserve"> se ankuesit duhet të përdorin mjetet ligjore që sipas sistemit juridik të brendshëm janë zakonisht në dispozicion të palëve dhe të mjaftueshme për të vënë në vend të drejtat e shkelura. </w:t>
      </w:r>
    </w:p>
    <w:p w:rsidR="00A1518D" w:rsidRPr="00E67530" w:rsidRDefault="00A1518D" w:rsidP="00A1518D">
      <w:pPr>
        <w:pStyle w:val="Paragrafi0"/>
      </w:pPr>
      <w:r w:rsidRPr="00E67530">
        <w:t xml:space="preserve">Shterimi i mjeteve përbën parakusht që duhet përmbushur nga ankuesi, i cili para se t’i drejtohet Gjykatës Kushtetuese, duhet të vërtetojë se ka përdorur të gjitha mjetet ligjore të njohura nga ligji dhe të mjaftueshme për të rivendosur të drejtat e shkelura. </w:t>
      </w:r>
    </w:p>
    <w:p w:rsidR="00A1518D" w:rsidRPr="00E67530" w:rsidRDefault="00A1518D" w:rsidP="00A1518D">
      <w:pPr>
        <w:pStyle w:val="Paragrafi0"/>
      </w:pPr>
      <w:r w:rsidRPr="00E67530">
        <w:t>Gjatë hetimit të çështjes rezultoi se asnjë instancë gjyqësore nuk ka shfuqizuar apo ndryshuar vendimin nr.266, datë 23.12.2005 të KSHC-së, në të cilin urdhërohet subjekti i interesuar, DPD</w:t>
      </w:r>
      <w:r>
        <w:t>-së</w:t>
      </w:r>
      <w:r w:rsidRPr="00E67530">
        <w:t xml:space="preserve"> të kthejë kërkuesin në vendin e mëparshëm të punës dhe t’i paguajë pagën për të gjithë kohën e qëndrimit padrejtësisht pa punë nga momenti i ndërprerjes së marrëdhënieve financiare. Gjithashtu, asnjë instancë gjyqësore nuk ka shfuqizuar apo ndryshuar vendimin nr.3</w:t>
      </w:r>
      <w:r>
        <w:t>1, datë 6.</w:t>
      </w:r>
      <w:r w:rsidRPr="00E67530">
        <w:t xml:space="preserve">4.2006 të Gjykatës së Apelit, i cili ka vendosur lëshimin e urdhrit të ekzekutimit për vendimin e formës së prerë nr.18, datë 21.03.2006.    </w:t>
      </w:r>
    </w:p>
    <w:p w:rsidR="00A1518D" w:rsidRPr="00E67530" w:rsidRDefault="00A1518D" w:rsidP="00A1518D">
      <w:pPr>
        <w:pStyle w:val="Paragrafi0"/>
      </w:pPr>
      <w:r w:rsidRPr="00E67530">
        <w:t>Subjekti i interesuar, DPD</w:t>
      </w:r>
      <w:r>
        <w:t>,</w:t>
      </w:r>
      <w:r w:rsidRPr="00E67530">
        <w:t xml:space="preserve"> e motivon pretendimin për mosshterimin e</w:t>
      </w:r>
      <w:r>
        <w:t xml:space="preserve"> mjeteve juridike me argumentin</w:t>
      </w:r>
      <w:r w:rsidRPr="00E67530">
        <w:t xml:space="preserve"> se pranë Kolegjit Civil të Gjykatës së Lartë gjenden ende të pashqyrtuara disa rekurse të paraqitura si nga kërkuesi</w:t>
      </w:r>
      <w:r>
        <w:t>, ashtu dhe DPD</w:t>
      </w:r>
      <w:r w:rsidRPr="00E67530">
        <w:t xml:space="preserve"> kundër vendimeve gjyqësore që kanë lidhje me çështjen objekt gjykimi.</w:t>
      </w:r>
    </w:p>
    <w:p w:rsidR="00A1518D" w:rsidRPr="00E67530" w:rsidRDefault="00A1518D" w:rsidP="00A1518D">
      <w:pPr>
        <w:pStyle w:val="Paragrafi0"/>
      </w:pPr>
      <w:r w:rsidRPr="00E67530">
        <w:t>Gjykata Kushtetuese konstatoi se disa shkresa të Drejtorit të DPD-së, me urdhërime të ndryshme për kërkuesin, janë bërë objekt gjykimi i disa proceseve administrative dhe gjyqësore. Fakti, që aktet e kundërshtuara janë nxjerrë në kohë dhe me objekt të ndryshëm, ka përjashtuar mundësinë e bashkimeve midis tyre. Çështjet gjyqësore, të cilat janë ende në proces në Gjykatën e Lartë</w:t>
      </w:r>
      <w:r>
        <w:t>,</w:t>
      </w:r>
      <w:r w:rsidRPr="00E67530">
        <w:t xml:space="preserve"> nuk kanë lidhje me çështjen objekt gjykimi në Gjykatën Kushtetuese, për shkak të objektit të ndryshëm të gjykimit. </w:t>
      </w:r>
    </w:p>
    <w:p w:rsidR="00A1518D" w:rsidRDefault="00A1518D" w:rsidP="00A1518D">
      <w:pPr>
        <w:pStyle w:val="Paragrafi0"/>
      </w:pPr>
      <w:r w:rsidRPr="00E67530">
        <w:t>Sa më sipë</w:t>
      </w:r>
      <w:r>
        <w:t>r, Gjykata Kushtetuese vlerëson</w:t>
      </w:r>
      <w:r w:rsidRPr="00E67530">
        <w:t xml:space="preserve"> se kërkuesi ka përdorur të gjitha mjetet ligjore të njohur nga ligji dhe të mjaftueshme për të rivendosur të drejtën e shkelur.  </w:t>
      </w:r>
    </w:p>
    <w:p w:rsidR="00A1518D" w:rsidRPr="00E67530" w:rsidRDefault="00A1518D" w:rsidP="00A1518D">
      <w:pPr>
        <w:pStyle w:val="Paragrafi0"/>
      </w:pPr>
      <w:r w:rsidRPr="00344E65">
        <w:rPr>
          <w:i/>
        </w:rPr>
        <w:t>2. Lidhur me pretendimin e kërkuesit për mosekzekutimin e vendimit gjyqësor të formës së  prerë brenda afatit të arsyeshëm</w:t>
      </w:r>
      <w:r w:rsidRPr="00E67530">
        <w:t>.</w:t>
      </w:r>
    </w:p>
    <w:p w:rsidR="00A1518D" w:rsidRPr="00E67530" w:rsidRDefault="00A1518D" w:rsidP="00A1518D">
      <w:pPr>
        <w:pStyle w:val="Paragrafi0"/>
      </w:pPr>
      <w:r w:rsidRPr="00E67530">
        <w:t>Ekzekutimi brenda një afati të arsyeshëm i një vendimi të formës së prerë të gjykatës duhet ko</w:t>
      </w:r>
      <w:r>
        <w:t>nsideruar si pjesë përbërëse e s</w:t>
      </w:r>
      <w:r w:rsidRPr="00E67530">
        <w:t>ë drejtës për një proces të rregullt ligjor në kuptim të Kushtetutës së Republikës së Shqipërisë dhe të Konventës Europ</w:t>
      </w:r>
      <w:r>
        <w:t>iane për të Drejtat e Njeriut (v</w:t>
      </w:r>
      <w:r w:rsidRPr="00E67530">
        <w:t>endimi nr.2</w:t>
      </w:r>
      <w:r>
        <w:t>7, datë 20.</w:t>
      </w:r>
      <w:r w:rsidRPr="00E67530">
        <w:t xml:space="preserve">6.2007 i Gjykatës Kushtetuese).  Ekzekutimi i vendimit përbën një element thelbësor të shtetit të së drejtës e të vetë nocionit të gjykimit të drejtë. Asnjë organ shtetëror nuk mund të vërë në diskutim drejtësinë e vendimeve gjyqësore të formës së prerë. Çdo organ shtetëror detyrohet të marrë masat </w:t>
      </w:r>
      <w:r>
        <w:t>përkatëse për zbatimin e tyre (vendimi nr.6, datë 31.</w:t>
      </w:r>
      <w:r w:rsidRPr="00E67530">
        <w:t>3.2006 i Gjykatës Kushtetuese).</w:t>
      </w:r>
    </w:p>
    <w:p w:rsidR="00A1518D" w:rsidRPr="00E67530" w:rsidRDefault="00A1518D" w:rsidP="00A1518D">
      <w:pPr>
        <w:pStyle w:val="Paragrafi0"/>
      </w:pPr>
      <w:r w:rsidRPr="00E67530">
        <w:t>Gjykata Kushtetuese ka vlerësuar se ekzekutimi i vendimit të formës së prerë të gjykatës konsiderohet si faza përfundimtare e realizimit të një të drejte të fituar gjyqësisht. Vetëm pas realizimit të kësaj faze mund të konsiderohet se individi e ka vendosur plotësisht në vend të drejtën e tij të fituar</w:t>
      </w:r>
      <w:r>
        <w:t>. Procesi i vendosjes në vend i</w:t>
      </w:r>
      <w:r w:rsidRPr="00E67530">
        <w:t xml:space="preserve"> një të drejte të shkelur përfshin jo vetëm vendimmarrjen e gjykatave, por edhe veprimet konkrete të organeve përgjegjëse të ngarkuara me ekzekutimin e vendimeve gjyqësore të formës së prerë. Gjykata Kushtetuese konsideron se autoritetet shtetërore nuk mund të përmendin mungesën e fondeve si justifikim për të mos respektuar një detyrim financiar që vjen nga një vendim gjyqësor. Pa dyshim që një vonesë në ekzekutimin e një vendimi mund të justifikohet në rrethana të veçanta, por vonesa nuk mund të jetë deri në atë shkallë sa të dëmtojë thelbin e</w:t>
      </w:r>
      <w:r>
        <w:t xml:space="preserve"> së drejtës (v</w:t>
      </w:r>
      <w:r w:rsidRPr="00E67530">
        <w:t>endim</w:t>
      </w:r>
      <w:r>
        <w:t>i</w:t>
      </w:r>
      <w:r w:rsidRPr="00E67530">
        <w:t xml:space="preserve"> nr.43, datë 19.12.2007). </w:t>
      </w:r>
    </w:p>
    <w:p w:rsidR="00A1518D" w:rsidRPr="00E67530" w:rsidRDefault="00A1518D" w:rsidP="00A1518D">
      <w:pPr>
        <w:pStyle w:val="Paragrafi0"/>
      </w:pPr>
      <w:r w:rsidRPr="00E67530">
        <w:t>Gjykata Kushtetuese rikonfirmon qëndrimin se në një çështje që përfshin përcaktimin e një të drejte civile, kohëzgjatja e procedurave normalisht llogaritet nga momenti i fillimit të procedurës gjyqëso</w:t>
      </w:r>
      <w:r>
        <w:t>re</w:t>
      </w:r>
      <w:r w:rsidRPr="00E67530">
        <w:t xml:space="preserve"> deri në momentin kur jepet vendimi dhe ekzekutohet ai. Faza ekzekutive konsiderohet si fazë e mëtejshme e të njëjtit proces. </w:t>
      </w:r>
    </w:p>
    <w:p w:rsidR="00A1518D" w:rsidRPr="00E67530" w:rsidRDefault="00A1518D" w:rsidP="00A1518D">
      <w:pPr>
        <w:pStyle w:val="Paragrafi0"/>
      </w:pPr>
      <w:r w:rsidRPr="00E67530">
        <w:t>Ekzekutimi i vendimeve brenda afatit të arsyeshëm ka qenë në fokusin e vazhdueshëm edhe të Gjykatës Europiane për të Drejtat e Njeriut, e cila në jurisprudencën e saj, në mënyrë të vazhdueshme, ka rikonfirmuar se kohëzgjatja e arsyeshme e procedimeve duhet të vlerësohet nën dritën e rrethanave të çështjes, dhe duke marrë në konsideratë kompleksitetin e çështjes, sjelljen e aplikantit dhe autoriteteve përkatëse</w:t>
      </w:r>
      <w:r>
        <w:t>,</w:t>
      </w:r>
      <w:r w:rsidRPr="00E67530">
        <w:t xml:space="preserve"> si dhe interesin e aplikantit. Për vlerësimin e kompleksitetit të procedimeve duhet të kenë rëndësi të gjitha aspektet e çështjes, përfshi objektin e çështjes, faktet e kundërshtuara, volumin e provave shkresore. Kompleksiteti i çështjes, në balancë me parimin e sigurimit të administrimit të përshtatshëm të drejtësisë, mund të justifikojë kohëzgjatje kohore të konsiderueshme. Përsa i përket sjelljes së aplikantit/kërkuesit, GJEDNJ</w:t>
      </w:r>
      <w:r>
        <w:t>-ja</w:t>
      </w:r>
      <w:r w:rsidRPr="00E67530">
        <w:t xml:space="preserve"> ka mbajtur qëndrimin se përdorimi nga ana e aplikantit i të gjitha procedurave të parashikuara nga e drejta e brendshme, me qëllim sigurimin e mbrojtjes, nuk mund të përdoret si argument kundër tij. Përsa i përket sjelljes së autoriteteve, GJEDNJ</w:t>
      </w:r>
      <w:r>
        <w:t>-ja ka mbajtur që</w:t>
      </w:r>
      <w:r w:rsidRPr="00E67530">
        <w:t>ndrimin se edhe në ato sisteme ligjore, të cilat zbatojnë parimin se iniciativat procedurale u takojnë palëve, përsëri gjykatat kanë detyrimin për të siguruar progresin e gjykim</w:t>
      </w:r>
      <w:r>
        <w:t>eve me shpejtësi të mjaftueshme (v</w:t>
      </w:r>
      <w:r w:rsidRPr="00E67530">
        <w:t>endimi “Cravcenko kund</w:t>
      </w:r>
      <w:r>
        <w:t>ër Moldavisë”, GJEDNJ, datë 15.</w:t>
      </w:r>
      <w:r w:rsidRPr="00E67530">
        <w:t>4.2008)</w:t>
      </w:r>
      <w:r>
        <w:t>.</w:t>
      </w:r>
    </w:p>
    <w:p w:rsidR="00A1518D" w:rsidRPr="00E67530" w:rsidRDefault="00A1518D" w:rsidP="00A1518D">
      <w:pPr>
        <w:pStyle w:val="Paragrafi0"/>
      </w:pPr>
      <w:r w:rsidRPr="00E67530">
        <w:t>Çështja objekt gjykimi nuk paraqet kompleksitet nga pikëpamja faktike apo ligjore, çka mund të justifikonte vonesat apo sjelljen mosvepruese të organeve t</w:t>
      </w:r>
      <w:r>
        <w:t>ë ngarkuara nga ligji, DPD-ja dhe zyra e p</w:t>
      </w:r>
      <w:r w:rsidRPr="00E67530">
        <w:t>ë</w:t>
      </w:r>
      <w:r>
        <w:t>r</w:t>
      </w:r>
      <w:r w:rsidRPr="00E67530">
        <w:t xml:space="preserve">mbarimit. Përsa i përket sjelljes (veprimeve) së/të kërkuesit, Gjykata konstaton se kërkuesi ka vepruar në përputhje me të drejtat e tij procedurale, duke shteruar mjetet ligjore në dispozicion të tij për rivendosjen e së drejtës së cenuar. </w:t>
      </w:r>
    </w:p>
    <w:p w:rsidR="00A1518D" w:rsidRDefault="00A1518D" w:rsidP="00A1518D">
      <w:pPr>
        <w:pStyle w:val="Paragrafi0"/>
      </w:pPr>
      <w:r w:rsidRPr="00E67530">
        <w:t>Përmbarues</w:t>
      </w:r>
      <w:r>
        <w:t>i gjyqësor, si subjekt procedur</w:t>
      </w:r>
      <w:r w:rsidRPr="00E67530">
        <w:t>al në fushën e ekzekutimit, është i pajisur me të gjitha mje</w:t>
      </w:r>
      <w:r>
        <w:t>tet procedur</w:t>
      </w:r>
      <w:r w:rsidRPr="00E67530">
        <w:t>ale që mundësojnë ekzekutimin e titu</w:t>
      </w:r>
      <w:r>
        <w:t>llit ekzekutiv. Përfaqësuesi i zyrës së përmbarimit pretendoi</w:t>
      </w:r>
      <w:r w:rsidRPr="00E67530">
        <w:t xml:space="preserve"> se përmbaruesit gjyqësor kishin zbatuar dispozitat procedurale mbi ekzekutimin vullnetar</w:t>
      </w:r>
      <w:r>
        <w:t>,</w:t>
      </w:r>
      <w:r w:rsidRPr="00E67530">
        <w:t xml:space="preserve"> deri në gjobitjen e personit të ngarkuar nga ligji për mosekzekutim vullnetar</w:t>
      </w:r>
      <w:r>
        <w:t xml:space="preserve"> të detyrimit. Gjykata vlerëson</w:t>
      </w:r>
      <w:r w:rsidRPr="00E67530">
        <w:t xml:space="preserve"> se veprimet e kryera nga përmbaruesi gjyqësor kanë qenë të pasuksesshme për sh</w:t>
      </w:r>
      <w:r>
        <w:t>kak të mosushtrimit të të gjitha</w:t>
      </w:r>
      <w:r w:rsidRPr="00E67530">
        <w:t xml:space="preserve"> kompetencave nga ana e ti</w:t>
      </w:r>
      <w:r>
        <w:t>j. Gjykata Kushtetuese vlerëson</w:t>
      </w:r>
      <w:r w:rsidRPr="00E67530">
        <w:t xml:space="preserve"> se përballë detyrimit për zbatim të vendimeve gjyqësore të formës së prerë, të gjitha subjektet, qofshin këto private apo publike, duhet të përgjigjen njëlloj. </w:t>
      </w:r>
    </w:p>
    <w:p w:rsidR="00A1518D" w:rsidRPr="00E67530" w:rsidRDefault="00A1518D" w:rsidP="00A1518D">
      <w:pPr>
        <w:pStyle w:val="Paragrafi0"/>
      </w:pPr>
      <w:r w:rsidRPr="00E67530">
        <w:t>DPD-ja ka kundërshtuar ekz</w:t>
      </w:r>
      <w:r>
        <w:t>ekutimin e vendimit me argumente</w:t>
      </w:r>
      <w:r w:rsidRPr="00E67530">
        <w:t xml:space="preserve"> që kanë të bëjnë me paligjshmërinë e vendimit të KSHC-së, vënien në dyshim të vl</w:t>
      </w:r>
      <w:r>
        <w:t>erës së tij si titull ekzekutiv</w:t>
      </w:r>
      <w:r w:rsidRPr="00E67530">
        <w:t xml:space="preserve"> dhe pamundësisë financiare për përmbushjen e detyrimit</w:t>
      </w:r>
      <w:r>
        <w:t>. Gjykata Kushtetuese konstaton</w:t>
      </w:r>
      <w:r w:rsidRPr="00E67530">
        <w:t xml:space="preserve"> se DPD-ja ka refuzuar në mënyrë të vazhdueshme e të pajustifikuar ekzekutimin e titullit ekzekutiv.</w:t>
      </w:r>
    </w:p>
    <w:p w:rsidR="00A1518D" w:rsidRPr="00E67530" w:rsidRDefault="00A1518D" w:rsidP="00A1518D">
      <w:pPr>
        <w:pStyle w:val="Paragrafi0"/>
      </w:pPr>
      <w:r w:rsidRPr="00E67530">
        <w:t xml:space="preserve">Në lidhje me pretendimin e DPD-së mbi pavlefshmërinë e vendimit të KSHC-së si vendim i nxjerrë nga një organ jashtë kompetencave të parashikuara nga </w:t>
      </w:r>
      <w:r>
        <w:t>ligji, Gjykata Kushtetuese çmon</w:t>
      </w:r>
      <w:r w:rsidRPr="00E67530">
        <w:t xml:space="preserve"> se vlerësimi i këtij pretendimi i përket juridiksionit të gjykatës së zakonshme</w:t>
      </w:r>
      <w:r>
        <w:t>,</w:t>
      </w:r>
      <w:r w:rsidRPr="00E67530">
        <w:t xml:space="preserve"> dhe jo juridiksionit kushtetues. </w:t>
      </w:r>
    </w:p>
    <w:p w:rsidR="00A1518D" w:rsidRDefault="00A1518D" w:rsidP="00A1518D">
      <w:pPr>
        <w:pStyle w:val="Paragrafi0"/>
      </w:pPr>
      <w:r w:rsidRPr="00E67530">
        <w:t>Gjykata Kushtetuese vlerëson të pabazuar edhe pretendimin se vendimi i gjykatës nuk është titull ekzekutiv. Vënia në dyshim e fuqisë ekzekutive të vendimit të gjykatës, nisur nga fakti se çështja nuk është zgjidhur në themel dhe dispozitivi i vendimit nuk përmban detyrime në të, është e pabazuar. Kolegjet e Bashkuara të Gjykatës së Lartë, në ve</w:t>
      </w:r>
      <w:r>
        <w:t>ndimin unifikues nr.3, datë 24.</w:t>
      </w:r>
      <w:r w:rsidRPr="00E67530">
        <w:t>1.2007 kanë arritur në konkluzionin se Komisioni i Shërbimit Civil ka tipa</w:t>
      </w:r>
      <w:r>
        <w:t>ret e një arbitri administrativ</w:t>
      </w:r>
      <w:r w:rsidRPr="00E67530">
        <w:t xml:space="preserve"> apo të një trupe (organi) me funksion dhe kompetenca </w:t>
      </w:r>
      <w:r w:rsidRPr="00331F61">
        <w:rPr>
          <w:i/>
        </w:rPr>
        <w:t>quasi</w:t>
      </w:r>
      <w:r w:rsidRPr="00E67530">
        <w:t xml:space="preserve"> gjyqësore. Vendimi i KSHC-së ngjason me vendimin e dhënë nga gjykata e shkallës së parë, nisur nga tiparet e tij dhe nga fuqia detyruese që ligjvënësi i ka dhënë në rastet kur ai nuk ankimohet brenda afatit ligjor. </w:t>
      </w:r>
    </w:p>
    <w:p w:rsidR="00A1518D" w:rsidRPr="00E67530" w:rsidRDefault="00A1518D" w:rsidP="00A1518D">
      <w:pPr>
        <w:pStyle w:val="Paragrafi0"/>
      </w:pPr>
      <w:r w:rsidRPr="00E67530">
        <w:t>Gjykata Europiane</w:t>
      </w:r>
      <w:r>
        <w:t xml:space="preserve"> për të Drejtat e Njeriut vëren</w:t>
      </w:r>
      <w:r w:rsidRPr="00E67530">
        <w:t xml:space="preserve"> se</w:t>
      </w:r>
      <w:r>
        <w:t>,</w:t>
      </w:r>
      <w:r w:rsidRPr="00E67530">
        <w:t xml:space="preserve"> pavarësisht nëse vendimi përfundimtar për t’u ekzekutuar merr formën e një vendimi gjykate ose një vendimi të një autoriteti administrativ, legjislacioni i brendshëm dhe Konventa parashikon që ai duhe</w:t>
      </w:r>
      <w:r>
        <w:t xml:space="preserve">t të ekzekutohet </w:t>
      </w:r>
      <w:r w:rsidRPr="00E67530">
        <w:t>(Çë</w:t>
      </w:r>
      <w:r>
        <w:t>shtja “Ramadhi kundër Shqipërisë”</w:t>
      </w:r>
      <w:r w:rsidRPr="00E67530">
        <w:t xml:space="preserve"> datë 13 nëntor 2007)</w:t>
      </w:r>
      <w:r>
        <w:t>.</w:t>
      </w:r>
    </w:p>
    <w:p w:rsidR="00A1518D" w:rsidRPr="00E67530" w:rsidRDefault="00A1518D" w:rsidP="00A1518D">
      <w:pPr>
        <w:pStyle w:val="Paragrafi0"/>
      </w:pPr>
      <w:r w:rsidRPr="00E67530">
        <w:t>Përsa i përket pretendimit se vendimi nr.266, datë 23.12.2005 i KSHC-së është ekzekutua</w:t>
      </w:r>
      <w:r>
        <w:t>r, pasi kërkuesi është emëruar përgjegjës z</w:t>
      </w:r>
      <w:r w:rsidRPr="00E67530">
        <w:t xml:space="preserve">yre në Sektorin e Task-Forcës në Drejtorinë e Policisë Tatimore, në Drejtorinë e Përgjithshme të Tatimeve, Gjykata Kushtetuese vlerëson se punësimi i kërkuesit me vendimin nr.1097/1, datë 22.11.2007 nuk përmbush urdhërimet e vendimit të KSHC-së.  </w:t>
      </w:r>
    </w:p>
    <w:p w:rsidR="00A1518D" w:rsidRPr="00E67530" w:rsidRDefault="00A1518D" w:rsidP="00A1518D">
      <w:pPr>
        <w:pStyle w:val="Paragrafi0"/>
      </w:pPr>
      <w:r w:rsidRPr="00E67530">
        <w:t>Sa më sipër, Gjykata Kushtetuese nuk gjen arsye të bazuara që kanë çuar në mosrealizimin e të drejtës së kërkuesit për një proces të rregullt ligjor nëpërmjet refuzimit për moszbatim të vendimit të formës së prerë nga organet kompetente. Gjykata vlerëson se n</w:t>
      </w:r>
      <w:r>
        <w:t>ë çështjen në shqyrtim, Zyra e përmbarimit dhe DPD-ja</w:t>
      </w:r>
      <w:r w:rsidRPr="00E67530">
        <w:t xml:space="preserve"> i kishin të gjitha mundësitë që gjatë gjithë periudhës</w:t>
      </w:r>
      <w:r>
        <w:t>,</w:t>
      </w:r>
      <w:r w:rsidRPr="00E67530">
        <w:t xml:space="preserve"> nga dita e marrjes formë të prerë të vend</w:t>
      </w:r>
      <w:r>
        <w:t>imit e në vazhdim, të ekzekutoni</w:t>
      </w:r>
      <w:r w:rsidRPr="00E67530">
        <w:t xml:space="preserve">n vendimin e formës së prerë. </w:t>
      </w:r>
    </w:p>
    <w:p w:rsidR="00A1518D" w:rsidRPr="00E67530" w:rsidRDefault="00A1518D" w:rsidP="00A1518D">
      <w:pPr>
        <w:pStyle w:val="Paragrafi0"/>
      </w:pPr>
      <w:r w:rsidRPr="00E67530">
        <w:t>Si përfundim, në vijim të arsyetimit të mësipërm, në çështjen objekt shqyrtimi, Gjykata Kushtetuese konstaton se mosekzekutimi i vendimit të formës së prerë ka sjellë cenimin e së drejtës për një proces të rregullt ligjor të kërkuesit të parashikuar nga neni 42 i Kushtetutës së Republikës së Shqipërisë dhe nenit 6/1 të KEDNJ</w:t>
      </w:r>
      <w:r>
        <w:t>-së</w:t>
      </w:r>
      <w:r w:rsidRPr="00E67530">
        <w:t>.</w:t>
      </w:r>
    </w:p>
    <w:p w:rsidR="00A1518D" w:rsidRPr="00E67530" w:rsidRDefault="00A1518D" w:rsidP="00A1518D">
      <w:pPr>
        <w:pStyle w:val="Paragrafi0"/>
      </w:pPr>
    </w:p>
    <w:p w:rsidR="00A1518D" w:rsidRDefault="00A1518D" w:rsidP="00A1518D">
      <w:pPr>
        <w:pStyle w:val="VENDOSI0"/>
      </w:pPr>
      <w:r w:rsidRPr="00E67530">
        <w:t>PËR KËTO ARSYE,</w:t>
      </w:r>
    </w:p>
    <w:p w:rsidR="00A1518D" w:rsidRDefault="00A1518D" w:rsidP="00A1518D">
      <w:pPr>
        <w:pStyle w:val="VENDOSI0"/>
      </w:pPr>
    </w:p>
    <w:p w:rsidR="00A1518D" w:rsidRPr="00E67530" w:rsidRDefault="00A1518D" w:rsidP="00A1518D">
      <w:pPr>
        <w:pStyle w:val="Paragrafi0"/>
      </w:pPr>
      <w:r w:rsidRPr="00E67530">
        <w:t>Gjykata Kushtetuese e Republikës së Shqipërisë, në mbështetje të neneve 49/2 e</w:t>
      </w:r>
      <w:r>
        <w:t xml:space="preserve"> 51 të ligjit nr.8577, datë 10.</w:t>
      </w:r>
      <w:r w:rsidRPr="00E67530">
        <w:t>2.2000 “Për organizimin dhe funksionimin e Gjykatës Kushtetuese të Republikës së Shqipërisë”, njëzëri, </w:t>
      </w:r>
    </w:p>
    <w:p w:rsidR="00A1518D" w:rsidRPr="00E67530" w:rsidRDefault="00A1518D" w:rsidP="00A1518D">
      <w:pPr>
        <w:pStyle w:val="Paragrafi0"/>
      </w:pPr>
    </w:p>
    <w:p w:rsidR="00A1518D" w:rsidRDefault="00A1518D" w:rsidP="00A1518D">
      <w:pPr>
        <w:pStyle w:val="VENDOSI0"/>
      </w:pPr>
      <w:r>
        <w:t>VENDOS</w:t>
      </w:r>
      <w:r w:rsidRPr="00E67530">
        <w:t>I:</w:t>
      </w:r>
    </w:p>
    <w:p w:rsidR="00A1518D" w:rsidRPr="00E67530" w:rsidRDefault="00A1518D" w:rsidP="00A1518D">
      <w:pPr>
        <w:pStyle w:val="Paragrafi0"/>
      </w:pPr>
    </w:p>
    <w:p w:rsidR="00A1518D" w:rsidRDefault="00A1518D" w:rsidP="00A1518D">
      <w:pPr>
        <w:pStyle w:val="Paragrafi0"/>
      </w:pPr>
      <w:r>
        <w:t xml:space="preserve">- </w:t>
      </w:r>
      <w:r w:rsidRPr="00E67530">
        <w:t xml:space="preserve">Konstatimin e cenimit të së drejtës kushtetuese për një proces të rregullt ligjor si rrjedhojë e moszbatimit të vendimit gjyqësor të </w:t>
      </w:r>
      <w:r>
        <w:t>formës së prerë nr.18, datë 21.</w:t>
      </w:r>
      <w:r w:rsidRPr="00E67530">
        <w:t>3.2006 të Gjykatës së Apelit Tiranë.</w:t>
      </w:r>
    </w:p>
    <w:p w:rsidR="00A1518D" w:rsidRDefault="00A1518D" w:rsidP="00A1518D">
      <w:pPr>
        <w:pStyle w:val="Paragrafi0"/>
      </w:pPr>
      <w:r w:rsidRPr="00E67530">
        <w:t>Ky vendim është përfundimtar, i formës së prerë dhe hyn në fuqi ditën e botimit në Fletoren Zyrtare.</w:t>
      </w:r>
    </w:p>
    <w:p w:rsidR="00A1518D" w:rsidRDefault="00A1518D" w:rsidP="00A1518D">
      <w:pPr>
        <w:pStyle w:val="Paragrafi0"/>
      </w:pPr>
      <w:r>
        <w:t>Anëtarë:</w:t>
      </w:r>
      <w:r w:rsidRPr="002922F5">
        <w:t xml:space="preserve"> Vladimir Kristo</w:t>
      </w:r>
      <w:r>
        <w:t xml:space="preserve"> (kryetar), </w:t>
      </w:r>
      <w:r w:rsidRPr="002922F5">
        <w:t>Fehmi Abdiu</w:t>
      </w:r>
      <w:r>
        <w:t xml:space="preserve">, </w:t>
      </w:r>
      <w:r w:rsidRPr="002922F5">
        <w:t>Gjergj Sauli</w:t>
      </w:r>
      <w:r>
        <w:t xml:space="preserve">, </w:t>
      </w:r>
      <w:r w:rsidRPr="002922F5">
        <w:t>Petrit Plloçi</w:t>
      </w:r>
      <w:r>
        <w:t>,</w:t>
      </w:r>
      <w:r w:rsidRPr="002922F5">
        <w:t xml:space="preserve"> Xhezair Zaganjori</w:t>
      </w:r>
      <w:r>
        <w:t>,</w:t>
      </w:r>
      <w:r w:rsidRPr="002922F5">
        <w:t xml:space="preserve"> Kujtim Puto</w:t>
      </w:r>
      <w:r>
        <w:t>,</w:t>
      </w:r>
      <w:r w:rsidRPr="002922F5">
        <w:t xml:space="preserve"> Vitore</w:t>
      </w:r>
      <w:r>
        <w:t xml:space="preserve"> </w:t>
      </w:r>
      <w:r w:rsidRPr="002922F5">
        <w:t>Tusha</w:t>
      </w:r>
      <w:r>
        <w:t>,</w:t>
      </w:r>
      <w:r w:rsidRPr="002922F5">
        <w:t xml:space="preserve"> Sokol Sadushi</w:t>
      </w:r>
      <w:r>
        <w:t>,</w:t>
      </w:r>
      <w:r w:rsidRPr="002922F5">
        <w:t xml:space="preserve"> Sokol Berberi</w:t>
      </w:r>
    </w:p>
    <w:sectPr w:rsidR="00A151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518D"/>
    <w:rsid w:val="00016606"/>
    <w:rsid w:val="00055B92"/>
    <w:rsid w:val="00071072"/>
    <w:rsid w:val="000D1F2B"/>
    <w:rsid w:val="000D65A1"/>
    <w:rsid w:val="001763D1"/>
    <w:rsid w:val="00203073"/>
    <w:rsid w:val="002278F6"/>
    <w:rsid w:val="0029358C"/>
    <w:rsid w:val="002B5C1F"/>
    <w:rsid w:val="002C663A"/>
    <w:rsid w:val="002E7680"/>
    <w:rsid w:val="003107C7"/>
    <w:rsid w:val="00357FBC"/>
    <w:rsid w:val="0037658A"/>
    <w:rsid w:val="003A59E8"/>
    <w:rsid w:val="003B370C"/>
    <w:rsid w:val="003C5597"/>
    <w:rsid w:val="00402051"/>
    <w:rsid w:val="00412459"/>
    <w:rsid w:val="00453249"/>
    <w:rsid w:val="004676E2"/>
    <w:rsid w:val="00476BD0"/>
    <w:rsid w:val="004C798A"/>
    <w:rsid w:val="004F5C9A"/>
    <w:rsid w:val="00572B76"/>
    <w:rsid w:val="005D3BF4"/>
    <w:rsid w:val="00682F33"/>
    <w:rsid w:val="00683536"/>
    <w:rsid w:val="006C6CC1"/>
    <w:rsid w:val="007708DE"/>
    <w:rsid w:val="00792743"/>
    <w:rsid w:val="0079382F"/>
    <w:rsid w:val="007D12D3"/>
    <w:rsid w:val="008533FC"/>
    <w:rsid w:val="0088753F"/>
    <w:rsid w:val="009A7512"/>
    <w:rsid w:val="009C244E"/>
    <w:rsid w:val="009C698B"/>
    <w:rsid w:val="00A1518D"/>
    <w:rsid w:val="00A51C90"/>
    <w:rsid w:val="00A81297"/>
    <w:rsid w:val="00A93486"/>
    <w:rsid w:val="00AB6ED0"/>
    <w:rsid w:val="00B30A87"/>
    <w:rsid w:val="00B31AA8"/>
    <w:rsid w:val="00B320FC"/>
    <w:rsid w:val="00B36C00"/>
    <w:rsid w:val="00C15A00"/>
    <w:rsid w:val="00C5019E"/>
    <w:rsid w:val="00CA07EF"/>
    <w:rsid w:val="00CE179E"/>
    <w:rsid w:val="00D75EA0"/>
    <w:rsid w:val="00D91B15"/>
    <w:rsid w:val="00E03C4C"/>
    <w:rsid w:val="00E96895"/>
    <w:rsid w:val="00EC3315"/>
    <w:rsid w:val="00F25E06"/>
    <w:rsid w:val="00F37A38"/>
    <w:rsid w:val="00F43E17"/>
    <w:rsid w:val="00F83DBC"/>
    <w:rsid w:val="00FA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8B1B38-63D7-425F-9D67-2C9F1A1E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2616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