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E68" w:rsidRPr="00B240F3" w:rsidRDefault="003D5E68" w:rsidP="003D5E68">
      <w:pPr>
        <w:pStyle w:val="Akti"/>
      </w:pPr>
      <w:bookmarkStart w:id="0" w:name="_GoBack"/>
      <w:bookmarkEnd w:id="0"/>
      <w:r w:rsidRPr="00B240F3">
        <w:t>VENDIM</w:t>
      </w:r>
    </w:p>
    <w:p w:rsidR="003D5E68" w:rsidRPr="00B240F3" w:rsidRDefault="003D5E68" w:rsidP="003D5E68">
      <w:pPr>
        <w:pStyle w:val="NumriData"/>
        <w:rPr>
          <w:szCs w:val="22"/>
        </w:rPr>
      </w:pPr>
      <w:r w:rsidRPr="00B240F3">
        <w:rPr>
          <w:szCs w:val="22"/>
        </w:rPr>
        <w:t>Nr.16, datë 15.6.2009</w:t>
      </w:r>
    </w:p>
    <w:p w:rsidR="003D5E68" w:rsidRPr="00B240F3" w:rsidRDefault="003D5E68" w:rsidP="003D5E68">
      <w:pPr>
        <w:pStyle w:val="Paragrafi0"/>
        <w:rPr>
          <w:szCs w:val="22"/>
        </w:rPr>
      </w:pPr>
    </w:p>
    <w:p w:rsidR="003D5E68" w:rsidRPr="00B240F3" w:rsidRDefault="003D5E68" w:rsidP="003D5E68">
      <w:pPr>
        <w:pStyle w:val="TitulliTitull"/>
      </w:pPr>
      <w:r w:rsidRPr="00B240F3">
        <w:t>NË EMËR TË REPUBLIKËS SË SHQIPËRISË</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Gjykata Kushtetuese e Republikës së Shqipërisë, e përbërë nga:</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Vladimir Kristo</w:t>
      </w:r>
      <w:r w:rsidRPr="00B240F3">
        <w:rPr>
          <w:szCs w:val="22"/>
        </w:rPr>
        <w:tab/>
      </w:r>
      <w:r w:rsidRPr="00B240F3">
        <w:rPr>
          <w:szCs w:val="22"/>
        </w:rPr>
        <w:tab/>
        <w:t>Kryetar  i Gjykatës Kushtetuese,</w:t>
      </w:r>
    </w:p>
    <w:p w:rsidR="003D5E68" w:rsidRPr="00B240F3" w:rsidRDefault="003D5E68" w:rsidP="003D5E68">
      <w:pPr>
        <w:pStyle w:val="Paragrafi0"/>
        <w:rPr>
          <w:szCs w:val="22"/>
        </w:rPr>
      </w:pPr>
      <w:r w:rsidRPr="00B240F3">
        <w:rPr>
          <w:szCs w:val="22"/>
        </w:rPr>
        <w:t>Fehmi Abdiu</w:t>
      </w:r>
      <w:r w:rsidRPr="00B240F3">
        <w:rPr>
          <w:szCs w:val="22"/>
        </w:rPr>
        <w:tab/>
      </w:r>
      <w:r w:rsidRPr="00B240F3">
        <w:rPr>
          <w:szCs w:val="22"/>
        </w:rPr>
        <w:tab/>
        <w:t xml:space="preserve">Anëtar   i </w:t>
      </w:r>
      <w:r w:rsidRPr="00B240F3">
        <w:rPr>
          <w:szCs w:val="22"/>
        </w:rPr>
        <w:tab/>
        <w:t>“</w:t>
      </w:r>
      <w:r w:rsidRPr="00B240F3">
        <w:rPr>
          <w:szCs w:val="22"/>
        </w:rPr>
        <w:tab/>
        <w:t>“</w:t>
      </w:r>
      <w:r w:rsidRPr="00B240F3">
        <w:rPr>
          <w:szCs w:val="22"/>
        </w:rPr>
        <w:tab/>
      </w:r>
    </w:p>
    <w:p w:rsidR="003D5E68" w:rsidRPr="00B240F3" w:rsidRDefault="003D5E68" w:rsidP="003D5E68">
      <w:pPr>
        <w:pStyle w:val="Paragrafi0"/>
        <w:rPr>
          <w:szCs w:val="22"/>
        </w:rPr>
      </w:pPr>
      <w:r w:rsidRPr="00B240F3">
        <w:rPr>
          <w:szCs w:val="22"/>
        </w:rPr>
        <w:t>Kujtim Puto</w:t>
      </w:r>
      <w:r w:rsidRPr="00B240F3">
        <w:rPr>
          <w:szCs w:val="22"/>
        </w:rPr>
        <w:tab/>
      </w:r>
      <w:r w:rsidRPr="00B240F3">
        <w:rPr>
          <w:szCs w:val="22"/>
        </w:rPr>
        <w:tab/>
        <w:t>Anëtar   i         “          “</w:t>
      </w:r>
    </w:p>
    <w:p w:rsidR="003D5E68" w:rsidRPr="00B240F3" w:rsidRDefault="003D5E68" w:rsidP="003D5E68">
      <w:pPr>
        <w:pStyle w:val="Paragrafi0"/>
        <w:rPr>
          <w:szCs w:val="22"/>
        </w:rPr>
      </w:pPr>
      <w:r w:rsidRPr="00B240F3">
        <w:rPr>
          <w:szCs w:val="22"/>
        </w:rPr>
        <w:t>Xhezair Zaganjori</w:t>
      </w:r>
      <w:r w:rsidRPr="00B240F3">
        <w:rPr>
          <w:szCs w:val="22"/>
        </w:rPr>
        <w:tab/>
        <w:t xml:space="preserve">Anëtar   i </w:t>
      </w:r>
      <w:r w:rsidRPr="00B240F3">
        <w:rPr>
          <w:szCs w:val="22"/>
        </w:rPr>
        <w:tab/>
        <w:t>“</w:t>
      </w:r>
      <w:r w:rsidRPr="00B240F3">
        <w:rPr>
          <w:szCs w:val="22"/>
        </w:rPr>
        <w:tab/>
        <w:t>“</w:t>
      </w:r>
    </w:p>
    <w:p w:rsidR="003D5E68" w:rsidRPr="00B240F3" w:rsidRDefault="003D5E68" w:rsidP="003D5E68">
      <w:pPr>
        <w:pStyle w:val="Paragrafi0"/>
        <w:rPr>
          <w:szCs w:val="22"/>
        </w:rPr>
      </w:pPr>
      <w:r w:rsidRPr="00B240F3">
        <w:rPr>
          <w:szCs w:val="22"/>
        </w:rPr>
        <w:t>Petrit Plloçi</w:t>
      </w:r>
      <w:r w:rsidRPr="00B240F3">
        <w:rPr>
          <w:szCs w:val="22"/>
        </w:rPr>
        <w:tab/>
      </w:r>
      <w:r w:rsidRPr="00B240F3">
        <w:rPr>
          <w:szCs w:val="22"/>
        </w:rPr>
        <w:tab/>
        <w:t>Anëtar   i</w:t>
      </w:r>
      <w:r w:rsidRPr="00B240F3">
        <w:rPr>
          <w:szCs w:val="22"/>
        </w:rPr>
        <w:tab/>
        <w:t>“</w:t>
      </w:r>
      <w:r w:rsidRPr="00B240F3">
        <w:rPr>
          <w:szCs w:val="22"/>
        </w:rPr>
        <w:tab/>
        <w:t>“</w:t>
      </w:r>
      <w:r w:rsidRPr="00B240F3">
        <w:rPr>
          <w:szCs w:val="22"/>
        </w:rPr>
        <w:tab/>
      </w:r>
    </w:p>
    <w:p w:rsidR="003D5E68" w:rsidRPr="00B240F3" w:rsidRDefault="003D5E68" w:rsidP="003D5E68">
      <w:pPr>
        <w:pStyle w:val="Paragrafi0"/>
        <w:rPr>
          <w:szCs w:val="22"/>
        </w:rPr>
      </w:pPr>
      <w:r w:rsidRPr="00B240F3">
        <w:rPr>
          <w:szCs w:val="22"/>
        </w:rPr>
        <w:t>Sokol Sadushi</w:t>
      </w:r>
      <w:r w:rsidRPr="00B240F3">
        <w:rPr>
          <w:szCs w:val="22"/>
        </w:rPr>
        <w:tab/>
      </w:r>
      <w:r w:rsidRPr="00B240F3">
        <w:rPr>
          <w:szCs w:val="22"/>
        </w:rPr>
        <w:tab/>
        <w:t>Anëtar   i</w:t>
      </w:r>
      <w:r w:rsidRPr="00B240F3">
        <w:rPr>
          <w:szCs w:val="22"/>
        </w:rPr>
        <w:tab/>
        <w:t>“</w:t>
      </w:r>
      <w:r w:rsidRPr="00B240F3">
        <w:rPr>
          <w:szCs w:val="22"/>
        </w:rPr>
        <w:tab/>
        <w:t>“</w:t>
      </w:r>
      <w:r w:rsidRPr="00B240F3">
        <w:rPr>
          <w:szCs w:val="22"/>
        </w:rPr>
        <w:tab/>
      </w:r>
    </w:p>
    <w:p w:rsidR="003D5E68" w:rsidRPr="00B240F3" w:rsidRDefault="003D5E68" w:rsidP="003D5E68">
      <w:pPr>
        <w:pStyle w:val="Paragrafi0"/>
        <w:rPr>
          <w:szCs w:val="22"/>
        </w:rPr>
      </w:pPr>
      <w:r w:rsidRPr="00B240F3">
        <w:rPr>
          <w:szCs w:val="22"/>
        </w:rPr>
        <w:t>Sokol Berberi</w:t>
      </w:r>
      <w:r w:rsidRPr="00B240F3">
        <w:rPr>
          <w:szCs w:val="22"/>
        </w:rPr>
        <w:tab/>
      </w:r>
      <w:r w:rsidRPr="00B240F3">
        <w:rPr>
          <w:szCs w:val="22"/>
        </w:rPr>
        <w:tab/>
        <w:t xml:space="preserve">Anëtar   i </w:t>
      </w:r>
      <w:r w:rsidRPr="00B240F3">
        <w:rPr>
          <w:szCs w:val="22"/>
        </w:rPr>
        <w:tab/>
        <w:t>“</w:t>
      </w:r>
      <w:r w:rsidRPr="00B240F3">
        <w:rPr>
          <w:szCs w:val="22"/>
        </w:rPr>
        <w:tab/>
        <w:t>“</w:t>
      </w:r>
      <w:r w:rsidRPr="00B240F3">
        <w:rPr>
          <w:szCs w:val="22"/>
        </w:rPr>
        <w:tab/>
        <w:t xml:space="preserve">   </w:t>
      </w:r>
    </w:p>
    <w:p w:rsidR="003D5E68" w:rsidRPr="00B240F3" w:rsidRDefault="003D5E68" w:rsidP="003D5E68">
      <w:pPr>
        <w:pStyle w:val="Paragrafi0"/>
        <w:rPr>
          <w:szCs w:val="22"/>
        </w:rPr>
      </w:pPr>
      <w:r w:rsidRPr="00B240F3">
        <w:rPr>
          <w:szCs w:val="22"/>
        </w:rPr>
        <w:t>Vitore Tusha</w:t>
      </w:r>
      <w:r w:rsidRPr="00B240F3">
        <w:rPr>
          <w:szCs w:val="22"/>
        </w:rPr>
        <w:tab/>
      </w:r>
      <w:r w:rsidRPr="00B240F3">
        <w:rPr>
          <w:szCs w:val="22"/>
        </w:rPr>
        <w:tab/>
        <w:t>Anëtare e</w:t>
      </w:r>
      <w:r w:rsidRPr="00B240F3">
        <w:rPr>
          <w:szCs w:val="22"/>
        </w:rPr>
        <w:tab/>
        <w:t>“</w:t>
      </w:r>
      <w:r w:rsidRPr="00B240F3">
        <w:rPr>
          <w:szCs w:val="22"/>
        </w:rPr>
        <w:tab/>
        <w:t>“</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me sekretare Blerina Çinari, në datë 24.12.2008, mori në shqyrtim në seancë gjyqësore me dyer të hapura çëshjen nr.32/17 Akti, që i përket:</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KËRKUES: GENC LOCI, përfaqësuar nga avokat Jordan Daci, me prokurë.</w:t>
      </w:r>
    </w:p>
    <w:p w:rsidR="003D5E68" w:rsidRPr="00B240F3" w:rsidRDefault="003D5E68" w:rsidP="003D5E68">
      <w:pPr>
        <w:pStyle w:val="Paragrafi0"/>
        <w:rPr>
          <w:szCs w:val="22"/>
        </w:rPr>
      </w:pPr>
      <w:r w:rsidRPr="00B240F3">
        <w:rPr>
          <w:szCs w:val="22"/>
        </w:rPr>
        <w:t>SUBJEKT I INTERESUAR:</w:t>
      </w:r>
      <w:r w:rsidRPr="00B240F3">
        <w:rPr>
          <w:szCs w:val="22"/>
        </w:rPr>
        <w:tab/>
      </w:r>
    </w:p>
    <w:p w:rsidR="003D5E68" w:rsidRPr="00B240F3" w:rsidRDefault="003D5E68" w:rsidP="003D5E68">
      <w:pPr>
        <w:pStyle w:val="Paragrafi0"/>
        <w:rPr>
          <w:szCs w:val="22"/>
        </w:rPr>
      </w:pPr>
      <w:r w:rsidRPr="00B240F3">
        <w:rPr>
          <w:szCs w:val="22"/>
        </w:rPr>
        <w:t>PROKURORIA E PËRGJITHSHME, në mungesë.</w:t>
      </w:r>
    </w:p>
    <w:p w:rsidR="003D5E68" w:rsidRPr="00B240F3" w:rsidRDefault="003D5E68" w:rsidP="003D5E68">
      <w:pPr>
        <w:pStyle w:val="Paragrafi0"/>
        <w:rPr>
          <w:szCs w:val="22"/>
        </w:rPr>
      </w:pPr>
      <w:r w:rsidRPr="00B240F3">
        <w:rPr>
          <w:szCs w:val="22"/>
        </w:rPr>
        <w:t xml:space="preserve">OBJEKTI: Shfuqizimi si antikushtetues i vendimit nr.181, datë 9.4.2008, të Kolegjit Penal të Gjykatës së Lartë. </w:t>
      </w:r>
    </w:p>
    <w:p w:rsidR="003D5E68" w:rsidRPr="00B240F3" w:rsidRDefault="003D5E68" w:rsidP="003D5E68">
      <w:pPr>
        <w:pStyle w:val="Paragrafi0"/>
        <w:rPr>
          <w:szCs w:val="22"/>
        </w:rPr>
      </w:pPr>
      <w:r w:rsidRPr="00B240F3">
        <w:rPr>
          <w:szCs w:val="22"/>
        </w:rPr>
        <w:t>BAZA LIGJORE: Nenet 42/1, 131/f e 134/g të Kushtetutës, neni 6/1 i Konventës Europiane të të Drejtave të Njeriut dhe nenet 27, 28, 30 e 45 të ligjit nr.8577, datë 10.2.2000 “Për organizimin dhe funksionimin e Gjykatës Kushtetuese të Republikës së Shqipërisë”.</w:t>
      </w:r>
    </w:p>
    <w:p w:rsidR="003D5E68" w:rsidRPr="00B240F3" w:rsidRDefault="003D5E68" w:rsidP="003D5E68">
      <w:pPr>
        <w:pStyle w:val="Paragrafi0"/>
        <w:rPr>
          <w:szCs w:val="22"/>
        </w:rPr>
      </w:pPr>
    </w:p>
    <w:p w:rsidR="003D5E68" w:rsidRPr="00B240F3" w:rsidRDefault="003D5E68" w:rsidP="003D5E68">
      <w:pPr>
        <w:pStyle w:val="Institucioni"/>
      </w:pPr>
      <w:r w:rsidRPr="00B240F3">
        <w:t>GJYKATA KUSHTETUESE,</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pasi dëgjoi relatoren e çështjes Vitore Tusha; përfaqësuesin e kërkuesit që u shpreh për pranimin e kërkesës dhe bisedoi çështjen në tërësi,</w:t>
      </w:r>
    </w:p>
    <w:p w:rsidR="003D5E68" w:rsidRPr="00B240F3" w:rsidRDefault="003D5E68" w:rsidP="003D5E68">
      <w:pPr>
        <w:pStyle w:val="Paragrafi0"/>
        <w:rPr>
          <w:szCs w:val="22"/>
        </w:rPr>
      </w:pPr>
    </w:p>
    <w:p w:rsidR="003D5E68" w:rsidRPr="00B240F3" w:rsidRDefault="003D5E68" w:rsidP="003D5E68">
      <w:pPr>
        <w:pStyle w:val="VENDOSI0"/>
      </w:pPr>
      <w:r w:rsidRPr="00B240F3">
        <w:t>VËREN:</w:t>
      </w:r>
    </w:p>
    <w:p w:rsidR="003D5E68" w:rsidRPr="00B240F3" w:rsidRDefault="003D5E68" w:rsidP="003D5E68">
      <w:pPr>
        <w:pStyle w:val="Paragrafi0"/>
        <w:rPr>
          <w:szCs w:val="22"/>
        </w:rPr>
      </w:pPr>
    </w:p>
    <w:p w:rsidR="003D5E68" w:rsidRPr="00B240F3" w:rsidRDefault="003D5E68" w:rsidP="003D5E68">
      <w:pPr>
        <w:pStyle w:val="TitulliTitull"/>
      </w:pPr>
      <w:r w:rsidRPr="00B240F3">
        <w:t>I</w:t>
      </w:r>
    </w:p>
    <w:p w:rsidR="003D5E68" w:rsidRPr="00B240F3" w:rsidRDefault="003D5E68" w:rsidP="003D5E68">
      <w:pPr>
        <w:pStyle w:val="Paragrafi0"/>
        <w:rPr>
          <w:szCs w:val="22"/>
        </w:rPr>
      </w:pPr>
      <w:r w:rsidRPr="00B240F3">
        <w:rPr>
          <w:szCs w:val="22"/>
        </w:rPr>
        <w:t xml:space="preserve">Kërkuesi, me vendimin nr.8, datë 23.1.2006 të Gjykatës së Rrethit Gjyqësor Krujë, është deklaruar fajtor dhe është dënuar me 5 vjet burgim për veprën penale të “prodhimit dhe shitjes së narkotikëve”, parashikuar nga neni 283/1 i Kodit Penal. </w:t>
      </w:r>
    </w:p>
    <w:p w:rsidR="003D5E68" w:rsidRPr="00B240F3" w:rsidRDefault="003D5E68" w:rsidP="003D5E68">
      <w:pPr>
        <w:pStyle w:val="Paragrafi0"/>
        <w:rPr>
          <w:szCs w:val="22"/>
        </w:rPr>
      </w:pPr>
      <w:r w:rsidRPr="00B240F3">
        <w:rPr>
          <w:szCs w:val="22"/>
        </w:rPr>
        <w:t xml:space="preserve">Gjykata e Apelit Tiranë, mbi ankimin e tij, me vendimin nr.465, datë 26.5.2006 ka vendosur prishjen e vendimit të Gjykatës së Rrethit Gjyqësor Krujë, pushimin e çështjes në ngarkim të kërkuesit dhe lirimin e tij nga dhomat e paraburgimit. </w:t>
      </w:r>
    </w:p>
    <w:p w:rsidR="003D5E68" w:rsidRPr="00B240F3" w:rsidRDefault="003D5E68" w:rsidP="003D5E68">
      <w:pPr>
        <w:pStyle w:val="Paragrafi0"/>
        <w:rPr>
          <w:szCs w:val="22"/>
        </w:rPr>
      </w:pPr>
      <w:r w:rsidRPr="00B240F3">
        <w:rPr>
          <w:szCs w:val="22"/>
        </w:rPr>
        <w:t>Kolegji Penal i Gjykatës së Lartë, mbi rekursin e prokurorit, me vendimin nr.181, datë 9.4.2008, ka vendosur prishjen e vendimit nr.465, datë 26.5.2006 të Gjykatës së Apelit Tiranë dhe lënien në fuqi të vendimit nr.8, datë 23.1.2006 të Gjykatës së Rrethit Gjyqësor Krujë.</w:t>
      </w:r>
    </w:p>
    <w:p w:rsidR="003D5E68" w:rsidRPr="00B240F3" w:rsidRDefault="003D5E68" w:rsidP="003D5E68">
      <w:pPr>
        <w:pStyle w:val="Paragrafi0"/>
        <w:rPr>
          <w:szCs w:val="22"/>
        </w:rPr>
      </w:pPr>
      <w:r w:rsidRPr="00B240F3">
        <w:rPr>
          <w:szCs w:val="22"/>
        </w:rPr>
        <w:t xml:space="preserve">Kërkuesi i është drejtuar Gjykatës Kushtetuese duke kërkuar shfuqizimin e vendimit të Kolegjit Penal të Gjykatës së Lartë dhe vendimit të Gjykatës së Rrethit Gjyqësor Krujë, për cenim të procesit të rregullt ligjor në gjykimin penal. </w:t>
      </w:r>
    </w:p>
    <w:p w:rsidR="003D5E68" w:rsidRPr="00B240F3" w:rsidRDefault="003D5E68" w:rsidP="003D5E68">
      <w:pPr>
        <w:pStyle w:val="Paragrafi0"/>
        <w:rPr>
          <w:szCs w:val="22"/>
        </w:rPr>
      </w:pPr>
      <w:r w:rsidRPr="00B240F3">
        <w:rPr>
          <w:szCs w:val="22"/>
        </w:rPr>
        <w:t xml:space="preserve">Gjatë shpjegimeve në seancë gjyqësore kërkuesi i ka kufizuar pretendimet, i ka vetëm në lidhje me gjykimin në Kolegjin Penal të Gjykatës së Lartë, duke parashtruar: </w:t>
      </w:r>
    </w:p>
    <w:p w:rsidR="003D5E68" w:rsidRPr="00B240F3" w:rsidRDefault="003D5E68" w:rsidP="003D5E68">
      <w:pPr>
        <w:pStyle w:val="Paragrafi0"/>
        <w:rPr>
          <w:szCs w:val="22"/>
        </w:rPr>
      </w:pPr>
      <w:r w:rsidRPr="00B240F3">
        <w:rPr>
          <w:szCs w:val="22"/>
        </w:rPr>
        <w:t xml:space="preserve">- Është cenuar </w:t>
      </w:r>
      <w:r w:rsidRPr="00B240F3">
        <w:rPr>
          <w:i/>
          <w:szCs w:val="22"/>
        </w:rPr>
        <w:t>e drejta për t’u mbrojtur, barazia e armëve, gjykimi kontradiktor dhe rëndimi i pozitës së të pandehurit</w:t>
      </w:r>
      <w:r w:rsidRPr="00B240F3">
        <w:rPr>
          <w:szCs w:val="22"/>
        </w:rPr>
        <w:t>, pasi procesi gjyqësor në Gjykatën e Lartë është zhvilluar pa praninë e të gjykuarit dhe avokatit mbrojtës, në një kohë që gjykimi në këtë gjykatë është iniciuar me rekurs të prokurorit.</w:t>
      </w:r>
    </w:p>
    <w:p w:rsidR="003D5E68" w:rsidRPr="00B240F3" w:rsidRDefault="003D5E68" w:rsidP="003D5E68">
      <w:pPr>
        <w:pStyle w:val="Paragrafi0"/>
        <w:rPr>
          <w:szCs w:val="22"/>
        </w:rPr>
      </w:pPr>
      <w:r w:rsidRPr="00B240F3">
        <w:rPr>
          <w:szCs w:val="22"/>
        </w:rPr>
        <w:t xml:space="preserve">- Nga interpretimi i gabuar i nenit 283/1 të Kodit Penal, Kolegji Penal i Gjykatës së Lartë më ka dënuar për një veprim që nuk përbën vepër penale, duke cenuar </w:t>
      </w:r>
      <w:r w:rsidRPr="00B240F3">
        <w:rPr>
          <w:i/>
          <w:szCs w:val="22"/>
        </w:rPr>
        <w:t>të drejtën e mosdënimit pa ligj</w:t>
      </w:r>
      <w:r w:rsidRPr="00B240F3">
        <w:rPr>
          <w:szCs w:val="22"/>
        </w:rPr>
        <w:t xml:space="preserve">. Veç kësaj, kolegji ka cenuar parimin e </w:t>
      </w:r>
      <w:r w:rsidRPr="00B240F3">
        <w:rPr>
          <w:i/>
          <w:szCs w:val="22"/>
        </w:rPr>
        <w:t>prezumimit të pafajësisë</w:t>
      </w:r>
      <w:r w:rsidRPr="00B240F3">
        <w:rPr>
          <w:szCs w:val="22"/>
        </w:rPr>
        <w:t>, pasi dyshimi nëse jam apo jo përdorues droge nuk është vlerësuar në favorin tim.</w:t>
      </w:r>
    </w:p>
    <w:p w:rsidR="003D5E68" w:rsidRPr="00F24431" w:rsidRDefault="003D5E68" w:rsidP="003D5E68">
      <w:pPr>
        <w:pStyle w:val="Paragrafi0"/>
        <w:rPr>
          <w:sz w:val="12"/>
          <w:szCs w:val="22"/>
        </w:rPr>
      </w:pPr>
    </w:p>
    <w:p w:rsidR="003D5E68" w:rsidRPr="00B240F3" w:rsidRDefault="003D5E68" w:rsidP="003D5E68">
      <w:pPr>
        <w:pStyle w:val="TitulliTitull"/>
      </w:pPr>
      <w:r w:rsidRPr="00B240F3">
        <w:t>II</w:t>
      </w:r>
    </w:p>
    <w:p w:rsidR="003D5E68" w:rsidRPr="00B240F3" w:rsidRDefault="003D5E68" w:rsidP="003D5E68">
      <w:pPr>
        <w:pStyle w:val="Paragrafi0"/>
        <w:rPr>
          <w:i/>
          <w:szCs w:val="22"/>
        </w:rPr>
      </w:pPr>
      <w:r w:rsidRPr="00B240F3">
        <w:rPr>
          <w:i/>
          <w:szCs w:val="22"/>
        </w:rPr>
        <w:t>A. Mbi pretendimin se është cenuar e drejta për t’u mbrojtur dhe lidhur me të parimet e mosrëndimit të pozitës së të pandehurit, barazisë së armëve dhe kontradiktoritetit</w:t>
      </w:r>
    </w:p>
    <w:p w:rsidR="003D5E68" w:rsidRPr="00B240F3" w:rsidRDefault="003D5E68" w:rsidP="003D5E68">
      <w:pPr>
        <w:pStyle w:val="Paragrafi0"/>
        <w:rPr>
          <w:szCs w:val="22"/>
        </w:rPr>
      </w:pPr>
      <w:r w:rsidRPr="00B240F3">
        <w:rPr>
          <w:szCs w:val="22"/>
        </w:rPr>
        <w:t xml:space="preserve">Kërkuesi ka pretenduar se gjykimi i inicuar nga rekursi i prokurorit dhe i zhvilluar nga Kolegji Penal i Gjykatës së Lartë në mungesë të tij dhe të mbrojtësit ka cenuar të drejtën e procesit të rregullt ligjor në aspektin e parimit të mbrojtjes, mosrëndimit të pozitës së të pandehurit, parimit të barazisë së armëve dhe parimit të gjykimit kontradiktor. </w:t>
      </w:r>
    </w:p>
    <w:p w:rsidR="003D5E68" w:rsidRPr="00B240F3" w:rsidRDefault="003D5E68" w:rsidP="003D5E68">
      <w:pPr>
        <w:pStyle w:val="Paragrafi0"/>
        <w:rPr>
          <w:szCs w:val="22"/>
        </w:rPr>
      </w:pPr>
      <w:r w:rsidRPr="00B240F3">
        <w:rPr>
          <w:szCs w:val="22"/>
        </w:rPr>
        <w:t>Në kuptim të nenit 131/f të Kushtetutës, Gjykata Kushtetuese ka juridiksion të shqyrtojë në mënyrë përfundimtare ankesat e individëve, të cilat kanë për objekt shkeljen e së drejtës së tyre kushtetuese për një proces të rregullt ligjor.</w:t>
      </w:r>
    </w:p>
    <w:p w:rsidR="003D5E68" w:rsidRPr="00B240F3" w:rsidRDefault="003D5E68" w:rsidP="003D5E68">
      <w:pPr>
        <w:pStyle w:val="Paragrafi0"/>
        <w:rPr>
          <w:szCs w:val="22"/>
        </w:rPr>
      </w:pPr>
      <w:r w:rsidRPr="00B240F3">
        <w:rPr>
          <w:szCs w:val="22"/>
        </w:rPr>
        <w:t>Gjykata Kushtetuese, në praktikën e saj, ka vlerësuar si elemente thelbësorë të procesit të rregullt ligjor në procesin penal, të drejtën e mbrojtjes, barazinë e armëve, gjykimin kontradiktor, mosrëndimin e pozitës së të pandehurit, të cilët duhet të respektohen në të gjitha shkallët e gjykimit, duke përfshirë dhe atë në Gjykatën e Lartë (</w:t>
      </w:r>
      <w:r w:rsidRPr="00B240F3">
        <w:rPr>
          <w:i/>
          <w:szCs w:val="22"/>
        </w:rPr>
        <w:t>shih vendimet nr.16, datë 8.6.2006; nr.13, datë 21.7.2008; nr.15, datë 22.7.2008 të Gjykatës Kushtetuese</w:t>
      </w:r>
      <w:r w:rsidRPr="00B240F3">
        <w:rPr>
          <w:szCs w:val="22"/>
        </w:rPr>
        <w:t>).</w:t>
      </w:r>
    </w:p>
    <w:p w:rsidR="003D5E68" w:rsidRPr="00B240F3" w:rsidRDefault="003D5E68" w:rsidP="003D5E68">
      <w:pPr>
        <w:pStyle w:val="Paragrafi0"/>
        <w:rPr>
          <w:szCs w:val="22"/>
        </w:rPr>
      </w:pPr>
      <w:r w:rsidRPr="00B240F3">
        <w:rPr>
          <w:szCs w:val="22"/>
        </w:rPr>
        <w:t>Në lidhje me respektimin e së drejtës së mbrojtjes në Gjykatën e Lartë, Gjykata Kushtetuese është shprehur, se garantimi i një mbrojtjeje efektive dhe të dobishme në Gjykatën e Lartë bëhet e domosdoshme nga kompetenca e kësaj gjykate për të gjykuar çështjet vetëm për shkaqe ligjore. Në një proces penal, mbrojtja efektive është e nevojshme dhe ka lidhje të drejtpërdrejtë me parimin e kontradiktorialitetit, për të disponuar cilësisht  mjete të barabarta.</w:t>
      </w:r>
    </w:p>
    <w:p w:rsidR="003D5E68" w:rsidRPr="00B240F3" w:rsidRDefault="003D5E68" w:rsidP="003D5E68">
      <w:pPr>
        <w:pStyle w:val="Paragrafi0"/>
        <w:rPr>
          <w:szCs w:val="22"/>
        </w:rPr>
      </w:pPr>
      <w:r w:rsidRPr="00B240F3">
        <w:rPr>
          <w:szCs w:val="22"/>
        </w:rPr>
        <w:t xml:space="preserve"> Gjykata Kushtetuese standardin e së drejtës së mbrojtjes në Gjykatën e Lartë e ka zhvilluar në lidhje me praninë e mbrojtësit në gjykim. Është vlerësuar, se situata juridike, kur rekursi paraqitet nga i akuzuari, nuk është e njëjtë me rastin kur rekursi paraqitet nga prokurori. Gjykimi i zhvilluar pa praninë e të gjykuarit apo të mbrojtësit të tij, si rrjedhojë e një rekursi të ushtruar nga prokurori, mbart në vetvete mundësinë e përkeqësimit të pozitës së të pandehurit (</w:t>
      </w:r>
      <w:r w:rsidRPr="00B240F3">
        <w:rPr>
          <w:i/>
          <w:szCs w:val="22"/>
        </w:rPr>
        <w:t>shih vendimet nr.23, datë 13.10.2005 dhe nr.13, datë 21.7.2008 të Gjykatës Kushtetuese)</w:t>
      </w:r>
      <w:r w:rsidRPr="00B240F3">
        <w:rPr>
          <w:szCs w:val="22"/>
        </w:rPr>
        <w:t>.</w:t>
      </w:r>
    </w:p>
    <w:p w:rsidR="003D5E68" w:rsidRPr="00B240F3" w:rsidRDefault="003D5E68" w:rsidP="003D5E68">
      <w:pPr>
        <w:pStyle w:val="Paragrafi0"/>
        <w:rPr>
          <w:szCs w:val="22"/>
        </w:rPr>
      </w:pPr>
      <w:r w:rsidRPr="00B240F3">
        <w:rPr>
          <w:szCs w:val="22"/>
        </w:rPr>
        <w:t>Në lidhje me këtë, Gjykata Kushtetuese ka ritheksuar, se interesat e drejtësisë kërkojnë detyrimisht realizimin e mbrojtjes, qoftë edhe me avokat të caktuar kryesisht. Kjo mbrojtje bëhet akoma më e nevojshme kur i pandehuri gjykohet nga Kolegji Penal i Gjykatës së Lartë mbi bazën e rekursit të paraqitur nga prokurori, në të cilin, ndër të tjera, kërkohet një rëndim i pozitës së tij, krahasuar me vendimin e dhënë për këtë çështje nga gjykata e apelit (</w:t>
      </w:r>
      <w:r w:rsidRPr="00B240F3">
        <w:rPr>
          <w:i/>
          <w:szCs w:val="22"/>
        </w:rPr>
        <w:t xml:space="preserve">shih vendimet nr.33, datë 24.11.2003; nr.23, datë 13.10.2005; nr.24, datë 26.10.2005; nr. 16, datë 8.6.2006; nr.13, datë 13.4.2007; nr.5, datë 4.3.2008; nr.13, datë 21.7.2008 të Gjykatës Kushtetuese </w:t>
      </w:r>
      <w:r w:rsidRPr="00B240F3">
        <w:rPr>
          <w:szCs w:val="22"/>
        </w:rPr>
        <w:t xml:space="preserve">). </w:t>
      </w:r>
    </w:p>
    <w:p w:rsidR="003D5E68" w:rsidRPr="00B240F3" w:rsidRDefault="003D5E68" w:rsidP="003D5E68">
      <w:pPr>
        <w:pStyle w:val="Paragrafi0"/>
        <w:rPr>
          <w:szCs w:val="22"/>
        </w:rPr>
      </w:pPr>
      <w:r w:rsidRPr="00B240F3">
        <w:rPr>
          <w:szCs w:val="22"/>
        </w:rPr>
        <w:t>Çështja në shqyrtim vlerësohet e ngjashme me rastet e lartpërmendura, të cilat kanë krijuar një jurisprudencë të konsoliduar të Gjykatës Kushtetuese, kur Kolegji Penal i Gjykatës së Lartë ka zhvilluar gjykimin e iniciuar, me rekurs të prokurorit, pa praninë e të gjykuarit dhe të mbrojtësit të tij, me pjesëmarrjen vetëm të prokurorit.</w:t>
      </w:r>
    </w:p>
    <w:p w:rsidR="003D5E68" w:rsidRPr="00B240F3" w:rsidRDefault="003D5E68" w:rsidP="003D5E68">
      <w:pPr>
        <w:pStyle w:val="Paragrafi0"/>
        <w:rPr>
          <w:szCs w:val="22"/>
        </w:rPr>
      </w:pPr>
      <w:r w:rsidRPr="00B240F3">
        <w:rPr>
          <w:szCs w:val="22"/>
        </w:rPr>
        <w:t xml:space="preserve">Nga aktet e çështjes në shqyrtim rezulton, se gjykimi më datë 6.2.2008 nuk është zhvilluar dhe është shtyrë për mosparaqitje të mbrojtësit të të gjykuarit. Më pas,  në  datë 9.4.2008, Kolegji Penal i Gjykatës së Lartë ka zhvilluar gjykimin në mungesë të të gjykuarit dhe mbrojtësit të tij dhe, veprimet e vetme të kryera për lajmërimin kanë të bëjnë me komunikimin e rekursit të gjykuarit dhe mbrojtësit të tij (fq. 10-11 të dosjes gjyqësore). </w:t>
      </w:r>
    </w:p>
    <w:p w:rsidR="003D5E68" w:rsidRPr="00B240F3" w:rsidRDefault="003D5E68" w:rsidP="003D5E68">
      <w:pPr>
        <w:pStyle w:val="Paragrafi0"/>
        <w:rPr>
          <w:szCs w:val="22"/>
        </w:rPr>
      </w:pPr>
      <w:r w:rsidRPr="00B240F3">
        <w:rPr>
          <w:szCs w:val="22"/>
        </w:rPr>
        <w:t>Gjykata Kushtetuese vlerëson, se Kolegji Penal i Gjykatës së Lartë nuk duhej të zhvillonte gjykimin në mungesë të mbrojtësit të të gjykuarit, por duhej të ushtronte të gjithë mjetet procedurale për të garantuar praninë e mbrojtësit në gjykim, qoftë dhe duke e caktuar atë kryesisht. Vazhdimi i gjykimit të çështjes në mungesë (</w:t>
      </w:r>
      <w:r w:rsidRPr="00B240F3">
        <w:rPr>
          <w:i/>
          <w:szCs w:val="22"/>
        </w:rPr>
        <w:t>in absentia</w:t>
      </w:r>
      <w:r w:rsidRPr="00B240F3">
        <w:rPr>
          <w:szCs w:val="22"/>
        </w:rPr>
        <w:t>) të tij dhe të mbrojtësit i ka cenuar kërkuesit të drejtën e mbrojtjes, si një element i së drejtës për proces të rregullt ligjor, garantuar nga nenet 31 dhe 42 të Kushtetutës dhe neni 6 i KEDNJ.</w:t>
      </w:r>
    </w:p>
    <w:p w:rsidR="003D5E68" w:rsidRPr="00B240F3" w:rsidRDefault="003D5E68" w:rsidP="003D5E68">
      <w:pPr>
        <w:pStyle w:val="Paragrafi0"/>
        <w:rPr>
          <w:szCs w:val="22"/>
        </w:rPr>
      </w:pPr>
      <w:r w:rsidRPr="00B240F3">
        <w:rPr>
          <w:szCs w:val="22"/>
        </w:rPr>
        <w:t xml:space="preserve">Ushtrimi i së drejtës së mbrojtjes, jo vetëm do t’i  siguronte kërkuesit një mbrojtje efektive, por do t’i jepte mundësinë të gëzonte të gjitha garancitë e gjykimit të rregullt ligjor, të garantuara nga dispozitat e lartpërmendura. </w:t>
      </w:r>
      <w:smartTag w:uri="urn:schemas-microsoft-com:office:smarttags" w:element="place">
        <w:r w:rsidRPr="00B240F3">
          <w:rPr>
            <w:szCs w:val="22"/>
          </w:rPr>
          <w:t>Po</w:t>
        </w:r>
      </w:smartTag>
      <w:r w:rsidRPr="00B240F3">
        <w:rPr>
          <w:szCs w:val="22"/>
        </w:rPr>
        <w:t xml:space="preserve"> kështu, cenimi i së drejtës së mbrojtjes ka sjellë si pasojë dhe cenimin e së drejtës për </w:t>
      </w:r>
      <w:r w:rsidRPr="00B240F3">
        <w:rPr>
          <w:i/>
          <w:szCs w:val="22"/>
        </w:rPr>
        <w:t>barazi të armëve</w:t>
      </w:r>
      <w:r w:rsidRPr="00B240F3">
        <w:rPr>
          <w:szCs w:val="22"/>
        </w:rPr>
        <w:t xml:space="preserve"> dhe së drejtës për  </w:t>
      </w:r>
      <w:r w:rsidRPr="00B240F3">
        <w:rPr>
          <w:i/>
          <w:szCs w:val="22"/>
        </w:rPr>
        <w:t>gjykim kontradiktor</w:t>
      </w:r>
      <w:r w:rsidRPr="00B240F3">
        <w:rPr>
          <w:szCs w:val="22"/>
        </w:rPr>
        <w:t>.</w:t>
      </w:r>
    </w:p>
    <w:p w:rsidR="003D5E68" w:rsidRPr="00B240F3" w:rsidRDefault="003D5E68" w:rsidP="003D5E68">
      <w:pPr>
        <w:pStyle w:val="Paragrafi0"/>
        <w:rPr>
          <w:szCs w:val="22"/>
        </w:rPr>
      </w:pPr>
      <w:r w:rsidRPr="00B240F3">
        <w:rPr>
          <w:szCs w:val="22"/>
        </w:rPr>
        <w:t xml:space="preserve">Sa më lart, Gjykata Kushtetuese vlerëson, se në procesin e zhvilluar nga Kolegji Penal i Gjykatës së Lartë janë cenuar parime që qëndrojnë në themel të procesit të rregullt ligjor.  </w:t>
      </w:r>
    </w:p>
    <w:p w:rsidR="003D5E68" w:rsidRPr="00B240F3" w:rsidRDefault="003D5E68" w:rsidP="003D5E68">
      <w:pPr>
        <w:pStyle w:val="Paragrafi0"/>
        <w:rPr>
          <w:szCs w:val="22"/>
        </w:rPr>
      </w:pPr>
      <w:r w:rsidRPr="00B240F3">
        <w:rPr>
          <w:szCs w:val="22"/>
        </w:rPr>
        <w:t>Gjykata Kushtetuese, në disa vendime të mëparshme, ka zhvilluar jurisprudencën e saj lidhur me të drejtën e të gjykuarit për t’u mbrojtur në procesin penal në Gjykatën e Lartë. Fuqia detyruese e vendimeve të mëparshme është e lidhur me çështjet konkrete të shqyrtuara, por dhe me interpretimin e bërë nga kjo Gjykatë në pjesën arsyetuese për të drejtën e mbrojtjes për fakte të njëjta kushtetuese. Vendimet e Gjykatës Kushtetuese kanë fuqi detyruese të përgjithshme, sipas nenit 132, pika 1 të Kushtetutës. Ndikimi i vendimeve të Gjykatës është i tillë, që u imponon të gjitha organeve shtetërore, duke mos përjashtuar as gjykatat, fuqinë detyruese të arsyetimit të vendimit të saj (</w:t>
      </w:r>
      <w:r w:rsidRPr="00B240F3">
        <w:rPr>
          <w:i/>
          <w:szCs w:val="22"/>
        </w:rPr>
        <w:t>shih vendim nr.14, datë 3.6.2009 të Gjykatës Kushtetuese</w:t>
      </w:r>
      <w:r w:rsidRPr="00B240F3">
        <w:rPr>
          <w:szCs w:val="22"/>
        </w:rPr>
        <w:t xml:space="preserve">). Për sa sipër, Kolegji Penal i Gjykatës së Lartë nuk mund ta zhvillojë gjykimin e iniciuar me rekurs të prokurorit, me pjesëmarrjen vetëm të këtij të fundit, pa praninë e të gjykuarit apo mbrojtësit të tij, qoftë dhe të caktuar kryesisht.                          </w:t>
      </w:r>
    </w:p>
    <w:p w:rsidR="003D5E68" w:rsidRPr="00B240F3" w:rsidRDefault="003D5E68" w:rsidP="003D5E68">
      <w:pPr>
        <w:pStyle w:val="Paragrafi0"/>
        <w:rPr>
          <w:i/>
          <w:szCs w:val="22"/>
        </w:rPr>
      </w:pPr>
      <w:r w:rsidRPr="00B240F3">
        <w:rPr>
          <w:i/>
          <w:szCs w:val="22"/>
        </w:rPr>
        <w:t>B. Lidhur me pretendimin për cenim të  së drejtës së  mosdënimit pa ligj</w:t>
      </w:r>
    </w:p>
    <w:p w:rsidR="003D5E68" w:rsidRPr="00B240F3" w:rsidRDefault="003D5E68" w:rsidP="003D5E68">
      <w:pPr>
        <w:pStyle w:val="Paragrafi0"/>
        <w:rPr>
          <w:i/>
          <w:szCs w:val="22"/>
        </w:rPr>
      </w:pPr>
      <w:r w:rsidRPr="00B240F3">
        <w:rPr>
          <w:szCs w:val="22"/>
        </w:rPr>
        <w:t xml:space="preserve">Kërkuesi ka parashtruar, se është dënuar për veprën penale të “prodhimit dhe shitjes së narkotikëve”, parashikuar nga neni 283/1 i Kodit Penal ndërkohë, që mbajtja e një sasie të vogël droge me qëllim përdorimi nuk është veprim i dënueshëm në kuptim të kësaj norme. Përmbajtja e normës nuk ka përcaktuar sasinë e drogës për përdorim vetjak dhe nuk e lidh këtë sasi me përdorimin ditor, por interpretimi i gabuar, bërë nga gjykata bazuar vetëm në kriterin e sasisë së drogës, ka cenuar të drejtën e tij të </w:t>
      </w:r>
      <w:r w:rsidRPr="00B240F3">
        <w:rPr>
          <w:i/>
          <w:szCs w:val="22"/>
        </w:rPr>
        <w:t>mosdënimit pa ligj</w:t>
      </w:r>
      <w:r w:rsidRPr="00B240F3">
        <w:rPr>
          <w:szCs w:val="22"/>
        </w:rPr>
        <w:t>.</w:t>
      </w:r>
    </w:p>
    <w:p w:rsidR="003D5E68" w:rsidRPr="00B240F3" w:rsidRDefault="003D5E68" w:rsidP="003D5E68">
      <w:pPr>
        <w:pStyle w:val="Paragrafi0"/>
        <w:rPr>
          <w:i/>
          <w:szCs w:val="22"/>
        </w:rPr>
      </w:pPr>
      <w:r w:rsidRPr="00B240F3">
        <w:rPr>
          <w:szCs w:val="22"/>
        </w:rPr>
        <w:t>E drejta e shtetasve për të mos u dënuar pa ligj, sanksionuar në nenin 29 të Kushtetutës dhe në nenin 7 të KEDNJ, është një element thelbësor i shtetit të së drejtës. Ky parim duhet të interpretohet dhe zbatohet në mënyrë që të ofrojë garanci efektive kundër ndjekjes, deklarimit fajtor dhe dënimit arbitrar (</w:t>
      </w:r>
      <w:r w:rsidRPr="00B240F3">
        <w:rPr>
          <w:i/>
          <w:szCs w:val="22"/>
        </w:rPr>
        <w:t>shih vendimin nr.14, datë 17.4.2007 të Gjykatës Kushtetuese</w:t>
      </w:r>
      <w:r w:rsidRPr="00B240F3">
        <w:rPr>
          <w:szCs w:val="22"/>
        </w:rPr>
        <w:t xml:space="preserve">). </w:t>
      </w:r>
    </w:p>
    <w:p w:rsidR="003D5E68" w:rsidRDefault="003D5E68" w:rsidP="003D5E68">
      <w:pPr>
        <w:pStyle w:val="Paragrafi0"/>
        <w:rPr>
          <w:szCs w:val="22"/>
        </w:rPr>
      </w:pPr>
      <w:r w:rsidRPr="00B240F3">
        <w:rPr>
          <w:szCs w:val="22"/>
        </w:rPr>
        <w:t>Garancia e nenit 7 të Konventës mishëron një parim të përgjithshëm sipas të cilit, çdo vepër penale duhet të parashikohet me ligj dhe individi duhet të jetë objektivisht në gjendje të kuptojë përmbajtjen e normës penale dhe, nëse është e nevojshme, me ndihmën e interpretimeve gjyqësore të saj, se çfarë veprimesh apo mosveprimesh do ta bëjnë atë përgjegjës penalisht. Kur bëhet fjalë për mundësinë e individit për të parashikuar pasojat e veprimeve të tij, nuk është e thënë që të nënkuptohet një qartësi absolute. Ligji duhet të jetë në gjendje të ndjekë rrethanat e ndryshme dhe, për këtë arsye, një standard i një parashikueshmërie të arsyeshme është i mjaftueshëm (</w:t>
      </w:r>
      <w:r w:rsidRPr="00B240F3">
        <w:rPr>
          <w:i/>
          <w:szCs w:val="22"/>
        </w:rPr>
        <w:t>GJEDNJ kërkesa nr. 45771/99 Veeber kundër Estonisë 21 janar 2003</w:t>
      </w:r>
      <w:r w:rsidRPr="00B240F3">
        <w:rPr>
          <w:szCs w:val="22"/>
        </w:rPr>
        <w:t xml:space="preserve">). </w:t>
      </w:r>
    </w:p>
    <w:p w:rsidR="003D5E68" w:rsidRPr="00B240F3" w:rsidRDefault="003D5E68" w:rsidP="003D5E68">
      <w:pPr>
        <w:pStyle w:val="Paragrafi0"/>
        <w:rPr>
          <w:i/>
          <w:szCs w:val="22"/>
        </w:rPr>
      </w:pPr>
    </w:p>
    <w:p w:rsidR="003D5E68" w:rsidRPr="00B240F3" w:rsidRDefault="003D5E68" w:rsidP="003D5E68">
      <w:pPr>
        <w:pStyle w:val="Paragrafi0"/>
        <w:rPr>
          <w:szCs w:val="22"/>
        </w:rPr>
      </w:pPr>
      <w:r w:rsidRPr="00B240F3">
        <w:rPr>
          <w:szCs w:val="22"/>
        </w:rPr>
        <w:t>Në çështjen objekt shqyrtimi, rezulton se kërkuesi është gjykuar dhe deklaruar fajtor për veprën penale të “prodhimit dhe shitjes së narkotikëve”, parashikuar nga neni 283/1 i Kodit Penal. Në këtë dispozitë, elementet e veprës penale dhe dënimi përkatës janë të përcaktuara në mënyrë të arsyeshme dhe të mjaftueshme, duke i dhënë mundësi kërkuesit të dijë, se cilat veprime apo mosveprime e bëjnë atë penalisht përgjegjës. Kjo dispozitë ka qenë e tillë që nga viti 2001, pra dhe në kohën e kryerjes së veprës penale.</w:t>
      </w:r>
    </w:p>
    <w:p w:rsidR="003D5E68" w:rsidRPr="00B240F3" w:rsidRDefault="003D5E68" w:rsidP="003D5E68">
      <w:pPr>
        <w:pStyle w:val="Paragrafi0"/>
        <w:rPr>
          <w:szCs w:val="22"/>
        </w:rPr>
      </w:pPr>
      <w:r w:rsidRPr="00B240F3">
        <w:rPr>
          <w:szCs w:val="22"/>
        </w:rPr>
        <w:t xml:space="preserve">Kolegji Penal i Gjykatës së Lartë ka interpretuar elementet e veprës penale të “prodhimit dhe shitjes së narkotikëve”, parashikuar nga neni 283/1 të Kodit Penal, në përputhje me interpretimin e bërë kësaj norme nga Kolegjet e Bashkuara të Gjykatës së Lartë, me vendimin nr.1, datë 27.3.2008, në të cilin është sqaruar përmbajtja e dispozitës dhe janë përcaktuar kufijtë e zbatimit të saj. </w:t>
      </w:r>
    </w:p>
    <w:p w:rsidR="003D5E68" w:rsidRPr="00B240F3" w:rsidRDefault="003D5E68" w:rsidP="003D5E68">
      <w:pPr>
        <w:pStyle w:val="Paragrafi0"/>
        <w:rPr>
          <w:szCs w:val="22"/>
        </w:rPr>
      </w:pPr>
      <w:r w:rsidRPr="00B240F3">
        <w:rPr>
          <w:szCs w:val="22"/>
        </w:rPr>
        <w:t>Për rrjedhojë pretendimi i kërkuesit se interpretimi i gabuar i nenit 283/1 KP ka sjellë dënimin e tij  pa ligj, rezulton i pabazuar.</w:t>
      </w:r>
    </w:p>
    <w:p w:rsidR="003D5E68" w:rsidRPr="00B240F3" w:rsidRDefault="003D5E68" w:rsidP="003D5E68">
      <w:pPr>
        <w:pStyle w:val="Paragrafi0"/>
        <w:rPr>
          <w:i/>
          <w:szCs w:val="22"/>
        </w:rPr>
      </w:pPr>
      <w:r w:rsidRPr="00B240F3">
        <w:rPr>
          <w:i/>
          <w:szCs w:val="22"/>
        </w:rPr>
        <w:t>C. Lidhur me pretendimin  për cenim të parimit të  prezumimit të pafajësisë</w:t>
      </w:r>
    </w:p>
    <w:p w:rsidR="003D5E68" w:rsidRPr="00B240F3" w:rsidRDefault="003D5E68" w:rsidP="003D5E68">
      <w:pPr>
        <w:pStyle w:val="Paragrafi0"/>
        <w:rPr>
          <w:szCs w:val="22"/>
        </w:rPr>
      </w:pPr>
      <w:r w:rsidRPr="00B240F3">
        <w:rPr>
          <w:szCs w:val="22"/>
        </w:rPr>
        <w:t xml:space="preserve">Kërkuesi ka pretenduar se interpretimi i gabuar i nenit 283/1 të KP ka cenuar  dhe parimin e </w:t>
      </w:r>
      <w:r w:rsidRPr="00B240F3">
        <w:rPr>
          <w:i/>
          <w:szCs w:val="22"/>
        </w:rPr>
        <w:t>prezumimit të pafajësisë</w:t>
      </w:r>
      <w:r w:rsidRPr="00B240F3">
        <w:rPr>
          <w:szCs w:val="22"/>
        </w:rPr>
        <w:t>. Sipas tij, dyshimi nëse ai është ose jo përdorues droge nuk është vlerësuar në favor të tij, pasi gjykata është bazuar në përcaktimin e fajësisë nisur vetëm nga sasia e drogës së sekuestruar, duke kaluar kështu barrën e provës për vërtetimin e akuzës nga prokurori tek i pandehuri.</w:t>
      </w:r>
    </w:p>
    <w:p w:rsidR="003D5E68" w:rsidRPr="00B240F3" w:rsidRDefault="003D5E68" w:rsidP="003D5E68">
      <w:pPr>
        <w:pStyle w:val="Paragrafi0"/>
        <w:rPr>
          <w:szCs w:val="22"/>
        </w:rPr>
      </w:pPr>
      <w:r w:rsidRPr="00B240F3">
        <w:rPr>
          <w:szCs w:val="22"/>
        </w:rPr>
        <w:t>Gjykata Kushtetuese është shprehur se parimi i prezumimit të pafajësisë është një nga nga elementet thelbësore të procesit të rregullt ligjor dhe garantohet nga neni 30 i Kushtetutës sipas të cilit, “Kushdo quhet i pafajshëm përderisa nuk i është provuar fajësia me vendim gjyqësor të formës së prerë”. Jurisprudenca e Gjykatës Kushtetuese e ka interpretuar kuptimin e parimit të prezumimit të pafajësisë dhe ka përcaktuar aspektet e tij. Parimi i prezumimit të pafajësisë do të thotë që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direkte dhe indirekte, të cilat duhet të provohen nga akuza (</w:t>
      </w:r>
      <w:r w:rsidRPr="00B240F3">
        <w:rPr>
          <w:i/>
          <w:szCs w:val="22"/>
        </w:rPr>
        <w:t>shih vendimin e Gjykatës Kushtetuese nr.19, datë 18.9.2008</w:t>
      </w:r>
      <w:r w:rsidRPr="00B240F3">
        <w:rPr>
          <w:szCs w:val="22"/>
        </w:rPr>
        <w:t xml:space="preserve">). </w:t>
      </w:r>
    </w:p>
    <w:p w:rsidR="003D5E68" w:rsidRPr="00B240F3" w:rsidRDefault="003D5E68" w:rsidP="003D5E68">
      <w:pPr>
        <w:pStyle w:val="Paragrafi0"/>
        <w:rPr>
          <w:szCs w:val="22"/>
        </w:rPr>
      </w:pPr>
      <w:r w:rsidRPr="00B240F3">
        <w:rPr>
          <w:szCs w:val="22"/>
        </w:rPr>
        <w:t>Edhe Gjykata Europiane e të Drejtave të Njeriut (GJEDNJ) është shprehur, se prezumimi i pafajësisë kërkon, ndër të tjera, që kryerja e detyrave nga anëtarët e një gjykate nuk duhet të fillojë me idenë e paracaktuar se i akuzuari e ka kryer veprën për të cilën akuzohet, se barra e provës i takon prokurorit dhe çdo dyshim duhet të jetë në favor të të akuzuarit. Është detyrë e prokurorit ta informojë të akuzuarin për çështjen kundër tij, në mënyrë që ai të mund të përgatisë e paraqesë mbrojtjen, si dhe t’i kundërshtojë provat të cilat mjaftojnë për ta dënuar atë (</w:t>
      </w:r>
      <w:r w:rsidRPr="00B240F3">
        <w:rPr>
          <w:i/>
          <w:szCs w:val="22"/>
        </w:rPr>
        <w:t>shih vendimet e GJEDNJ Minelli kundër Zvicrës; John Murray kundër Mbretërisë së Bashkuar, 8 shkurt 1996; Telfner kundër Austrisë 20 qershor 2001</w:t>
      </w:r>
      <w:r w:rsidRPr="00B240F3">
        <w:rPr>
          <w:szCs w:val="22"/>
        </w:rPr>
        <w:t>).</w:t>
      </w:r>
    </w:p>
    <w:p w:rsidR="003D5E68" w:rsidRPr="00B240F3" w:rsidRDefault="003D5E68" w:rsidP="003D5E68">
      <w:pPr>
        <w:pStyle w:val="Paragrafi0"/>
        <w:rPr>
          <w:szCs w:val="22"/>
        </w:rPr>
      </w:pPr>
      <w:r w:rsidRPr="00B240F3">
        <w:rPr>
          <w:szCs w:val="22"/>
        </w:rPr>
        <w:t>Nga shqyrtimi i këtij pretendimi nuk rezultojnë prova që të pasqyrojnë faktin se anëtarët e Kolegjit Penal të Gjykatës së Lartë, që kanë gjykuar çështjen, e kanë konsideruar kërkuesin fajtor para se të shpallej vendimi për fajësinë e tij. Nga sa sipër, vlerësohet se gjykata nuk e ka filluar procesin gjyqësor me bindjen e paracaktuar se kërkuesi e ka kryer veprën penale. Gjithashtu, vlerësohen të pabazuara pretendimet e kërkuesit për kalim të barrës së provës nga prokurori tek i gjykuari, për mosvlerësim të dyshimeve në favor të tij apo për përcaktimin e fajësisë pa prova të provuara nga prokurori, pasi këto nuk gjejnë pasqyrim në aktet dhe materialet gjyqësore. Në këto rrethana vlerësohet se nuk është cenuar asnjë nga aspeket e parimit të prezumimit të pafajësisë.</w:t>
      </w:r>
    </w:p>
    <w:p w:rsidR="003D5E68" w:rsidRPr="00B240F3" w:rsidRDefault="003D5E68" w:rsidP="003D5E68">
      <w:pPr>
        <w:pStyle w:val="Paragrafi0"/>
        <w:rPr>
          <w:szCs w:val="22"/>
        </w:rPr>
      </w:pPr>
      <w:r w:rsidRPr="00B240F3">
        <w:rPr>
          <w:szCs w:val="22"/>
        </w:rPr>
        <w:t xml:space="preserve">Lidhur me pretendimi e kërkuesit, se interpretimi i gabuar i nenit 283/1 të KP ka cenuar parimin e </w:t>
      </w:r>
      <w:r w:rsidRPr="00B240F3">
        <w:rPr>
          <w:i/>
          <w:szCs w:val="22"/>
        </w:rPr>
        <w:t>prezumimit të pafajësisë</w:t>
      </w:r>
      <w:r w:rsidRPr="00B240F3">
        <w:rPr>
          <w:szCs w:val="22"/>
        </w:rPr>
        <w:t xml:space="preserve">, Gjykata vlerëson se mënyra e interpretimit të nenit 283/1 të Kodit Penal nuk është në juridiksion të Gjykatës Kushtetuese, sa kohë që nuk cenohet ndonjë aspekt i procesit të rregullt ligjor. </w:t>
      </w:r>
    </w:p>
    <w:p w:rsidR="003D5E68" w:rsidRDefault="003D5E68" w:rsidP="003D5E68">
      <w:pPr>
        <w:pStyle w:val="Paragrafi0"/>
        <w:rPr>
          <w:szCs w:val="22"/>
        </w:rPr>
      </w:pPr>
      <w:r w:rsidRPr="00B240F3">
        <w:rPr>
          <w:szCs w:val="22"/>
        </w:rPr>
        <w:t xml:space="preserve">Rrjedhimisht, pretendimi i kërkuesit për cenim të parimit të </w:t>
      </w:r>
      <w:r w:rsidRPr="00B240F3">
        <w:rPr>
          <w:i/>
          <w:szCs w:val="22"/>
        </w:rPr>
        <w:t>prezumimit të pafajësisë</w:t>
      </w:r>
      <w:r w:rsidRPr="00B240F3">
        <w:rPr>
          <w:szCs w:val="22"/>
        </w:rPr>
        <w:t xml:space="preserve"> është i pabazuar.</w:t>
      </w:r>
    </w:p>
    <w:p w:rsidR="003D5E68" w:rsidRDefault="003D5E68" w:rsidP="003D5E68">
      <w:pPr>
        <w:pStyle w:val="Paragrafi0"/>
        <w:rPr>
          <w:szCs w:val="22"/>
        </w:rPr>
      </w:pP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 xml:space="preserve">Si përfundim, Gjykata Kushtetuese vlerëson, se në procesin e zhvilluar nga Kolegji Penal i Gjykatës së Lartë është cenuar e drejta e kërkuesit për mbrojtje në procesin penal, që është një nga elementet e procesit të rregullt ligjor në kuptim të nenit 42 të Kushtetutës dhe nenit 6 të KEDNJ. </w:t>
      </w:r>
    </w:p>
    <w:p w:rsidR="003D5E68" w:rsidRPr="00B240F3" w:rsidRDefault="003D5E68" w:rsidP="003D5E68">
      <w:pPr>
        <w:pStyle w:val="Paragrafi0"/>
        <w:rPr>
          <w:szCs w:val="22"/>
        </w:rPr>
      </w:pPr>
      <w:r w:rsidRPr="00B240F3">
        <w:rPr>
          <w:szCs w:val="22"/>
        </w:rPr>
        <w:t xml:space="preserve">   </w:t>
      </w:r>
    </w:p>
    <w:p w:rsidR="003D5E68" w:rsidRPr="00B240F3" w:rsidRDefault="003D5E68" w:rsidP="003D5E68">
      <w:pPr>
        <w:pStyle w:val="VENDOSI0"/>
      </w:pPr>
      <w:r w:rsidRPr="00B240F3">
        <w:t>PËR KËTO ARSYE;</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Gjykata Kushtetuese e Republikës së Shqipërisë, në mbështetje të nenit 131/f të Kushtetutës dhe nenit 72 të ligjit nr.8577, datë 10.2.2000 “Për organizimin dhe funksionimin e Gjykatës Kushtetuese të Republikës së Shqipërisë”, njëzëri,</w:t>
      </w:r>
    </w:p>
    <w:p w:rsidR="003D5E68" w:rsidRPr="00B240F3" w:rsidRDefault="003D5E68" w:rsidP="003D5E68">
      <w:pPr>
        <w:pStyle w:val="Paragrafi0"/>
        <w:rPr>
          <w:szCs w:val="22"/>
        </w:rPr>
      </w:pPr>
    </w:p>
    <w:p w:rsidR="003D5E68" w:rsidRPr="00B240F3" w:rsidRDefault="003D5E68" w:rsidP="003D5E68">
      <w:pPr>
        <w:pStyle w:val="VENDOSI0"/>
      </w:pPr>
      <w:r w:rsidRPr="00B240F3">
        <w:t>VENDOSI:</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 Shfuqizimin e vendimit nr.181, datë 9.4.2008 të Kolegjit Penal të Gjykatës së Lartë.</w:t>
      </w:r>
    </w:p>
    <w:p w:rsidR="003D5E68" w:rsidRPr="00B240F3" w:rsidRDefault="003D5E68" w:rsidP="003D5E68">
      <w:pPr>
        <w:pStyle w:val="Paragrafi0"/>
        <w:rPr>
          <w:szCs w:val="22"/>
        </w:rPr>
      </w:pPr>
      <w:r w:rsidRPr="00B240F3">
        <w:rPr>
          <w:szCs w:val="22"/>
        </w:rPr>
        <w:t>- Dërgimin e çështjes për rishqyrtim në Gjykatën e Lartë.</w:t>
      </w:r>
    </w:p>
    <w:p w:rsidR="003D5E68" w:rsidRPr="00B240F3" w:rsidRDefault="003D5E68" w:rsidP="003D5E68">
      <w:pPr>
        <w:pStyle w:val="Paragrafi0"/>
        <w:rPr>
          <w:szCs w:val="22"/>
        </w:rPr>
      </w:pPr>
      <w:r w:rsidRPr="00B240F3">
        <w:rPr>
          <w:szCs w:val="22"/>
        </w:rPr>
        <w:t>Ky vendim është përfundimtar, i formës së prerë dhe hyn në fuqi ditën e botimit në Fletoren Zyrtare.</w:t>
      </w:r>
    </w:p>
    <w:p w:rsidR="003D5E68" w:rsidRPr="00B240F3" w:rsidRDefault="003D5E68" w:rsidP="003D5E68">
      <w:pPr>
        <w:pStyle w:val="Paragrafi0"/>
        <w:rPr>
          <w:szCs w:val="22"/>
        </w:rPr>
      </w:pPr>
    </w:p>
    <w:p w:rsidR="003D5E68" w:rsidRPr="00B240F3" w:rsidRDefault="003D5E68" w:rsidP="003D5E68">
      <w:pPr>
        <w:pStyle w:val="Paragrafi0"/>
        <w:rPr>
          <w:szCs w:val="22"/>
        </w:rPr>
      </w:pPr>
      <w:r w:rsidRPr="00B240F3">
        <w:rPr>
          <w:szCs w:val="22"/>
        </w:rPr>
        <w:t>Anëtarë: Kujtim Puto, Fehmi Abdiu, Vladimir Kristo (kryetar), Sokol Sadushi, Petrit Plloçi, Xhezair Zaganjori, Vitore Tusha, Sokol Berberi</w:t>
      </w:r>
    </w:p>
    <w:sectPr w:rsidR="003D5E68" w:rsidRPr="00B240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5E68"/>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689F"/>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6718"/>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E68"/>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EFF"/>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C68FAF5-C4A8-45C8-95E6-0FBDB843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2019-03-18T13:37:00Z</dcterms:created>
  <dcterms:modified xsi:type="dcterms:W3CDTF">2019-03-18T13:37:00Z</dcterms:modified>
</cp:coreProperties>
</file>