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858" w:rsidRDefault="00403858" w:rsidP="00403858">
      <w:pPr>
        <w:pStyle w:val="Akti"/>
      </w:pPr>
      <w:bookmarkStart w:id="0" w:name="_GoBack"/>
      <w:bookmarkEnd w:id="0"/>
      <w:r>
        <w:t>VENDI</w:t>
      </w:r>
      <w:r w:rsidRPr="00360C45">
        <w:t>M</w:t>
      </w:r>
    </w:p>
    <w:p w:rsidR="00403858" w:rsidRPr="00360C45" w:rsidRDefault="00403858" w:rsidP="00403858">
      <w:pPr>
        <w:pStyle w:val="NumriData"/>
      </w:pPr>
      <w:r>
        <w:t>Nr.34, datë 8.10.2010</w:t>
      </w:r>
    </w:p>
    <w:p w:rsidR="00403858" w:rsidRDefault="00403858" w:rsidP="00403858">
      <w:pPr>
        <w:pStyle w:val="Paragrafi0"/>
      </w:pPr>
    </w:p>
    <w:p w:rsidR="00403858" w:rsidRPr="00360C45" w:rsidRDefault="00403858" w:rsidP="00403858">
      <w:pPr>
        <w:pStyle w:val="TitulliTitull"/>
      </w:pPr>
      <w:r w:rsidRPr="00360C45">
        <w:t>NË E</w:t>
      </w:r>
      <w:r>
        <w:t>MËR TË REPUBLIKËS SË SHQIPËRISË</w:t>
      </w:r>
    </w:p>
    <w:p w:rsidR="00403858" w:rsidRPr="00360C45" w:rsidRDefault="00403858" w:rsidP="00403858">
      <w:pPr>
        <w:pStyle w:val="Paragrafi0"/>
      </w:pPr>
    </w:p>
    <w:p w:rsidR="00403858" w:rsidRPr="00360C45" w:rsidRDefault="00403858" w:rsidP="00403858">
      <w:pPr>
        <w:pStyle w:val="Paragrafi0"/>
      </w:pPr>
      <w:r w:rsidRPr="00360C45">
        <w:t>Gjykata Kushtetuese e Republikës së Shqipërisë, e përbërë nga:</w:t>
      </w:r>
    </w:p>
    <w:p w:rsidR="00403858" w:rsidRPr="00360C45" w:rsidRDefault="00403858" w:rsidP="00403858">
      <w:pPr>
        <w:pStyle w:val="Paragrafi0"/>
      </w:pPr>
      <w:r>
        <w:t>Vladimir Kristo</w:t>
      </w:r>
      <w:r w:rsidRPr="00360C45">
        <w:tab/>
      </w:r>
      <w:r>
        <w:tab/>
      </w:r>
      <w:r w:rsidRPr="00360C45">
        <w:t>kryetar  i Gjykatës Kushtetuese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Petrit Plloçi</w:t>
      </w:r>
      <w:r w:rsidRPr="00403858">
        <w:rPr>
          <w:lang w:val="it-IT"/>
        </w:rPr>
        <w:tab/>
      </w:r>
      <w:r w:rsidRPr="00403858">
        <w:rPr>
          <w:lang w:val="it-IT"/>
        </w:rPr>
        <w:tab/>
        <w:t>anëtar   i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Vitore Tusha</w:t>
      </w:r>
      <w:r w:rsidRPr="00403858">
        <w:rPr>
          <w:lang w:val="it-IT"/>
        </w:rPr>
        <w:tab/>
      </w:r>
      <w:r w:rsidRPr="00403858">
        <w:rPr>
          <w:lang w:val="it-IT"/>
        </w:rPr>
        <w:tab/>
        <w:t xml:space="preserve">anëtare e 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Sokol Sadushi</w:t>
      </w:r>
      <w:r w:rsidRPr="00403858">
        <w:rPr>
          <w:lang w:val="it-IT"/>
        </w:rPr>
        <w:tab/>
      </w:r>
      <w:r w:rsidRPr="00403858">
        <w:rPr>
          <w:lang w:val="it-IT"/>
        </w:rPr>
        <w:tab/>
        <w:t>anëtar   i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Sokol Berberi</w:t>
      </w:r>
      <w:r w:rsidRPr="00403858">
        <w:rPr>
          <w:lang w:val="it-IT"/>
        </w:rPr>
        <w:tab/>
      </w:r>
      <w:r w:rsidRPr="00403858">
        <w:rPr>
          <w:lang w:val="it-IT"/>
        </w:rPr>
        <w:tab/>
        <w:t>anëtar   i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Admir Thanza</w:t>
      </w:r>
      <w:r w:rsidRPr="00403858">
        <w:rPr>
          <w:lang w:val="it-IT"/>
        </w:rPr>
        <w:tab/>
      </w:r>
      <w:r w:rsidRPr="00403858">
        <w:rPr>
          <w:lang w:val="it-IT"/>
        </w:rPr>
        <w:tab/>
        <w:t>anëtar   i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 xml:space="preserve">Altina Xhoxhaj </w:t>
      </w:r>
      <w:r w:rsidRPr="00403858">
        <w:rPr>
          <w:lang w:val="it-IT"/>
        </w:rPr>
        <w:tab/>
      </w:r>
      <w:r w:rsidRPr="00403858">
        <w:rPr>
          <w:lang w:val="it-IT"/>
        </w:rPr>
        <w:tab/>
        <w:t>anëtare e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Xhezair Zaganjori</w:t>
      </w:r>
      <w:r w:rsidRPr="00403858">
        <w:rPr>
          <w:lang w:val="it-IT"/>
        </w:rPr>
        <w:tab/>
        <w:t>anëtar   i</w:t>
      </w:r>
      <w:r w:rsidRPr="00403858">
        <w:rPr>
          <w:lang w:val="it-IT"/>
        </w:rPr>
        <w:tab/>
        <w:t>“</w:t>
      </w:r>
      <w:r w:rsidRPr="00403858">
        <w:rPr>
          <w:lang w:val="it-IT"/>
        </w:rPr>
        <w:tab/>
        <w:t>“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me sekretare Blerina Çinari, në datë 21.9.2010 mori në shqyrtim në seancë gjyqësore me dyer të hapura çështjen nr.15 Akti që i përket: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KËRKUES: Lutfi Domi</w:t>
      </w:r>
      <w:r w:rsidRPr="00403858">
        <w:rPr>
          <w:lang w:val="it-IT"/>
        </w:rPr>
        <w:tab/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SUBJEKTE TË INTERESUARA: Prokuroria e Përgjithshme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OBJEKTI: Shfuqizimi si i papajtueshëm me Kushtetutën i vendimit nr.156, datë 3.4.2009 të Kolegjit Penal të Gjykatës së Lartë, i vendimit nr.65, datë 12.2.2007 të Gjykatës së Apelit Durrës, i vendimit nr.293, datë 11.5.2006 të Kolegjit Penal të Gjykatës së Lartë, i vendimit nr.197, datë 3.6.2005 të Gjykatës së Apelit Durrës dhe i vendimit nr.310, datë 14.5.2004 të Gjykatës së Rrethit Gjyqësor Durrës.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BAZA LIGJORE: Nenet 42, 131/f dhe 134/1/g të Kushtetutës së Republikës së Shqipërisë.</w:t>
      </w:r>
    </w:p>
    <w:p w:rsidR="00403858" w:rsidRPr="00403858" w:rsidRDefault="00403858" w:rsidP="00403858">
      <w:pPr>
        <w:pStyle w:val="Paragrafi0"/>
        <w:rPr>
          <w:lang w:val="it-IT"/>
        </w:rPr>
      </w:pPr>
    </w:p>
    <w:p w:rsidR="00403858" w:rsidRPr="00403858" w:rsidRDefault="00403858" w:rsidP="00403858">
      <w:pPr>
        <w:pStyle w:val="VENDOSI0"/>
        <w:rPr>
          <w:lang w:val="it-IT"/>
        </w:rPr>
      </w:pPr>
      <w:r w:rsidRPr="00403858">
        <w:rPr>
          <w:lang w:val="it-IT"/>
        </w:rPr>
        <w:t>GJYKATA KUSHTETUESE</w:t>
      </w:r>
    </w:p>
    <w:p w:rsidR="00403858" w:rsidRPr="00403858" w:rsidRDefault="00403858" w:rsidP="00403858">
      <w:pPr>
        <w:pStyle w:val="VENDOSI0"/>
        <w:rPr>
          <w:lang w:val="it-IT"/>
        </w:rPr>
      </w:pPr>
    </w:p>
    <w:p w:rsidR="00403858" w:rsidRPr="00403858" w:rsidRDefault="00403858" w:rsidP="00403858">
      <w:pPr>
        <w:pStyle w:val="VENDOSI0"/>
        <w:rPr>
          <w:lang w:val="it-IT"/>
        </w:rPr>
      </w:pPr>
      <w:r w:rsidRPr="00403858">
        <w:rPr>
          <w:lang w:val="it-IT"/>
        </w:rPr>
        <w:t>VËREN:</w:t>
      </w:r>
    </w:p>
    <w:p w:rsidR="00403858" w:rsidRPr="00403858" w:rsidRDefault="00403858" w:rsidP="00403858">
      <w:pPr>
        <w:pStyle w:val="Paragrafi0"/>
        <w:rPr>
          <w:lang w:val="it-IT"/>
        </w:rPr>
      </w:pP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 xml:space="preserve">Gjykata e Rrethit Gjyqësor Durrës, me vendimin nr.310, datë 14.5.2004, ka deklaruar fajtor kërkuesin për veprën penale të “shfrytëzimit të prostitucionit në rrethana rënduese”, duke e dënuar atë me 7 vjet burgim. 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Gjykata e Apelit Durrës, me vendimin nr.197, datë 3.6.2005, ka vendosur lënien në fuqi të vendimit të mësipërm.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Kolegji Penal i Gjykatës së Lartë, me vendimin nr.293, datë 11.5.2005, vendosi “lënien në fuqi të vendimit nr.197, datë 3.6.2005 të Gjykatës së Apelit Durrës përsa i përket deklarimit fajtor, cilësimit ligjor të veprës e masës së dënimit për të gjykuarin Dritan Domi (bashkautor me kërkuesin). Prishjen e vendimit të mësipërm për të gjykuarin Lutfi Domi (kërkuesin) e dërgimin e akteve për rishqyrtim Gjykatës së Apelit Durrës me një tjetër trup gjykues.”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Gjykata e Apelit Durrës, me vendimin nr.65, datë 12.2.2007, ka vendosur “lënien në fuqi të vendimit të Gjykatës së Rrethit Gjyqësor Durrës për të pandehurin Lutfi Domi sa i takon deklarimit fajtor, kualifikimit të veprës penale në ngarkim të tij dhe ndryshimin vetëm për masën e dënimit.”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Kolegji Penal i Gjykatës së Lartë, me vendimin nr.156, datë 3.4.2009, ka vendosur: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“Mospranimin e rekursit të paraqitur si nga prokurori ashtu edhe nga kërkuesi”.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 xml:space="preserve">Kërkuesi, më datë 9.5.2008, i është drejtuar Gjykatës Kushtetuese, duke kërkuar shfuqizimin e vendimeve objekt kërkese për këto arsye: </w:t>
      </w:r>
    </w:p>
    <w:p w:rsidR="00403858" w:rsidRPr="00360C45" w:rsidRDefault="00403858" w:rsidP="00403858">
      <w:pPr>
        <w:pStyle w:val="Paragrafi0"/>
      </w:pPr>
      <w:r w:rsidRPr="00360C45">
        <w:t xml:space="preserve">a) Kërkuesit i është cenuar e drejta e gjykimit nga një gjykatë e pavarur dhe e paanshme për shkak se në të njëjtin proces gjyqësor, në shkallë të ndryshme, kanë marrë pjesë 2 gjyqtarë të njëjtë. Kështu, në procesin për caktimin e masës së sigurimit për kërkuesin, gjyqtarja Majlinda Andrea ka vendosur masën e sigurimit të arrestit me burg. </w:t>
      </w:r>
      <w:smartTag w:uri="urn:schemas-microsoft-com:office:smarttags" w:element="place">
        <w:r w:rsidRPr="00360C45">
          <w:t>Po</w:t>
        </w:r>
      </w:smartTag>
      <w:r w:rsidRPr="00360C45">
        <w:t xml:space="preserve"> kjo gjyqtare ka qenë në trupin gjykues të Kolegjit Penal të Gjykatës së Lartë që ka marrë në shqyrtim rekursin e kërkuesit që ka vendosur mospranimin e tij. Gjithashtu, gjyqtari Besnik Imeraj ka qenë anëtar i trupit gjykues për shqyrtimin e apelimit ndaj vendimit të sigurimit të provës së dëshmitares. </w:t>
      </w:r>
      <w:smartTag w:uri="urn:schemas-microsoft-com:office:smarttags" w:element="place">
        <w:r w:rsidRPr="00360C45">
          <w:t>Po</w:t>
        </w:r>
      </w:smartTag>
      <w:r w:rsidRPr="00360C45">
        <w:t xml:space="preserve"> ky gjyqtar ka marrë pjesë në shqyrtimin e rekursit të kërkuesit që ka vendosur mospranimin e tij. </w:t>
      </w:r>
    </w:p>
    <w:p w:rsidR="00403858" w:rsidRPr="00360C45" w:rsidRDefault="00403858" w:rsidP="00403858">
      <w:pPr>
        <w:pStyle w:val="Paragrafi0"/>
      </w:pPr>
      <w:r>
        <w:lastRenderedPageBreak/>
        <w:t xml:space="preserve">b) </w:t>
      </w:r>
      <w:r w:rsidRPr="00360C45">
        <w:t xml:space="preserve">Kërkuesit i është cenuar e drejta e mbrojtjes, pasi në seancën për sigurimin e provës kërkuesit i është caktuar avokat kryesisht, megjithëse ai nuk ishte shprehur se kërkonte avokat. </w:t>
      </w:r>
    </w:p>
    <w:p w:rsidR="00403858" w:rsidRPr="00360C45" w:rsidRDefault="00403858" w:rsidP="00403858">
      <w:pPr>
        <w:pStyle w:val="Paragrafi0"/>
      </w:pPr>
      <w:r>
        <w:t xml:space="preserve">c) </w:t>
      </w:r>
      <w:r w:rsidRPr="00360C45">
        <w:t>Mbrojtja e kërkuesit nuk ka qenë efektive, pasi të dy të pandehurit janë mbrojtur nga i njëjti avokat gjatë seancës për sigurimin e provës.</w:t>
      </w:r>
    </w:p>
    <w:p w:rsidR="00403858" w:rsidRPr="00360C45" w:rsidRDefault="00403858" w:rsidP="00403858">
      <w:pPr>
        <w:pStyle w:val="Paragrafi0"/>
      </w:pPr>
      <w:r w:rsidRPr="00360C45">
        <w:t>Në datë 21.7.2010, kërkuesi paraqiti një kërkesë tjetër para kësaj Gjykate</w:t>
      </w:r>
      <w:r>
        <w:t>,</w:t>
      </w:r>
      <w:r w:rsidRPr="00360C45">
        <w:t xml:space="preserve"> me anë të së cilës kërkoi heqjen dorë nga gjykimi i çështjes.</w:t>
      </w:r>
    </w:p>
    <w:p w:rsidR="00403858" w:rsidRPr="00360C45" w:rsidRDefault="00403858" w:rsidP="00403858">
      <w:pPr>
        <w:pStyle w:val="Paragrafi0"/>
      </w:pPr>
      <w:r w:rsidRPr="00360C45">
        <w:t xml:space="preserve">Ligji nr.8577, datë 10.2.2000 “Për organizimin dhe funksionimin e Gjykatës Kushtetuese të Republikës së Shqipërisë”, në nenin 1, paragrafi i dytë, parashikon se “Për çështje që lidhen me procedura që nuk rregullohen nga ky ligj, Gjykata Kushtetuese merr parasysh edhe dispozitat ligjore që rregullojnë procedurat e tjera, duke marrë në konsideratë natyrën ligjore të çështjes.” Bazuar në këtë dispozitë, Gjykata Kushtetuese iu referua Kodit të Procedurës Civile (KPC), neni 299/b, i cili parashikon se “gjykata vendos pushimin e gjykimit nëse paditësi heq dorë nga gjykimi i padisë” . </w:t>
      </w:r>
    </w:p>
    <w:p w:rsidR="00403858" w:rsidRPr="00360C45" w:rsidRDefault="00403858" w:rsidP="00403858">
      <w:pPr>
        <w:pStyle w:val="Paragrafi0"/>
      </w:pPr>
      <w:r w:rsidRPr="00360C45">
        <w:t xml:space="preserve">Në kushtet e mësipërme, Gjykata Kushtetuese vlerëson se plotësohen kriteret për pushimin e gjykimit të çështjes në bazë të dispozitës së sipërcituar të KPC-së. </w:t>
      </w:r>
    </w:p>
    <w:p w:rsidR="00403858" w:rsidRPr="00D55FE1" w:rsidRDefault="00403858" w:rsidP="00403858">
      <w:pPr>
        <w:pStyle w:val="VENDOSI0"/>
        <w:rPr>
          <w:sz w:val="16"/>
        </w:rPr>
      </w:pPr>
    </w:p>
    <w:p w:rsidR="00403858" w:rsidRDefault="00403858" w:rsidP="00403858">
      <w:pPr>
        <w:pStyle w:val="VENDOSI0"/>
      </w:pPr>
      <w:r>
        <w:t>Për këto arsye,</w:t>
      </w:r>
    </w:p>
    <w:p w:rsidR="00403858" w:rsidRPr="00D55FE1" w:rsidRDefault="00403858" w:rsidP="00403858">
      <w:pPr>
        <w:pStyle w:val="Paragrafi0"/>
        <w:rPr>
          <w:lang w:bidi="en-US"/>
        </w:rPr>
      </w:pPr>
    </w:p>
    <w:p w:rsidR="00403858" w:rsidRPr="00360C45" w:rsidRDefault="00403858" w:rsidP="00403858">
      <w:pPr>
        <w:pStyle w:val="Paragrafi0"/>
      </w:pPr>
      <w:r w:rsidRPr="00360C45">
        <w:t>Gjykata Kushtetuese e Republikës së Shqipërisë, bazuar në nenin 1 të ligjit nr.8577, datë 10.2.2000 “Për organizimin dhe funksionimin e Gjykatës Kushtetuese të Republikës së Shqipërisë”, dhe nenin 299 të KPC-së, njëzëri,  </w:t>
      </w:r>
    </w:p>
    <w:p w:rsidR="00403858" w:rsidRDefault="00403858" w:rsidP="00403858">
      <w:pPr>
        <w:pStyle w:val="Paragrafi0"/>
      </w:pPr>
    </w:p>
    <w:p w:rsidR="00403858" w:rsidRPr="00403858" w:rsidRDefault="00403858" w:rsidP="00403858">
      <w:pPr>
        <w:pStyle w:val="VENDOSI0"/>
        <w:rPr>
          <w:lang w:val="it-IT"/>
        </w:rPr>
      </w:pPr>
      <w:r w:rsidRPr="00403858">
        <w:rPr>
          <w:lang w:val="it-IT"/>
        </w:rPr>
        <w:t>VENDOSI:</w:t>
      </w:r>
    </w:p>
    <w:p w:rsidR="00403858" w:rsidRPr="00403858" w:rsidRDefault="00403858" w:rsidP="00403858">
      <w:pPr>
        <w:pStyle w:val="Paragrafi0"/>
        <w:rPr>
          <w:sz w:val="16"/>
          <w:lang w:val="it-IT"/>
        </w:rPr>
      </w:pP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 xml:space="preserve">- Pushimin e gjykimit të çështjes. </w:t>
      </w: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 xml:space="preserve">Ky vendim hyn në fuqi ditën e botimit në Fletoren Zyrtare. </w:t>
      </w:r>
    </w:p>
    <w:p w:rsidR="00403858" w:rsidRPr="00403858" w:rsidRDefault="00403858" w:rsidP="00403858">
      <w:pPr>
        <w:pStyle w:val="Paragrafi0"/>
        <w:rPr>
          <w:lang w:val="it-IT"/>
        </w:rPr>
      </w:pPr>
    </w:p>
    <w:p w:rsidR="00403858" w:rsidRPr="00403858" w:rsidRDefault="00403858" w:rsidP="00403858">
      <w:pPr>
        <w:pStyle w:val="Paragrafi0"/>
        <w:rPr>
          <w:lang w:val="it-IT"/>
        </w:rPr>
      </w:pPr>
      <w:r w:rsidRPr="00403858">
        <w:rPr>
          <w:lang w:val="it-IT"/>
        </w:rPr>
        <w:t>Anëtarë: Vladimir Kristo (kryetar) Vitore Tusha, Petrit Plloçi, Admir Thanza, Sokol Berberi, Sokol Sadushi, Xhezair Zaganjori, Altina Xhoxhaj</w:t>
      </w:r>
    </w:p>
    <w:sectPr w:rsidR="00403858" w:rsidRPr="00403858" w:rsidSect="0040385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69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005C">
      <w:r>
        <w:separator/>
      </w:r>
    </w:p>
  </w:endnote>
  <w:endnote w:type="continuationSeparator" w:id="0">
    <w:p w:rsidR="00000000" w:rsidRDefault="0051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858" w:rsidRPr="00C51D9D" w:rsidRDefault="00403858">
    <w:pPr>
      <w:pStyle w:val="Footer"/>
      <w:rPr>
        <w:rFonts w:ascii="CG Times" w:hAnsi="CG Times"/>
        <w:sz w:val="22"/>
        <w:szCs w:val="22"/>
      </w:rPr>
    </w:pPr>
    <w:r w:rsidRPr="00C51D9D">
      <w:rPr>
        <w:rFonts w:ascii="CG Times" w:hAnsi="CG Times"/>
        <w:sz w:val="22"/>
        <w:szCs w:val="22"/>
      </w:rPr>
      <w:fldChar w:fldCharType="begin"/>
    </w:r>
    <w:r w:rsidRPr="00C51D9D">
      <w:rPr>
        <w:rFonts w:ascii="CG Times" w:hAnsi="CG Times"/>
        <w:sz w:val="22"/>
        <w:szCs w:val="22"/>
      </w:rPr>
      <w:instrText xml:space="preserve"> PAGE   \* MERGEFORMAT </w:instrText>
    </w:r>
    <w:r w:rsidRPr="00C51D9D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7714</w:t>
    </w:r>
    <w:r w:rsidRPr="00C51D9D">
      <w:rPr>
        <w:rFonts w:ascii="CG Times" w:hAnsi="CG Times"/>
        <w:sz w:val="22"/>
        <w:szCs w:val="22"/>
      </w:rPr>
      <w:fldChar w:fldCharType="end"/>
    </w:r>
  </w:p>
  <w:p w:rsidR="00403858" w:rsidRDefault="004038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858" w:rsidRPr="00C51D9D" w:rsidRDefault="00403858">
    <w:pPr>
      <w:pStyle w:val="Footer"/>
      <w:jc w:val="right"/>
      <w:rPr>
        <w:rFonts w:ascii="CG Times" w:hAnsi="CG Times"/>
        <w:sz w:val="22"/>
        <w:szCs w:val="22"/>
      </w:rPr>
    </w:pPr>
    <w:r w:rsidRPr="00C51D9D">
      <w:rPr>
        <w:rFonts w:ascii="CG Times" w:hAnsi="CG Times"/>
        <w:sz w:val="22"/>
        <w:szCs w:val="22"/>
      </w:rPr>
      <w:fldChar w:fldCharType="begin"/>
    </w:r>
    <w:r w:rsidRPr="00C51D9D">
      <w:rPr>
        <w:rFonts w:ascii="CG Times" w:hAnsi="CG Times"/>
        <w:sz w:val="22"/>
        <w:szCs w:val="22"/>
      </w:rPr>
      <w:instrText xml:space="preserve"> PAGE   \* MERGEFORMAT </w:instrText>
    </w:r>
    <w:r w:rsidRPr="00C51D9D">
      <w:rPr>
        <w:rFonts w:ascii="CG Times" w:hAnsi="CG Times"/>
        <w:sz w:val="22"/>
        <w:szCs w:val="22"/>
      </w:rPr>
      <w:fldChar w:fldCharType="separate"/>
    </w:r>
    <w:r w:rsidR="0051005C">
      <w:rPr>
        <w:rFonts w:ascii="CG Times" w:hAnsi="CG Times"/>
        <w:noProof/>
        <w:sz w:val="22"/>
        <w:szCs w:val="22"/>
      </w:rPr>
      <w:t>7692</w:t>
    </w:r>
    <w:r w:rsidRPr="00C51D9D">
      <w:rPr>
        <w:rFonts w:ascii="CG Times" w:hAnsi="CG Times"/>
        <w:sz w:val="22"/>
        <w:szCs w:val="22"/>
      </w:rPr>
      <w:fldChar w:fldCharType="end"/>
    </w:r>
  </w:p>
  <w:p w:rsidR="00403858" w:rsidRDefault="00403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005C">
      <w:r>
        <w:separator/>
      </w:r>
    </w:p>
  </w:footnote>
  <w:footnote w:type="continuationSeparator" w:id="0">
    <w:p w:rsidR="00000000" w:rsidRDefault="00510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385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858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05C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AC778A-3F10-46EF-AEEE-64D3670D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858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4038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03858"/>
    <w:rPr>
      <w:sz w:val="28"/>
      <w:szCs w:val="24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