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B55" w:rsidRPr="002B7199" w:rsidRDefault="00901B55" w:rsidP="00901B55">
      <w:pPr>
        <w:pStyle w:val="Titulli"/>
        <w:rPr>
          <w:lang w:val="sq-AL"/>
        </w:rPr>
      </w:pPr>
      <w:bookmarkStart w:id="0" w:name="_GoBack"/>
      <w:bookmarkEnd w:id="0"/>
      <w:r w:rsidRPr="002B7199">
        <w:rPr>
          <w:lang w:val="sq-AL"/>
        </w:rPr>
        <w:t>VENDIM</w:t>
      </w:r>
    </w:p>
    <w:p w:rsidR="00901B55" w:rsidRPr="002B7199" w:rsidRDefault="00901B55" w:rsidP="00901B55">
      <w:pPr>
        <w:pStyle w:val="NumriData"/>
        <w:rPr>
          <w:lang w:val="sq-AL"/>
        </w:rPr>
      </w:pPr>
      <w:r w:rsidRPr="002B7199">
        <w:rPr>
          <w:lang w:val="sq-AL"/>
        </w:rPr>
        <w:t>Nr.39, datë 21.9.2011</w:t>
      </w:r>
    </w:p>
    <w:p w:rsidR="00901B55" w:rsidRPr="002B7199" w:rsidRDefault="00901B55" w:rsidP="00901B55">
      <w:pPr>
        <w:pStyle w:val="Paragrafi"/>
        <w:rPr>
          <w:lang w:val="sq-AL"/>
        </w:rPr>
      </w:pPr>
    </w:p>
    <w:p w:rsidR="00901B55" w:rsidRPr="002B7199" w:rsidRDefault="00901B55" w:rsidP="00901B55">
      <w:pPr>
        <w:pStyle w:val="Titulli"/>
        <w:rPr>
          <w:lang w:val="sq-AL"/>
        </w:rPr>
      </w:pPr>
      <w:r w:rsidRPr="002B7199">
        <w:rPr>
          <w:lang w:val="sq-AL"/>
        </w:rPr>
        <w:t>NË EMËR TË REPUBLIKËS SË SHQIPËRISË</w:t>
      </w:r>
    </w:p>
    <w:p w:rsidR="00901B55" w:rsidRPr="002B7199" w:rsidRDefault="00901B55" w:rsidP="00901B55">
      <w:pPr>
        <w:pStyle w:val="Paragrafi"/>
        <w:rPr>
          <w:lang w:val="sq-AL"/>
        </w:rPr>
      </w:pPr>
    </w:p>
    <w:p w:rsidR="00901B55" w:rsidRPr="002B7199" w:rsidRDefault="00901B55" w:rsidP="00901B55">
      <w:pPr>
        <w:pStyle w:val="Paragrafi"/>
        <w:rPr>
          <w:lang w:val="sq-AL"/>
        </w:rPr>
      </w:pPr>
      <w:r w:rsidRPr="002B7199">
        <w:rPr>
          <w:lang w:val="sq-AL"/>
        </w:rPr>
        <w:t>Gjykata Kushtetuese e Republikës së Shqipërisë, e përbërë nga:</w:t>
      </w:r>
    </w:p>
    <w:p w:rsidR="00901B55" w:rsidRPr="002B7199" w:rsidRDefault="00901B55" w:rsidP="00901B55">
      <w:pPr>
        <w:pStyle w:val="Paragrafi"/>
        <w:rPr>
          <w:lang w:val="sq-AL"/>
        </w:rPr>
      </w:pPr>
      <w:r w:rsidRPr="002B7199">
        <w:rPr>
          <w:lang w:val="sq-AL"/>
        </w:rPr>
        <w:t xml:space="preserve">Bashkim Dedja </w:t>
      </w:r>
      <w:r w:rsidRPr="002B7199">
        <w:rPr>
          <w:lang w:val="sq-AL"/>
        </w:rPr>
        <w:tab/>
      </w:r>
      <w:r w:rsidRPr="002B7199">
        <w:rPr>
          <w:lang w:val="sq-AL"/>
        </w:rPr>
        <w:tab/>
        <w:t>Kryetar  i Gjykatës Kushtetuese</w:t>
      </w:r>
    </w:p>
    <w:p w:rsidR="00901B55" w:rsidRPr="002B7199" w:rsidRDefault="00901B55" w:rsidP="00901B55">
      <w:pPr>
        <w:pStyle w:val="Paragrafi"/>
        <w:rPr>
          <w:lang w:val="sq-AL"/>
        </w:rPr>
      </w:pPr>
      <w:r w:rsidRPr="002B7199">
        <w:rPr>
          <w:lang w:val="sq-AL"/>
        </w:rPr>
        <w:t>Vladimir Kristo</w:t>
      </w:r>
      <w:r w:rsidRPr="002B7199">
        <w:rPr>
          <w:lang w:val="sq-AL"/>
        </w:rPr>
        <w:tab/>
      </w:r>
      <w:r w:rsidRPr="002B7199">
        <w:rPr>
          <w:lang w:val="sq-AL"/>
        </w:rPr>
        <w:tab/>
        <w:t>Anëtar   i</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Xhezair Zaganjori</w:t>
      </w:r>
      <w:r w:rsidRPr="002B7199">
        <w:rPr>
          <w:lang w:val="sq-AL"/>
        </w:rPr>
        <w:tab/>
        <w:t>Anëtar   i</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 xml:space="preserve">Vitore Tusha              </w:t>
      </w:r>
      <w:r w:rsidRPr="002B7199">
        <w:rPr>
          <w:lang w:val="sq-AL"/>
        </w:rPr>
        <w:tab/>
        <w:t>Anëtare e</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Sokol Sadushi</w:t>
      </w:r>
      <w:r w:rsidRPr="002B7199">
        <w:rPr>
          <w:lang w:val="sq-AL"/>
        </w:rPr>
        <w:tab/>
      </w:r>
      <w:r w:rsidRPr="002B7199">
        <w:rPr>
          <w:lang w:val="sq-AL"/>
        </w:rPr>
        <w:tab/>
        <w:t>Anëtar   i</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Sokol Berberi</w:t>
      </w:r>
      <w:r w:rsidRPr="002B7199">
        <w:rPr>
          <w:lang w:val="sq-AL"/>
        </w:rPr>
        <w:tab/>
      </w:r>
      <w:r w:rsidRPr="002B7199">
        <w:rPr>
          <w:lang w:val="sq-AL"/>
        </w:rPr>
        <w:tab/>
        <w:t>Anëtar   i</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 xml:space="preserve">Admir Thanza </w:t>
      </w:r>
      <w:r w:rsidRPr="002B7199">
        <w:rPr>
          <w:lang w:val="sq-AL"/>
        </w:rPr>
        <w:tab/>
      </w:r>
      <w:r w:rsidRPr="002B7199">
        <w:rPr>
          <w:lang w:val="sq-AL"/>
        </w:rPr>
        <w:tab/>
        <w:t>Anëtar   i</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 xml:space="preserve">Altina Xhoxhaj </w:t>
      </w:r>
      <w:r w:rsidRPr="002B7199">
        <w:rPr>
          <w:lang w:val="sq-AL"/>
        </w:rPr>
        <w:tab/>
      </w:r>
      <w:r w:rsidRPr="002B7199">
        <w:rPr>
          <w:lang w:val="sq-AL"/>
        </w:rPr>
        <w:tab/>
        <w:t>Anëtare e</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Petrit Plloçi</w:t>
      </w:r>
      <w:r w:rsidRPr="002B7199">
        <w:rPr>
          <w:lang w:val="sq-AL"/>
        </w:rPr>
        <w:tab/>
      </w:r>
      <w:r w:rsidRPr="002B7199">
        <w:rPr>
          <w:lang w:val="sq-AL"/>
        </w:rPr>
        <w:tab/>
        <w:t xml:space="preserve">Anëtar   i </w:t>
      </w:r>
      <w:r w:rsidRPr="002B7199">
        <w:rPr>
          <w:lang w:val="sq-AL"/>
        </w:rPr>
        <w:tab/>
        <w:t>“</w:t>
      </w:r>
      <w:r w:rsidRPr="002B7199">
        <w:rPr>
          <w:lang w:val="sq-AL"/>
        </w:rPr>
        <w:tab/>
        <w:t>“</w:t>
      </w:r>
    </w:p>
    <w:p w:rsidR="00901B55" w:rsidRPr="002B7199" w:rsidRDefault="00901B55" w:rsidP="00901B55">
      <w:pPr>
        <w:pStyle w:val="Paragrafi"/>
        <w:rPr>
          <w:lang w:val="sq-AL"/>
        </w:rPr>
      </w:pPr>
      <w:r w:rsidRPr="002B7199">
        <w:rPr>
          <w:lang w:val="sq-AL"/>
        </w:rPr>
        <w:t>me sekretare Blerina Çinari, në datë 28.4.2011, mori në shqyrtim në seancë gjyqësore me dyer të hapura çështjen nr.11 akti, që i përket:</w:t>
      </w:r>
    </w:p>
    <w:p w:rsidR="00901B55" w:rsidRPr="002B7199" w:rsidRDefault="00901B55" w:rsidP="00901B55">
      <w:pPr>
        <w:pStyle w:val="Paragrafi"/>
        <w:rPr>
          <w:lang w:val="sq-AL"/>
        </w:rPr>
      </w:pPr>
      <w:r w:rsidRPr="002B7199">
        <w:rPr>
          <w:lang w:val="sq-AL"/>
        </w:rPr>
        <w:t>KËRKUESE: Aurora Topçiu e përfaqësuar nga avokat Fatmir Braka me prokurë.</w:t>
      </w:r>
    </w:p>
    <w:p w:rsidR="00901B55" w:rsidRPr="002B7199" w:rsidRDefault="00901B55" w:rsidP="00901B55">
      <w:pPr>
        <w:pStyle w:val="Paragrafi"/>
        <w:rPr>
          <w:lang w:val="sq-AL"/>
        </w:rPr>
      </w:pPr>
      <w:r w:rsidRPr="002B7199">
        <w:rPr>
          <w:lang w:val="sq-AL"/>
        </w:rPr>
        <w:t>SUBJEKT I INTERESUAR: Zyra e Prokurorit të Përgjithshëm në mungesë.</w:t>
      </w:r>
    </w:p>
    <w:p w:rsidR="00901B55" w:rsidRPr="002B7199" w:rsidRDefault="00901B55" w:rsidP="00901B55">
      <w:pPr>
        <w:pStyle w:val="Paragrafi"/>
        <w:rPr>
          <w:lang w:val="sq-AL"/>
        </w:rPr>
      </w:pPr>
      <w:r w:rsidRPr="002B7199">
        <w:rPr>
          <w:lang w:val="sq-AL"/>
        </w:rPr>
        <w:t>OBJEKTI: Shfuqizimi si i papajtueshëm me Kushtetutën i vendimit nr.505, datë 14.10.2009 të Kolegjit Penal të Gjykatës së Lartë.</w:t>
      </w:r>
    </w:p>
    <w:p w:rsidR="00901B55" w:rsidRPr="002B7199" w:rsidRDefault="00901B55" w:rsidP="00901B55">
      <w:pPr>
        <w:pStyle w:val="Paragrafi"/>
        <w:rPr>
          <w:lang w:val="sq-AL"/>
        </w:rPr>
      </w:pPr>
      <w:r w:rsidRPr="002B7199">
        <w:rPr>
          <w:lang w:val="sq-AL"/>
        </w:rPr>
        <w:t xml:space="preserve">BAZA LIGJORE: Nenet 42/2, 131/f dhe 134/1/g të Kushtetutës së Republikës të Shqipërisë. </w:t>
      </w:r>
    </w:p>
    <w:p w:rsidR="00901B55" w:rsidRPr="00161A47" w:rsidRDefault="00901B55" w:rsidP="00901B55">
      <w:pPr>
        <w:pStyle w:val="Paragrafi"/>
        <w:rPr>
          <w:sz w:val="16"/>
          <w:lang w:val="sq-AL"/>
        </w:rPr>
      </w:pPr>
    </w:p>
    <w:p w:rsidR="00901B55" w:rsidRPr="002B7199" w:rsidRDefault="00901B55" w:rsidP="00901B55">
      <w:pPr>
        <w:pStyle w:val="VENDOSI"/>
        <w:rPr>
          <w:lang w:val="sq-AL"/>
        </w:rPr>
      </w:pPr>
      <w:r w:rsidRPr="002B7199">
        <w:rPr>
          <w:lang w:val="sq-AL"/>
        </w:rPr>
        <w:t>GJYKATA KUSHTETUESE,</w:t>
      </w:r>
    </w:p>
    <w:p w:rsidR="00901B55" w:rsidRPr="00161A47" w:rsidRDefault="00901B55" w:rsidP="00901B55">
      <w:pPr>
        <w:pStyle w:val="Paragrafi"/>
        <w:rPr>
          <w:sz w:val="16"/>
          <w:lang w:val="sq-AL"/>
        </w:rPr>
      </w:pPr>
    </w:p>
    <w:p w:rsidR="00901B55" w:rsidRPr="002B7199" w:rsidRDefault="00901B55" w:rsidP="00901B55">
      <w:pPr>
        <w:pStyle w:val="Paragrafi"/>
        <w:rPr>
          <w:lang w:val="sq-AL"/>
        </w:rPr>
      </w:pPr>
      <w:r w:rsidRPr="002B7199">
        <w:rPr>
          <w:lang w:val="sq-AL"/>
        </w:rPr>
        <w:t>pasi dëgjoi relatorin e çështjes Petrit Plloçi, përfaqësuesin e kërkuesit që kërkoi pranimin e kërkesës dhe pasi shqyrtoi çështjen në tërësi,</w:t>
      </w:r>
    </w:p>
    <w:p w:rsidR="00901B55" w:rsidRPr="00161A47" w:rsidRDefault="00901B55" w:rsidP="00901B55">
      <w:pPr>
        <w:pStyle w:val="Paragrafi"/>
        <w:rPr>
          <w:sz w:val="16"/>
          <w:lang w:val="sq-AL"/>
        </w:rPr>
      </w:pPr>
    </w:p>
    <w:p w:rsidR="00901B55" w:rsidRPr="002B7199" w:rsidRDefault="00901B55" w:rsidP="00901B55">
      <w:pPr>
        <w:pStyle w:val="VENDOSI"/>
        <w:rPr>
          <w:lang w:val="sq-AL"/>
        </w:rPr>
      </w:pPr>
      <w:r w:rsidRPr="002B7199">
        <w:rPr>
          <w:lang w:val="sq-AL"/>
        </w:rPr>
        <w:t>VËREN:</w:t>
      </w:r>
    </w:p>
    <w:p w:rsidR="00901B55" w:rsidRPr="002B7199" w:rsidRDefault="00901B55" w:rsidP="00901B55">
      <w:pPr>
        <w:pStyle w:val="VENDOSI"/>
        <w:rPr>
          <w:lang w:val="sq-AL"/>
        </w:rPr>
      </w:pPr>
    </w:p>
    <w:p w:rsidR="00901B55" w:rsidRPr="002B7199" w:rsidRDefault="00901B55" w:rsidP="00901B55">
      <w:pPr>
        <w:pStyle w:val="VENDOSI"/>
        <w:rPr>
          <w:lang w:val="sq-AL"/>
        </w:rPr>
      </w:pPr>
      <w:r w:rsidRPr="002B7199">
        <w:rPr>
          <w:lang w:val="sq-AL"/>
        </w:rPr>
        <w:t>I</w:t>
      </w:r>
    </w:p>
    <w:p w:rsidR="00901B55" w:rsidRPr="00161A47" w:rsidRDefault="00901B55" w:rsidP="00901B55">
      <w:pPr>
        <w:pStyle w:val="Paragrafi"/>
        <w:rPr>
          <w:sz w:val="16"/>
          <w:lang w:val="sq-AL"/>
        </w:rPr>
      </w:pPr>
    </w:p>
    <w:p w:rsidR="00901B55" w:rsidRPr="002B7199" w:rsidRDefault="00901B55" w:rsidP="00901B55">
      <w:pPr>
        <w:pStyle w:val="Paragrafi"/>
        <w:rPr>
          <w:lang w:val="sq-AL"/>
        </w:rPr>
      </w:pPr>
      <w:r w:rsidRPr="002B7199">
        <w:rPr>
          <w:lang w:val="sq-AL"/>
        </w:rPr>
        <w:t xml:space="preserve">Gjykata e Rrethit Gjyqësor Gjirokastër, me vendimin nr.185, datë 13.12.2006, ka vendosur deklarimin fajtor të kërkueses për veprën penale “prodhim dhe mbajtje pa leje të armëve luftarake”,  parashikuar nga neni 278/2 i Kodit Penal dhe dënimin e saj me 450.000 lekë gjobë. </w:t>
      </w:r>
    </w:p>
    <w:p w:rsidR="00901B55" w:rsidRDefault="00901B55" w:rsidP="00901B55">
      <w:pPr>
        <w:pStyle w:val="Paragrafi"/>
        <w:rPr>
          <w:lang w:val="sq-AL"/>
        </w:rPr>
      </w:pPr>
    </w:p>
    <w:p w:rsidR="00901B55" w:rsidRPr="002B7199" w:rsidRDefault="00901B55" w:rsidP="00901B55">
      <w:pPr>
        <w:pStyle w:val="Paragrafi"/>
        <w:rPr>
          <w:lang w:val="sq-AL"/>
        </w:rPr>
      </w:pPr>
      <w:r w:rsidRPr="002B7199">
        <w:rPr>
          <w:lang w:val="sq-AL"/>
        </w:rPr>
        <w:t xml:space="preserve">Gjykata e Apelit Gjirokastër, me vendimin nr.79, datë 16.5.2007, ka vendosur  ndryshimin e vendimit nr.185, datë 13.12.2006 të Gjykatës së Shkallës së Parë Gjirokastër, deklarimin fajtor të kërkueses për veprën penale “prodhim dhe mbajtje pa leje të armëve luftarake dhe e municionit”, parashikuar nga neni 278/2 i Kodit Penal dhe dënimin e saj me 450.000 lekë gjobë, dhe në zbatim të nenit 406 të Kodit të Procedurës Penale kërkueses i ulet 1/3 e dënimit duke u dënuar përfundimisht me 300.000 lekë gjobë. </w:t>
      </w:r>
    </w:p>
    <w:p w:rsidR="00901B55" w:rsidRPr="002B7199" w:rsidRDefault="00901B55" w:rsidP="00901B55">
      <w:pPr>
        <w:pStyle w:val="Paragrafi"/>
        <w:rPr>
          <w:lang w:val="sq-AL"/>
        </w:rPr>
      </w:pPr>
      <w:r w:rsidRPr="002B7199">
        <w:rPr>
          <w:lang w:val="sq-AL"/>
        </w:rPr>
        <w:t xml:space="preserve">Kolegji Penal i Gjykatës së Lartë, me vendimin nr.505, datë 14.10.2009, ka vendosur mospranimin e rekursit të paraqitur nga kërkuesja ndaj vendimit nr.79 datë 16.5.2007 të Gjykatës së Apelit Gjirokastër, me arsyetimin se nuk është paraqitur në formën e kërkuar nga ligji, pasi mungon nënshkrimi i mbrojtësit  sipas nenit 435/2 të Kodit të Procedurës Penale (KPP). </w:t>
      </w:r>
    </w:p>
    <w:p w:rsidR="00901B55" w:rsidRPr="002B7199" w:rsidRDefault="00901B55" w:rsidP="00901B55">
      <w:pPr>
        <w:pStyle w:val="Paragrafi"/>
        <w:rPr>
          <w:lang w:val="sq-AL"/>
        </w:rPr>
      </w:pPr>
      <w:r w:rsidRPr="002B7199">
        <w:rPr>
          <w:lang w:val="sq-AL"/>
        </w:rPr>
        <w:t xml:space="preserve">Kërkuesja ka pretenduar cenimin e së drejtës kushtetuese për një proces të rregullt ligjor për sa i përket mohimit të aksesit në Gjykatën e Lartë. </w:t>
      </w:r>
    </w:p>
    <w:p w:rsidR="00901B55" w:rsidRPr="002B7199" w:rsidRDefault="00901B55" w:rsidP="00901B55">
      <w:pPr>
        <w:pStyle w:val="Paragrafi"/>
        <w:rPr>
          <w:lang w:val="sq-AL"/>
        </w:rPr>
      </w:pPr>
      <w:r w:rsidRPr="002B7199">
        <w:rPr>
          <w:lang w:val="sq-AL"/>
        </w:rPr>
        <w:t xml:space="preserve">Konkretisht, kërkuesja ka parashtruar se rekursi i saj nuk është shqyrtuar në themel nga Kolegji Penal i Gjykatës së Lartë, sepse kjo gjykatë ka vendosur mospranimin për gjykim të tij vetëm për mosplotësim të kritereve formale, siç është nënshkrimi i rekursit nga mbrojtësi (neni </w:t>
      </w:r>
      <w:r w:rsidRPr="002B7199">
        <w:rPr>
          <w:lang w:val="sq-AL"/>
        </w:rPr>
        <w:lastRenderedPageBreak/>
        <w:t xml:space="preserve">435/2 i KPP). Kërkuesja pretendon se mungesa e nënshkrimit të mbrojtësit, në rekursin e ushtruar prej saj, nuk mund të sjellë detyrimisht mohimin e së drejtës për t’u dëgjuar dhe për të marrë përgjigje mbi shkaqet e ngritura në rekurs. Këtë pretendim kërkuesja e mbështet edhe në vendimin nr.38, datë 30.12.2010 të Gjykatës Kushtetuese. </w:t>
      </w:r>
    </w:p>
    <w:p w:rsidR="00901B55" w:rsidRDefault="00901B55" w:rsidP="00901B55">
      <w:pPr>
        <w:pStyle w:val="VENDOSI"/>
        <w:rPr>
          <w:lang w:val="sq-AL"/>
        </w:rPr>
      </w:pPr>
    </w:p>
    <w:p w:rsidR="00901B55" w:rsidRPr="002B7199" w:rsidRDefault="00901B55" w:rsidP="00901B55">
      <w:pPr>
        <w:pStyle w:val="VENDOSI"/>
        <w:rPr>
          <w:lang w:val="sq-AL"/>
        </w:rPr>
      </w:pPr>
      <w:r w:rsidRPr="002B7199">
        <w:rPr>
          <w:lang w:val="sq-AL"/>
        </w:rPr>
        <w:t>II</w:t>
      </w:r>
    </w:p>
    <w:p w:rsidR="00901B55" w:rsidRDefault="00901B55" w:rsidP="00901B55">
      <w:pPr>
        <w:pStyle w:val="Paragrafi"/>
        <w:rPr>
          <w:b/>
          <w:i/>
          <w:lang w:val="sq-AL"/>
        </w:rPr>
      </w:pPr>
    </w:p>
    <w:p w:rsidR="00901B55" w:rsidRPr="002B7199" w:rsidRDefault="00901B55" w:rsidP="00901B55">
      <w:pPr>
        <w:pStyle w:val="Paragrafi"/>
        <w:rPr>
          <w:b/>
          <w:i/>
          <w:lang w:val="sq-AL"/>
        </w:rPr>
      </w:pPr>
      <w:r w:rsidRPr="002B7199">
        <w:rPr>
          <w:b/>
          <w:i/>
          <w:lang w:val="sq-AL"/>
        </w:rPr>
        <w:t>Lidhur me pretendimin për cenimin e së drejtës për t’iu drejtuar gjykatës (e drejta e aksesit në gjykatë</w:t>
      </w:r>
      <w:r w:rsidRPr="002B7199">
        <w:rPr>
          <w:b/>
          <w:i/>
          <w:lang w:val="sq-AL"/>
        </w:rPr>
        <w:softHyphen/>
        <w:t>)</w:t>
      </w:r>
    </w:p>
    <w:p w:rsidR="00901B55" w:rsidRPr="002B7199" w:rsidRDefault="00901B55" w:rsidP="00901B55">
      <w:pPr>
        <w:pStyle w:val="Paragrafi"/>
        <w:rPr>
          <w:lang w:val="sq-AL"/>
        </w:rPr>
      </w:pPr>
      <w:r w:rsidRPr="002B7199">
        <w:rPr>
          <w:lang w:val="sq-AL"/>
        </w:rPr>
        <w:t>Kërkuesja Aurora Topçiu, në kërkesën drejtuar kësaj gjykate, ka pretenduar se Gjykata e Lartë, duke vendosur mospranimin për gjykim të rekursit me arsyetimin se në kundërshtim me nenin 435/2 të KPP-së, nuk është nënshkruar nga mbrojtësi, i ka cenuar asaj të drejtën për t’iu drejtuar kësaj gjykate (aksesin), parashikuar nga neni 42 i Kushtetutës.</w:t>
      </w:r>
    </w:p>
    <w:p w:rsidR="00901B55" w:rsidRPr="002B7199" w:rsidRDefault="00901B55" w:rsidP="00901B55">
      <w:pPr>
        <w:pStyle w:val="Paragrafi"/>
        <w:rPr>
          <w:lang w:val="sq-AL"/>
        </w:rPr>
      </w:pPr>
      <w:r w:rsidRPr="002B7199">
        <w:rPr>
          <w:lang w:val="sq-AL"/>
        </w:rPr>
        <w:t>Gjykata Kushtetuese, rithekson se e drejta për t’iu drejtuar gjykatës (aksesi në gjykatë) është një aspekt i së drejtës themelore për një proces të rregullt ligjor, parashikuar nga neni 42 i Kushtetutës dhe neni 6 i KEDNJ-së. Mohimi i së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Pr="002B7199">
        <w:rPr>
          <w:i/>
          <w:lang w:val="sq-AL"/>
        </w:rPr>
        <w:t>shih vendimet nr.38, datë 30.12.2010, nr.5, datë 2.3.2011, nr.8, datë 16.3.2011, nr.9, datë 29.3.2011, nr.10, datë 29.3.2011 të Gjykatës Kushtetuese</w:t>
      </w:r>
      <w:r w:rsidRPr="002B7199">
        <w:rPr>
          <w:lang w:val="sq-AL"/>
        </w:rPr>
        <w:t xml:space="preserve">). </w:t>
      </w:r>
    </w:p>
    <w:p w:rsidR="00901B55" w:rsidRPr="002B7199" w:rsidRDefault="00901B55" w:rsidP="00901B55">
      <w:pPr>
        <w:pStyle w:val="Paragrafi"/>
        <w:rPr>
          <w:lang w:val="sq-AL"/>
        </w:rPr>
      </w:pPr>
      <w:r w:rsidRPr="002B7199">
        <w:rPr>
          <w:lang w:val="sq-AL"/>
        </w:rPr>
        <w:t>Gjykata Kushtetuese në vendimet e saj ka vënë në dukje se e drejta për t’iu drejtuar një gjykate nuk është absolute. Kjo e drejtë mund të jetë objekt kufizimesh, të cilat nënkuptohen, përderisa kjo e drejtë, nga natyra e saj, kërkon rregullim nga ana e shtetit (</w:t>
      </w:r>
      <w:r w:rsidRPr="002B7199">
        <w:rPr>
          <w:i/>
          <w:lang w:val="sq-AL"/>
        </w:rPr>
        <w:t>shih vendimin e GjEDNj-së në çështjen Treska kundër Shqipërisë, nr.26937/04 i aplikimit</w:t>
      </w:r>
      <w:r w:rsidRPr="002B7199">
        <w:rPr>
          <w:lang w:val="sq-AL"/>
        </w:rPr>
        <w:t>). Megjithatë, këto kufizime nuk duhet të jenë të tilla sa të dëmtojnë vetë thelbin e së drejtës. Gjykata Kushtetuese është shprehur, gjithashtu, se përdorimi i mjetit procedural të përshtatshëm ankimues, siç sanksionohet në KPP-në, përbën një kërkesë që lidhet me thelbin e së drejtës së mbrojtjes dhe të pjesëmarrjes aktive në gjykim. Mosgjykimi në themel i shkaqeve të rekursit, cenon të drejtën e aksesit të tij në Gjykatën e Lartë (</w:t>
      </w:r>
      <w:r w:rsidRPr="002B7199">
        <w:rPr>
          <w:i/>
          <w:lang w:val="sq-AL"/>
        </w:rPr>
        <w:t>shih vendimin e Gjykatës Kushtetuese nr.21, datë 24. 7.2006</w:t>
      </w:r>
      <w:r w:rsidRPr="002B7199">
        <w:rPr>
          <w:lang w:val="sq-AL"/>
        </w:rPr>
        <w:t xml:space="preserve">). Gjykata  Kushtetuese vlerëson, gjithashtu, se megjithëse formalizmi është një domosdoshmëri e procesit, është e domosdoshme të shmanget një formalizëm i tepërt procedural, që do të çonte në cenimin e thelbit të së drejtës. </w:t>
      </w:r>
    </w:p>
    <w:p w:rsidR="00901B55" w:rsidRPr="002B7199" w:rsidRDefault="00901B55" w:rsidP="00901B55">
      <w:pPr>
        <w:pStyle w:val="Paragrafi"/>
        <w:rPr>
          <w:lang w:val="sq-AL"/>
        </w:rPr>
      </w:pPr>
      <w:r w:rsidRPr="002B7199">
        <w:rPr>
          <w:lang w:val="sq-AL"/>
        </w:rPr>
        <w:t xml:space="preserve">Për sa më sipër, Gjykata Kushtetuese vlerëson se, edhe parashikimi ligjor i nenit 435/2 të Kodit të Procedurës Penale, nuk mund të interpretohet në një mënyrë të tillë, që do të cenonte thelbin e të drejtës së një individi për t’iu drejtuar Gjykatës së Lartë. Për këtë arsye, Gjykata Kushtetuese, për të garantuar të drejtën e një individi për t’iu drejtuar Gjykatës së Lartë, zbatimin e nenit 435/2 të Kodit të Procedurës Penale e ka parë në raport me rregullimet e përgjithshme që disiplinojnë paraqitjen e ankimit (nenet 407- 421 e KPP-së), si dhe ato të veçanta për paraqitjen e rekursit (nenet 431-435 të KPP–së). Kështu, Gjykata, në vendimin nr.5, datë 2.3.2011, si dhe në vendimet e saj të mëpasshme është shprehur se,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shqyrtohet në themel, vetëm për mungesë të nënshkrimit të mbrojtësit. Një interpretim i ndryshëm, që mund t’i bëhet nenit 435/2, sjell si pasojë cenimin e së drejtës së individit për akses në Gjykatën e Lartë </w:t>
      </w:r>
      <w:r w:rsidRPr="002B7199">
        <w:rPr>
          <w:i/>
          <w:lang w:val="sq-AL"/>
        </w:rPr>
        <w:t>(shiko vendimin nr.38, datë 30.12.2010 të Gjykatës Kushtetuese</w:t>
      </w:r>
      <w:r w:rsidRPr="002B7199">
        <w:rPr>
          <w:lang w:val="sq-AL"/>
        </w:rPr>
        <w:t xml:space="preserve">). </w:t>
      </w:r>
    </w:p>
    <w:p w:rsidR="00901B55" w:rsidRPr="002B7199" w:rsidRDefault="00901B55" w:rsidP="00901B55">
      <w:pPr>
        <w:pStyle w:val="Paragrafi"/>
        <w:rPr>
          <w:lang w:val="sq-AL"/>
        </w:rPr>
      </w:pPr>
      <w:r w:rsidRPr="002B7199">
        <w:rPr>
          <w:lang w:val="sq-AL"/>
        </w:rPr>
        <w:t xml:space="preserve">Gjykata Kushtetuese në rastin në shqyrtim konstaton se, me vendimin objekt kundërshtimi kushtetues, Kolegji Penal i Gjykatës së Lartë ka vendosur mospranimin e rekursit të paraqitur nga kërkuesja, me arsyetimin se nuk është paraqitur në formën e kërkuar nga ligji, pasi i mungon nënshkrimi i mbrojtësit  sipas nenit 435/2 të Kodit të Procedurës Penale (KPP). </w:t>
      </w:r>
    </w:p>
    <w:p w:rsidR="00901B55" w:rsidRPr="002B7199" w:rsidRDefault="00901B55" w:rsidP="00901B55">
      <w:pPr>
        <w:pStyle w:val="Paragrafi"/>
        <w:rPr>
          <w:lang w:val="sq-AL"/>
        </w:rPr>
      </w:pPr>
      <w:r w:rsidRPr="002B7199">
        <w:rPr>
          <w:lang w:val="sq-AL"/>
        </w:rPr>
        <w:t xml:space="preserve">Gjykata Kushtetuese, në rrethanat e mësipërme, arrin në konkluzionin se gjatë gjykimit të </w:t>
      </w:r>
      <w:r w:rsidRPr="002B7199">
        <w:rPr>
          <w:lang w:val="sq-AL"/>
        </w:rPr>
        <w:lastRenderedPageBreak/>
        <w:t xml:space="preserve">çështjes në Kolegjin Penal të Gjykatës së Lartë, në dhomë këshillimi, kërkueses Aurora Topçiu, në kundërshtim me nenin 42 të Kushtetutës dhe nenin 6 të KEDNJ-së,  i është cenuar e drejta për t’iu drejtuar gjykatës (aksesi në gjykatë). </w:t>
      </w:r>
    </w:p>
    <w:p w:rsidR="00901B55" w:rsidRDefault="00901B55" w:rsidP="00901B55">
      <w:pPr>
        <w:pStyle w:val="Paragrafi"/>
        <w:rPr>
          <w:lang w:val="sq-AL"/>
        </w:rPr>
      </w:pPr>
    </w:p>
    <w:p w:rsidR="00901B55" w:rsidRPr="002B7199" w:rsidRDefault="00901B55" w:rsidP="00901B55">
      <w:pPr>
        <w:pStyle w:val="VENDOSI"/>
        <w:rPr>
          <w:lang w:val="sq-AL"/>
        </w:rPr>
      </w:pPr>
      <w:r w:rsidRPr="002B7199">
        <w:rPr>
          <w:lang w:val="sq-AL"/>
        </w:rPr>
        <w:t>PËR KËTO ARSYE,</w:t>
      </w:r>
    </w:p>
    <w:p w:rsidR="00901B55" w:rsidRPr="002B7199" w:rsidRDefault="00901B55" w:rsidP="00901B55">
      <w:pPr>
        <w:pStyle w:val="Paragrafi"/>
        <w:rPr>
          <w:lang w:val="sq-AL"/>
        </w:rPr>
      </w:pPr>
    </w:p>
    <w:p w:rsidR="00901B55" w:rsidRPr="002B7199" w:rsidRDefault="00901B55" w:rsidP="00901B55">
      <w:pPr>
        <w:pStyle w:val="Paragrafi"/>
        <w:rPr>
          <w:lang w:val="sq-AL"/>
        </w:rPr>
      </w:pPr>
      <w:r w:rsidRPr="002B7199">
        <w:rPr>
          <w:lang w:val="sq-AL"/>
        </w:rPr>
        <w:t xml:space="preserve">Gjykata Kushtetuese e Republikës së Shqipërisë, në mbështetje të nenit 131/f të Kushtetutës dhe nenit 72 të ligjit nr.8577, datë 10.2.2000 “Për organizimin dhe funksionimin e Gjykatës Kushtetuese të Republikës së Shqipërisë”, njëzëri, </w:t>
      </w:r>
    </w:p>
    <w:p w:rsidR="00901B55" w:rsidRPr="002B7199" w:rsidRDefault="00901B55" w:rsidP="00901B55">
      <w:pPr>
        <w:pStyle w:val="VENDOSI"/>
        <w:keepNext w:val="0"/>
        <w:rPr>
          <w:lang w:val="sq-AL"/>
        </w:rPr>
      </w:pPr>
    </w:p>
    <w:p w:rsidR="00901B55" w:rsidRPr="002B7199" w:rsidRDefault="00901B55" w:rsidP="00901B55">
      <w:pPr>
        <w:pStyle w:val="VENDOSI"/>
        <w:rPr>
          <w:lang w:val="sq-AL"/>
        </w:rPr>
      </w:pPr>
      <w:r w:rsidRPr="002B7199">
        <w:rPr>
          <w:lang w:val="sq-AL"/>
        </w:rPr>
        <w:t>VENDOSI:</w:t>
      </w:r>
    </w:p>
    <w:p w:rsidR="00901B55" w:rsidRPr="002B7199" w:rsidRDefault="00901B55" w:rsidP="00901B55">
      <w:pPr>
        <w:pStyle w:val="Paragrafi"/>
        <w:rPr>
          <w:lang w:val="sq-AL"/>
        </w:rPr>
      </w:pPr>
    </w:p>
    <w:p w:rsidR="00901B55" w:rsidRPr="002B7199" w:rsidRDefault="00901B55" w:rsidP="00901B55">
      <w:pPr>
        <w:pStyle w:val="Paragrafi"/>
        <w:rPr>
          <w:lang w:val="sq-AL"/>
        </w:rPr>
      </w:pPr>
      <w:r w:rsidRPr="002B7199">
        <w:rPr>
          <w:lang w:val="sq-AL"/>
        </w:rPr>
        <w:t>- Pranimin e kërkesës.</w:t>
      </w:r>
    </w:p>
    <w:p w:rsidR="00901B55" w:rsidRPr="002B7199" w:rsidRDefault="00901B55" w:rsidP="00901B55">
      <w:pPr>
        <w:pStyle w:val="Paragrafi"/>
        <w:rPr>
          <w:lang w:val="sq-AL"/>
        </w:rPr>
      </w:pPr>
      <w:r w:rsidRPr="002B7199">
        <w:rPr>
          <w:lang w:val="sq-AL"/>
        </w:rPr>
        <w:t>- Shfuqizimin e vendimit nr. 505, datë 14.10.2009 të Kolegjit Penal të Gjykatës së Lartë dhe kthimin e çështjes për rishqyrtim në Gjykatën e Lartë.</w:t>
      </w:r>
    </w:p>
    <w:p w:rsidR="00901B55" w:rsidRPr="002B7199" w:rsidRDefault="00901B55" w:rsidP="00901B55">
      <w:pPr>
        <w:pStyle w:val="Paragrafi"/>
        <w:rPr>
          <w:lang w:val="sq-AL"/>
        </w:rPr>
      </w:pPr>
      <w:r w:rsidRPr="002B7199">
        <w:rPr>
          <w:lang w:val="sq-AL"/>
        </w:rPr>
        <w:t xml:space="preserve">- Ky vendim hyn në fuqi ditën e botimit në Fletoren Zyrtare. </w:t>
      </w:r>
    </w:p>
    <w:p w:rsidR="00901B55" w:rsidRPr="002B7199" w:rsidRDefault="00901B55" w:rsidP="00901B55">
      <w:pPr>
        <w:pStyle w:val="Paragrafi"/>
        <w:rPr>
          <w:lang w:val="sq-AL"/>
        </w:rPr>
      </w:pPr>
    </w:p>
    <w:p w:rsidR="00901B55" w:rsidRPr="002B7199" w:rsidRDefault="00901B55" w:rsidP="00901B55">
      <w:pPr>
        <w:pStyle w:val="Paragrafi"/>
        <w:rPr>
          <w:lang w:val="sq-AL"/>
        </w:rPr>
      </w:pPr>
      <w:r w:rsidRPr="002B7199">
        <w:rPr>
          <w:lang w:val="sq-AL"/>
        </w:rPr>
        <w:t>Anëtarë: Bashkim Dedja (kryetar), Xhezair Zaganjori, Vladimir Kristo, Sokol Sadushi Vitore Tusha, Petrit Plloçi, Altina Xhoxhaj, Admir Thanza, Sokol Berberi</w:t>
      </w:r>
    </w:p>
    <w:sectPr w:rsidR="00901B55" w:rsidRPr="002B71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1B55"/>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1F0"/>
    <w:rsid w:val="008E4B9F"/>
    <w:rsid w:val="008E6154"/>
    <w:rsid w:val="008F56A5"/>
    <w:rsid w:val="009010E6"/>
    <w:rsid w:val="00901B55"/>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A2413"/>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3CCEA5-8545-4B3B-8C9A-E446E43E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2019-03-19T14:42:00Z</dcterms:created>
  <dcterms:modified xsi:type="dcterms:W3CDTF">2019-03-19T14:42:00Z</dcterms:modified>
</cp:coreProperties>
</file>