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E2E" w:rsidRPr="00F94F62" w:rsidRDefault="00B47E2E" w:rsidP="00B47E2E">
      <w:pPr>
        <w:pStyle w:val="Akti"/>
        <w:rPr>
          <w:sz w:val="21"/>
          <w:szCs w:val="21"/>
          <w:lang w:val="sq-AL"/>
        </w:rPr>
      </w:pPr>
      <w:bookmarkStart w:id="0" w:name="_GoBack"/>
      <w:bookmarkEnd w:id="0"/>
      <w:r w:rsidRPr="00F94F62">
        <w:rPr>
          <w:sz w:val="21"/>
          <w:szCs w:val="21"/>
          <w:lang w:val="sq-AL"/>
        </w:rPr>
        <w:t>VENDIM</w:t>
      </w:r>
    </w:p>
    <w:p w:rsidR="00B47E2E" w:rsidRPr="00F94F62" w:rsidRDefault="00B47E2E" w:rsidP="00B47E2E">
      <w:pPr>
        <w:pStyle w:val="NumriData"/>
        <w:rPr>
          <w:sz w:val="21"/>
          <w:szCs w:val="21"/>
          <w:lang w:val="sq-AL"/>
        </w:rPr>
      </w:pPr>
      <w:r w:rsidRPr="00F94F62">
        <w:rPr>
          <w:sz w:val="21"/>
          <w:szCs w:val="21"/>
          <w:lang w:val="sq-AL"/>
        </w:rPr>
        <w:t>Nr. 47, datë 26.7.2012</w:t>
      </w:r>
    </w:p>
    <w:p w:rsidR="00B47E2E" w:rsidRPr="00F94F62" w:rsidRDefault="00B47E2E" w:rsidP="00B47E2E">
      <w:pPr>
        <w:pStyle w:val="Paragrafi"/>
        <w:rPr>
          <w:sz w:val="21"/>
          <w:szCs w:val="21"/>
          <w:lang w:val="sq-AL"/>
        </w:rPr>
      </w:pPr>
    </w:p>
    <w:p w:rsidR="00B47E2E" w:rsidRPr="00F94F62" w:rsidRDefault="00B47E2E" w:rsidP="00B47E2E">
      <w:pPr>
        <w:pStyle w:val="Titulli"/>
        <w:rPr>
          <w:b w:val="0"/>
          <w:sz w:val="21"/>
          <w:szCs w:val="21"/>
          <w:lang w:val="sq-AL"/>
        </w:rPr>
      </w:pPr>
      <w:r w:rsidRPr="00F94F62">
        <w:rPr>
          <w:b w:val="0"/>
          <w:sz w:val="21"/>
          <w:szCs w:val="21"/>
          <w:lang w:val="sq-AL"/>
        </w:rPr>
        <w:t>NË EMËR TË REPUBLIKËS SË SHQIPËRISË</w:t>
      </w:r>
    </w:p>
    <w:p w:rsidR="00B47E2E" w:rsidRPr="00F94F62" w:rsidRDefault="00B47E2E" w:rsidP="00B47E2E">
      <w:pPr>
        <w:pStyle w:val="Paragrafi"/>
        <w:rPr>
          <w:sz w:val="21"/>
          <w:szCs w:val="21"/>
          <w:u w:val="single"/>
          <w:lang w:val="sq-AL"/>
        </w:rPr>
      </w:pPr>
    </w:p>
    <w:p w:rsidR="00B47E2E" w:rsidRPr="00F94F62" w:rsidRDefault="00B47E2E" w:rsidP="00B47E2E">
      <w:pPr>
        <w:pStyle w:val="Paragrafi"/>
        <w:rPr>
          <w:sz w:val="21"/>
          <w:szCs w:val="21"/>
          <w:lang w:val="sq-AL"/>
        </w:rPr>
      </w:pPr>
      <w:r w:rsidRPr="00F94F62">
        <w:rPr>
          <w:sz w:val="21"/>
          <w:szCs w:val="21"/>
          <w:lang w:val="sq-AL"/>
        </w:rPr>
        <w:t>Gjykata Kushtetuese e Republikës së Shqipërisë, e përbërë nga:</w:t>
      </w:r>
    </w:p>
    <w:p w:rsidR="00B47E2E" w:rsidRPr="00F94F62" w:rsidRDefault="00B47E2E" w:rsidP="00B47E2E">
      <w:pPr>
        <w:pStyle w:val="Paragrafi"/>
        <w:rPr>
          <w:sz w:val="21"/>
          <w:szCs w:val="21"/>
          <w:lang w:val="sq-AL"/>
        </w:rPr>
      </w:pPr>
      <w:r w:rsidRPr="00F94F62">
        <w:rPr>
          <w:sz w:val="21"/>
          <w:szCs w:val="21"/>
          <w:lang w:val="sq-AL"/>
        </w:rPr>
        <w:t>Bashkim Dedja</w:t>
      </w:r>
      <w:r w:rsidRPr="00F94F62">
        <w:rPr>
          <w:sz w:val="21"/>
          <w:szCs w:val="21"/>
          <w:lang w:val="sq-AL"/>
        </w:rPr>
        <w:tab/>
      </w:r>
      <w:r w:rsidRPr="00F94F62">
        <w:rPr>
          <w:sz w:val="21"/>
          <w:szCs w:val="21"/>
          <w:lang w:val="sq-AL"/>
        </w:rPr>
        <w:tab/>
        <w:t>Kryetar i Gjykatës Kushtetuese</w:t>
      </w:r>
    </w:p>
    <w:p w:rsidR="00B47E2E" w:rsidRPr="00F94F62" w:rsidRDefault="00B47E2E" w:rsidP="00B47E2E">
      <w:pPr>
        <w:pStyle w:val="Paragrafi"/>
        <w:rPr>
          <w:sz w:val="21"/>
          <w:szCs w:val="21"/>
          <w:lang w:val="sq-AL"/>
        </w:rPr>
      </w:pPr>
      <w:r w:rsidRPr="00F94F62">
        <w:rPr>
          <w:sz w:val="21"/>
          <w:szCs w:val="21"/>
          <w:lang w:val="sq-AL"/>
        </w:rPr>
        <w:t>Xhezair Zaganjori</w:t>
      </w:r>
      <w:r w:rsidRPr="00F94F62">
        <w:rPr>
          <w:sz w:val="21"/>
          <w:szCs w:val="21"/>
          <w:lang w:val="sq-AL"/>
        </w:rPr>
        <w:tab/>
        <w:t>Anëtar i</w:t>
      </w:r>
      <w:r w:rsidRPr="00F94F62">
        <w:rPr>
          <w:sz w:val="21"/>
          <w:szCs w:val="21"/>
          <w:lang w:val="sq-AL"/>
        </w:rPr>
        <w:tab/>
      </w:r>
      <w:r w:rsidRPr="00F94F62">
        <w:rPr>
          <w:sz w:val="21"/>
          <w:szCs w:val="21"/>
          <w:lang w:val="sq-AL"/>
        </w:rPr>
        <w:tab/>
        <w:t>“</w:t>
      </w:r>
      <w:r w:rsidRPr="00F94F62">
        <w:rPr>
          <w:sz w:val="21"/>
          <w:szCs w:val="21"/>
          <w:lang w:val="sq-AL"/>
        </w:rPr>
        <w:tab/>
        <w:t>“</w:t>
      </w:r>
    </w:p>
    <w:p w:rsidR="00B47E2E" w:rsidRPr="00F94F62" w:rsidRDefault="00B47E2E" w:rsidP="00B47E2E">
      <w:pPr>
        <w:pStyle w:val="Paragrafi"/>
        <w:rPr>
          <w:sz w:val="21"/>
          <w:szCs w:val="21"/>
          <w:lang w:val="sq-AL"/>
        </w:rPr>
      </w:pPr>
      <w:r w:rsidRPr="00F94F62">
        <w:rPr>
          <w:sz w:val="21"/>
          <w:szCs w:val="21"/>
          <w:lang w:val="sq-AL"/>
        </w:rPr>
        <w:t>Vitore Tusha</w:t>
      </w:r>
      <w:r w:rsidRPr="00F94F62">
        <w:rPr>
          <w:sz w:val="21"/>
          <w:szCs w:val="21"/>
          <w:lang w:val="sq-AL"/>
        </w:rPr>
        <w:tab/>
      </w:r>
      <w:r w:rsidRPr="00F94F62">
        <w:rPr>
          <w:sz w:val="21"/>
          <w:szCs w:val="21"/>
          <w:lang w:val="sq-AL"/>
        </w:rPr>
        <w:tab/>
        <w:t xml:space="preserve">Anëtare e </w:t>
      </w:r>
      <w:r w:rsidRPr="00F94F62">
        <w:rPr>
          <w:sz w:val="21"/>
          <w:szCs w:val="21"/>
          <w:lang w:val="sq-AL"/>
        </w:rPr>
        <w:tab/>
        <w:t>“</w:t>
      </w:r>
      <w:r w:rsidRPr="00F94F62">
        <w:rPr>
          <w:sz w:val="21"/>
          <w:szCs w:val="21"/>
          <w:lang w:val="sq-AL"/>
        </w:rPr>
        <w:tab/>
        <w:t>“</w:t>
      </w:r>
    </w:p>
    <w:p w:rsidR="00B47E2E" w:rsidRPr="00F94F62" w:rsidRDefault="00B47E2E" w:rsidP="00B47E2E">
      <w:pPr>
        <w:pStyle w:val="Paragrafi"/>
        <w:rPr>
          <w:sz w:val="21"/>
          <w:szCs w:val="21"/>
          <w:lang w:val="sq-AL"/>
        </w:rPr>
      </w:pPr>
      <w:r w:rsidRPr="00F94F62">
        <w:rPr>
          <w:sz w:val="21"/>
          <w:szCs w:val="21"/>
          <w:lang w:val="sq-AL"/>
        </w:rPr>
        <w:t>Sokol Berberi</w:t>
      </w:r>
      <w:r w:rsidRPr="00F94F62">
        <w:rPr>
          <w:sz w:val="21"/>
          <w:szCs w:val="21"/>
          <w:lang w:val="sq-AL"/>
        </w:rPr>
        <w:tab/>
      </w:r>
      <w:r w:rsidRPr="00F94F62">
        <w:rPr>
          <w:sz w:val="21"/>
          <w:szCs w:val="21"/>
          <w:lang w:val="sq-AL"/>
        </w:rPr>
        <w:tab/>
        <w:t>Anëtar i</w:t>
      </w:r>
      <w:r w:rsidRPr="00F94F62">
        <w:rPr>
          <w:sz w:val="21"/>
          <w:szCs w:val="21"/>
          <w:lang w:val="sq-AL"/>
        </w:rPr>
        <w:tab/>
      </w:r>
      <w:r w:rsidRPr="00F94F62">
        <w:rPr>
          <w:sz w:val="21"/>
          <w:szCs w:val="21"/>
          <w:lang w:val="sq-AL"/>
        </w:rPr>
        <w:tab/>
        <w:t>“</w:t>
      </w:r>
      <w:r w:rsidRPr="00F94F62">
        <w:rPr>
          <w:sz w:val="21"/>
          <w:szCs w:val="21"/>
          <w:lang w:val="sq-AL"/>
        </w:rPr>
        <w:tab/>
        <w:t>“</w:t>
      </w:r>
    </w:p>
    <w:p w:rsidR="00B47E2E" w:rsidRPr="00F94F62" w:rsidRDefault="00B47E2E" w:rsidP="00B47E2E">
      <w:pPr>
        <w:pStyle w:val="Paragrafi"/>
        <w:rPr>
          <w:sz w:val="21"/>
          <w:szCs w:val="21"/>
          <w:lang w:val="sq-AL"/>
        </w:rPr>
      </w:pPr>
      <w:r w:rsidRPr="00F94F62">
        <w:rPr>
          <w:sz w:val="21"/>
          <w:szCs w:val="21"/>
          <w:lang w:val="sq-AL"/>
        </w:rPr>
        <w:t>Admir Thanza</w:t>
      </w:r>
      <w:r w:rsidRPr="00F94F62">
        <w:rPr>
          <w:sz w:val="21"/>
          <w:szCs w:val="21"/>
          <w:lang w:val="sq-AL"/>
        </w:rPr>
        <w:tab/>
      </w:r>
      <w:r w:rsidRPr="00F94F62">
        <w:rPr>
          <w:sz w:val="21"/>
          <w:szCs w:val="21"/>
          <w:lang w:val="sq-AL"/>
        </w:rPr>
        <w:tab/>
        <w:t>Anëtar i</w:t>
      </w:r>
      <w:r w:rsidRPr="00F94F62">
        <w:rPr>
          <w:sz w:val="21"/>
          <w:szCs w:val="21"/>
          <w:lang w:val="sq-AL"/>
        </w:rPr>
        <w:tab/>
      </w:r>
      <w:r w:rsidRPr="00F94F62">
        <w:rPr>
          <w:sz w:val="21"/>
          <w:szCs w:val="21"/>
          <w:lang w:val="sq-AL"/>
        </w:rPr>
        <w:tab/>
        <w:t>“</w:t>
      </w:r>
      <w:r w:rsidRPr="00F94F62">
        <w:rPr>
          <w:sz w:val="21"/>
          <w:szCs w:val="21"/>
          <w:lang w:val="sq-AL"/>
        </w:rPr>
        <w:tab/>
        <w:t>“</w:t>
      </w:r>
    </w:p>
    <w:p w:rsidR="00B47E2E" w:rsidRPr="00F94F62" w:rsidRDefault="00B47E2E" w:rsidP="00B47E2E">
      <w:pPr>
        <w:pStyle w:val="Paragrafi"/>
        <w:rPr>
          <w:sz w:val="21"/>
          <w:szCs w:val="21"/>
          <w:lang w:val="sq-AL"/>
        </w:rPr>
      </w:pPr>
      <w:r w:rsidRPr="00F94F62">
        <w:rPr>
          <w:sz w:val="21"/>
          <w:szCs w:val="21"/>
          <w:lang w:val="sq-AL"/>
        </w:rPr>
        <w:t xml:space="preserve">Altina Xhoxhaj </w:t>
      </w:r>
      <w:r w:rsidRPr="00F94F62">
        <w:rPr>
          <w:sz w:val="21"/>
          <w:szCs w:val="21"/>
          <w:lang w:val="sq-AL"/>
        </w:rPr>
        <w:tab/>
      </w:r>
      <w:r w:rsidRPr="00F94F62">
        <w:rPr>
          <w:sz w:val="21"/>
          <w:szCs w:val="21"/>
          <w:lang w:val="sq-AL"/>
        </w:rPr>
        <w:tab/>
        <w:t xml:space="preserve">Anëtare e </w:t>
      </w:r>
      <w:r w:rsidRPr="00F94F62">
        <w:rPr>
          <w:sz w:val="21"/>
          <w:szCs w:val="21"/>
          <w:lang w:val="sq-AL"/>
        </w:rPr>
        <w:tab/>
        <w:t>“</w:t>
      </w:r>
      <w:r w:rsidRPr="00F94F62">
        <w:rPr>
          <w:sz w:val="21"/>
          <w:szCs w:val="21"/>
          <w:lang w:val="sq-AL"/>
        </w:rPr>
        <w:tab/>
        <w:t>“</w:t>
      </w:r>
    </w:p>
    <w:p w:rsidR="00B47E2E" w:rsidRPr="00F94F62" w:rsidRDefault="00B47E2E" w:rsidP="00B47E2E">
      <w:pPr>
        <w:pStyle w:val="Paragrafi"/>
        <w:rPr>
          <w:sz w:val="21"/>
          <w:szCs w:val="21"/>
          <w:lang w:val="sq-AL"/>
        </w:rPr>
      </w:pPr>
      <w:r w:rsidRPr="00F94F62">
        <w:rPr>
          <w:sz w:val="21"/>
          <w:szCs w:val="21"/>
          <w:lang w:val="sq-AL"/>
        </w:rPr>
        <w:t xml:space="preserve">Fatmir Hoxha </w:t>
      </w:r>
      <w:r w:rsidRPr="00F94F62">
        <w:rPr>
          <w:sz w:val="21"/>
          <w:szCs w:val="21"/>
          <w:lang w:val="sq-AL"/>
        </w:rPr>
        <w:tab/>
      </w:r>
      <w:r w:rsidRPr="00F94F62">
        <w:rPr>
          <w:sz w:val="21"/>
          <w:szCs w:val="21"/>
          <w:lang w:val="sq-AL"/>
        </w:rPr>
        <w:tab/>
        <w:t>Anëtar i</w:t>
      </w:r>
      <w:r w:rsidRPr="00F94F62">
        <w:rPr>
          <w:sz w:val="21"/>
          <w:szCs w:val="21"/>
          <w:lang w:val="sq-AL"/>
        </w:rPr>
        <w:tab/>
      </w:r>
      <w:r w:rsidRPr="00F94F62">
        <w:rPr>
          <w:sz w:val="21"/>
          <w:szCs w:val="21"/>
          <w:lang w:val="sq-AL"/>
        </w:rPr>
        <w:tab/>
        <w:t>“</w:t>
      </w:r>
      <w:r w:rsidRPr="00F94F62">
        <w:rPr>
          <w:sz w:val="21"/>
          <w:szCs w:val="21"/>
          <w:lang w:val="sq-AL"/>
        </w:rPr>
        <w:tab/>
        <w:t>“</w:t>
      </w:r>
    </w:p>
    <w:p w:rsidR="00B47E2E" w:rsidRPr="00F94F62" w:rsidRDefault="00B47E2E" w:rsidP="00B47E2E">
      <w:pPr>
        <w:pStyle w:val="Paragrafi"/>
        <w:rPr>
          <w:sz w:val="21"/>
          <w:szCs w:val="21"/>
          <w:lang w:val="sq-AL"/>
        </w:rPr>
      </w:pPr>
      <w:r w:rsidRPr="00F94F62">
        <w:rPr>
          <w:sz w:val="21"/>
          <w:szCs w:val="21"/>
          <w:lang w:val="sq-AL"/>
        </w:rPr>
        <w:t>Vladimir Kristo</w:t>
      </w:r>
      <w:r w:rsidRPr="00F94F62">
        <w:rPr>
          <w:sz w:val="21"/>
          <w:szCs w:val="21"/>
          <w:lang w:val="sq-AL"/>
        </w:rPr>
        <w:tab/>
      </w:r>
      <w:r w:rsidRPr="00F94F62">
        <w:rPr>
          <w:sz w:val="21"/>
          <w:szCs w:val="21"/>
          <w:lang w:val="sq-AL"/>
        </w:rPr>
        <w:tab/>
        <w:t>Anëtar i</w:t>
      </w:r>
      <w:r w:rsidRPr="00F94F62">
        <w:rPr>
          <w:sz w:val="21"/>
          <w:szCs w:val="21"/>
          <w:lang w:val="sq-AL"/>
        </w:rPr>
        <w:tab/>
      </w:r>
      <w:r w:rsidRPr="00F94F62">
        <w:rPr>
          <w:sz w:val="21"/>
          <w:szCs w:val="21"/>
          <w:lang w:val="sq-AL"/>
        </w:rPr>
        <w:tab/>
        <w:t>“</w:t>
      </w:r>
      <w:r w:rsidRPr="00F94F62">
        <w:rPr>
          <w:sz w:val="21"/>
          <w:szCs w:val="21"/>
          <w:lang w:val="sq-AL"/>
        </w:rPr>
        <w:tab/>
        <w:t>“</w:t>
      </w:r>
    </w:p>
    <w:p w:rsidR="00B47E2E" w:rsidRPr="00F94F62" w:rsidRDefault="00B47E2E" w:rsidP="00B47E2E">
      <w:pPr>
        <w:pStyle w:val="Paragrafi"/>
        <w:rPr>
          <w:sz w:val="21"/>
          <w:szCs w:val="21"/>
          <w:lang w:val="sq-AL"/>
        </w:rPr>
      </w:pPr>
      <w:r w:rsidRPr="00F94F62">
        <w:rPr>
          <w:sz w:val="21"/>
          <w:szCs w:val="21"/>
          <w:lang w:val="sq-AL"/>
        </w:rPr>
        <w:t>me sekretare Edmira Babaj, në datë 17.4.2012, mori në shqyrtim në seancë gjyqësore, mbi bazë dokumentesh, çështjen nr. 7 Akti, që i përket:</w:t>
      </w:r>
    </w:p>
    <w:p w:rsidR="00B47E2E" w:rsidRPr="00F94F62" w:rsidRDefault="00B47E2E" w:rsidP="00B47E2E">
      <w:pPr>
        <w:pStyle w:val="Paragrafi"/>
        <w:rPr>
          <w:sz w:val="21"/>
          <w:szCs w:val="21"/>
          <w:lang w:val="sq-AL"/>
        </w:rPr>
      </w:pPr>
      <w:r w:rsidRPr="00F94F62">
        <w:rPr>
          <w:sz w:val="21"/>
          <w:szCs w:val="21"/>
          <w:lang w:val="sq-AL"/>
        </w:rPr>
        <w:t xml:space="preserve">KËRKUES: Gjykata e Apelit Vlorë. </w:t>
      </w:r>
    </w:p>
    <w:p w:rsidR="00B47E2E" w:rsidRPr="00F94F62" w:rsidRDefault="00B47E2E" w:rsidP="00B47E2E">
      <w:pPr>
        <w:pStyle w:val="Paragrafi"/>
        <w:rPr>
          <w:sz w:val="21"/>
          <w:szCs w:val="21"/>
          <w:lang w:val="sq-AL"/>
        </w:rPr>
      </w:pPr>
      <w:r w:rsidRPr="00F94F62">
        <w:rPr>
          <w:sz w:val="21"/>
          <w:szCs w:val="21"/>
          <w:lang w:val="sq-AL"/>
        </w:rPr>
        <w:t xml:space="preserve">SUBJEKTE TË INTERESUARA: </w:t>
      </w:r>
      <w:r w:rsidRPr="00F94F62">
        <w:rPr>
          <w:bCs/>
          <w:sz w:val="21"/>
          <w:szCs w:val="21"/>
          <w:lang w:val="sq-AL"/>
        </w:rPr>
        <w:t>Kuvendi i Republikës së Shqipërisë</w:t>
      </w:r>
      <w:r w:rsidRPr="00F94F62">
        <w:rPr>
          <w:sz w:val="21"/>
          <w:szCs w:val="21"/>
          <w:lang w:val="sq-AL"/>
        </w:rPr>
        <w:t xml:space="preserve">, </w:t>
      </w:r>
      <w:r w:rsidRPr="00F94F62">
        <w:rPr>
          <w:bCs/>
          <w:sz w:val="21"/>
          <w:szCs w:val="21"/>
          <w:lang w:val="sq-AL"/>
        </w:rPr>
        <w:t xml:space="preserve">Prokuroria e Përgjithshme. </w:t>
      </w:r>
    </w:p>
    <w:p w:rsidR="00B47E2E" w:rsidRPr="00F94F62" w:rsidRDefault="00B47E2E" w:rsidP="00B47E2E">
      <w:pPr>
        <w:pStyle w:val="Paragrafi"/>
        <w:rPr>
          <w:sz w:val="21"/>
          <w:szCs w:val="21"/>
          <w:lang w:val="sq-AL"/>
        </w:rPr>
      </w:pPr>
      <w:r w:rsidRPr="00F94F62">
        <w:rPr>
          <w:sz w:val="21"/>
          <w:szCs w:val="21"/>
          <w:lang w:val="sq-AL"/>
        </w:rPr>
        <w:t xml:space="preserve">OBJEKTI: Shfuqizimi, si të papajtueshëm me Kushtetutën, i neneve 190 dhe 191 të Kodit Penal të Republikës së Shqipërisë (KP) dhe gjithë dispozitave të tjera të Pjesës së Posaçme të këtij Kodi, që parashikojnë dy dënime kryesore. </w:t>
      </w:r>
    </w:p>
    <w:p w:rsidR="00B47E2E" w:rsidRPr="00F94F62" w:rsidRDefault="00B47E2E" w:rsidP="00B47E2E">
      <w:pPr>
        <w:pStyle w:val="Paragrafi"/>
        <w:rPr>
          <w:sz w:val="21"/>
          <w:szCs w:val="21"/>
          <w:lang w:val="sq-AL"/>
        </w:rPr>
      </w:pPr>
      <w:r w:rsidRPr="00F94F62">
        <w:rPr>
          <w:sz w:val="21"/>
          <w:szCs w:val="21"/>
          <w:lang w:val="sq-AL"/>
        </w:rPr>
        <w:t>BAZA LIGJORE: Nenet 134/1, shkronja “d”, 145/2 të Kushtetutës së Republikës së Shqipërisë”.</w:t>
      </w:r>
    </w:p>
    <w:p w:rsidR="00B47E2E" w:rsidRPr="00F94F62" w:rsidRDefault="00B47E2E" w:rsidP="00B47E2E">
      <w:pPr>
        <w:pStyle w:val="Paragrafi"/>
        <w:rPr>
          <w:sz w:val="21"/>
          <w:szCs w:val="21"/>
          <w:lang w:val="sq-AL"/>
        </w:rPr>
      </w:pPr>
    </w:p>
    <w:p w:rsidR="00B47E2E" w:rsidRPr="00F94F62" w:rsidRDefault="00B47E2E" w:rsidP="00B47E2E">
      <w:pPr>
        <w:pStyle w:val="Institucioni"/>
        <w:rPr>
          <w:sz w:val="21"/>
          <w:szCs w:val="21"/>
          <w:lang w:val="sq-AL"/>
        </w:rPr>
      </w:pPr>
      <w:r w:rsidRPr="00F94F62">
        <w:rPr>
          <w:sz w:val="21"/>
          <w:szCs w:val="21"/>
          <w:lang w:val="sq-AL"/>
        </w:rPr>
        <w:t>GJYKATA KUSHTETUESE,</w:t>
      </w:r>
    </w:p>
    <w:p w:rsidR="00B47E2E" w:rsidRPr="00F94F62" w:rsidRDefault="00B47E2E" w:rsidP="00B47E2E">
      <w:pPr>
        <w:pStyle w:val="Paragrafi"/>
        <w:rPr>
          <w:rFonts w:ascii="Times New Roman" w:hAnsi="Times New Roman" w:cs="Times New Roman"/>
          <w:sz w:val="14"/>
          <w:szCs w:val="21"/>
          <w:lang w:val="sq-AL"/>
        </w:rPr>
      </w:pPr>
    </w:p>
    <w:p w:rsidR="00B47E2E" w:rsidRPr="00F94F62" w:rsidRDefault="00B47E2E" w:rsidP="00B47E2E">
      <w:pPr>
        <w:pStyle w:val="Paragrafi"/>
        <w:rPr>
          <w:sz w:val="21"/>
          <w:szCs w:val="21"/>
          <w:lang w:val="sq-AL"/>
        </w:rPr>
      </w:pPr>
      <w:r w:rsidRPr="00F94F62">
        <w:rPr>
          <w:sz w:val="21"/>
          <w:szCs w:val="21"/>
          <w:lang w:val="sq-AL"/>
        </w:rPr>
        <w:t>pasi dëgjoi relatorin e çështjes, Vladimir Kristo, shqyrtoi pretendimet e kërkuesit; prapësimet e subjekteve të interesuara, të Kuvendit të Republikës së Shqipërisë dhe të Prokurorisë së Përgjithshme, të cilët kanë kërkuar rrëzimin e kërkesës dhe, pasi e diskutoi çështjen në tërësi,</w:t>
      </w:r>
    </w:p>
    <w:p w:rsidR="00B47E2E" w:rsidRPr="00F94F62" w:rsidRDefault="00B47E2E" w:rsidP="00B47E2E">
      <w:pPr>
        <w:pStyle w:val="Paragrafi"/>
        <w:rPr>
          <w:bCs/>
          <w:sz w:val="21"/>
          <w:szCs w:val="21"/>
          <w:u w:val="single"/>
          <w:lang w:val="sq-AL"/>
        </w:rPr>
      </w:pPr>
    </w:p>
    <w:p w:rsidR="00B47E2E" w:rsidRPr="00F94F62" w:rsidRDefault="00B47E2E" w:rsidP="00B47E2E">
      <w:pPr>
        <w:pStyle w:val="VENDOSI"/>
        <w:rPr>
          <w:sz w:val="21"/>
          <w:szCs w:val="21"/>
          <w:lang w:val="sq-AL"/>
        </w:rPr>
      </w:pPr>
      <w:r w:rsidRPr="00F94F62">
        <w:rPr>
          <w:sz w:val="21"/>
          <w:szCs w:val="21"/>
          <w:lang w:val="sq-AL"/>
        </w:rPr>
        <w:t>VËREN:</w:t>
      </w:r>
    </w:p>
    <w:p w:rsidR="00B47E2E" w:rsidRPr="00F94F62" w:rsidRDefault="00B47E2E" w:rsidP="0017760B">
      <w:pPr>
        <w:pStyle w:val="Paragrafi"/>
      </w:pPr>
    </w:p>
    <w:p w:rsidR="00B47E2E" w:rsidRPr="00F94F62" w:rsidRDefault="00B47E2E" w:rsidP="00B47E2E">
      <w:pPr>
        <w:pStyle w:val="VENDOSI"/>
        <w:rPr>
          <w:sz w:val="21"/>
          <w:szCs w:val="21"/>
          <w:lang w:val="sq-AL"/>
        </w:rPr>
      </w:pPr>
      <w:r w:rsidRPr="00F94F62">
        <w:rPr>
          <w:sz w:val="21"/>
          <w:szCs w:val="21"/>
          <w:lang w:val="sq-AL"/>
        </w:rPr>
        <w:t>I</w:t>
      </w:r>
    </w:p>
    <w:p w:rsidR="00B47E2E" w:rsidRPr="00F94F62" w:rsidRDefault="00B47E2E" w:rsidP="00B47E2E">
      <w:pPr>
        <w:pStyle w:val="Paragrafi"/>
        <w:rPr>
          <w:sz w:val="21"/>
          <w:szCs w:val="21"/>
          <w:lang w:val="sq-AL"/>
        </w:rPr>
      </w:pPr>
      <w:r w:rsidRPr="00F94F62">
        <w:rPr>
          <w:sz w:val="21"/>
          <w:szCs w:val="21"/>
          <w:lang w:val="sq-AL"/>
        </w:rPr>
        <w:t>1. Gjykata e Shkallës së Parë Vlorë, me vendimin nr. 424, datë 24.11.2009, ka vendosur deklarimin fajtor të të pandehurit P.R. për veprat penale të “falsifikimit ose përdorimit të vulave, stampave ose formularëve” dhe të “falsifikimit të akteve të gjendjes civile” të parashikuara, respektivisht, nga nenet 190/1 dhe 191/1 të KP-së; në bashkim të dënimeve ka vendosur dënimin e tij me 6 (gjashtë) muaj burgim dhe 450.000 lekë gjobë; në zbatim të nenit 406/1 të Kodit të Procedurës Penale (</w:t>
      </w:r>
      <w:smartTag w:uri="urn:schemas-microsoft-com:office:smarttags" w:element="stockticker">
        <w:r w:rsidRPr="00F94F62">
          <w:rPr>
            <w:sz w:val="21"/>
            <w:szCs w:val="21"/>
            <w:lang w:val="sq-AL"/>
          </w:rPr>
          <w:t>KPP</w:t>
        </w:r>
      </w:smartTag>
      <w:r w:rsidRPr="00F94F62">
        <w:rPr>
          <w:sz w:val="21"/>
          <w:szCs w:val="21"/>
          <w:lang w:val="sq-AL"/>
        </w:rPr>
        <w:t xml:space="preserve">), uljen me 1/3 e dënimit dhe dënimin e të pandehurit, përfundimisht, me 4 (katër) muaj burgim dhe 300.000 lekë gjobë; në zbatim të nenit 59 të KP-së pezullimin e dënimit për dënimin me burgim dhe vendosjen e të pandehurit në provë për një afat 5-vjeçar gjatë të cilit ai të mbajë kontakte me shërbimin e provës një herë në tre muaj dhe të mos kryejë vepër tjetër penale; në zbatim të nenit 34 të KP-së detyrimin e të pandehurit të paguajë gjobën brenda një viti nga data e marrjes formë të prerë të vendimit. </w:t>
      </w:r>
    </w:p>
    <w:p w:rsidR="00B47E2E" w:rsidRPr="00F94F62" w:rsidRDefault="00B47E2E" w:rsidP="00B47E2E">
      <w:pPr>
        <w:pStyle w:val="Paragrafi"/>
        <w:rPr>
          <w:sz w:val="21"/>
          <w:szCs w:val="21"/>
          <w:lang w:val="sq-AL"/>
        </w:rPr>
      </w:pPr>
      <w:r w:rsidRPr="00F94F62">
        <w:rPr>
          <w:sz w:val="21"/>
          <w:szCs w:val="21"/>
          <w:lang w:val="sq-AL"/>
        </w:rPr>
        <w:t xml:space="preserve">2. Kundër vendimit të lartpërmendur ka paraqitur ankim mbrojtësi i të pandehurit duke pretenduar pezullimin edhe të pjesës së dënimit me gjobë. Ai ka parashtruar se përderisa gjykata ka dhënë dy dënime kryesore dhe njërin prej tyre, dënimin me burgim, e ka pezulluar, duhet të vendoset edhe pezullimi i dënimit tjetër kryesor, atij me gjobë. </w:t>
      </w:r>
    </w:p>
    <w:p w:rsidR="00B47E2E" w:rsidRPr="00F94F62" w:rsidRDefault="00B47E2E" w:rsidP="00B47E2E">
      <w:pPr>
        <w:pStyle w:val="Paragrafi"/>
        <w:rPr>
          <w:sz w:val="21"/>
          <w:szCs w:val="21"/>
          <w:lang w:val="sq-AL"/>
        </w:rPr>
      </w:pPr>
      <w:r w:rsidRPr="00F94F62">
        <w:rPr>
          <w:sz w:val="21"/>
          <w:szCs w:val="21"/>
          <w:lang w:val="sq-AL"/>
        </w:rPr>
        <w:t>3. Gjykata e Apelit Vlorë (gjykata referuese), ka vendosur pezullimin e gjykimit të çështjes nr. 594 akti, datë 22.2.2010, me të pandehur P.R. dhe, në mbështetje të neneve 134/1/d dhe 145/2 të Kushtetutës së Republikës së Shqipërisë, dërgimin e çështjes në Gjykatën Kushtetuese të Republikës së Shqipërisë, për t’u shprehur nëse nenet 190 dhe 191 të KP-së dhe gjithë dispozitat e tjera të Pjesës së Posaçme të këtij Kodi, që parashikojnë dy dënime kryesore, janë në pajtim me Kushtetutën e Republikës së Shqipërisë.</w:t>
      </w:r>
    </w:p>
    <w:p w:rsidR="00B47E2E" w:rsidRPr="00F94F62" w:rsidRDefault="00B47E2E" w:rsidP="00B47E2E">
      <w:pPr>
        <w:pStyle w:val="Paragrafi"/>
        <w:rPr>
          <w:lang w:val="sq-AL"/>
        </w:rPr>
      </w:pPr>
    </w:p>
    <w:p w:rsidR="00B47E2E" w:rsidRPr="00F94F62" w:rsidRDefault="00B47E2E" w:rsidP="00B47E2E">
      <w:pPr>
        <w:pStyle w:val="VENDOSI"/>
        <w:rPr>
          <w:sz w:val="21"/>
          <w:szCs w:val="21"/>
          <w:lang w:val="sq-AL"/>
        </w:rPr>
      </w:pPr>
      <w:r w:rsidRPr="00F94F62">
        <w:rPr>
          <w:sz w:val="21"/>
          <w:szCs w:val="21"/>
          <w:lang w:val="sq-AL"/>
        </w:rPr>
        <w:lastRenderedPageBreak/>
        <w:t>II</w:t>
      </w:r>
    </w:p>
    <w:p w:rsidR="00B47E2E" w:rsidRPr="00F94F62" w:rsidRDefault="00B47E2E" w:rsidP="00B47E2E">
      <w:pPr>
        <w:pStyle w:val="Paragrafi"/>
        <w:rPr>
          <w:sz w:val="21"/>
          <w:szCs w:val="21"/>
          <w:lang w:val="sq-AL"/>
        </w:rPr>
      </w:pPr>
      <w:r w:rsidRPr="00F94F62">
        <w:rPr>
          <w:sz w:val="21"/>
          <w:szCs w:val="21"/>
          <w:lang w:val="sq-AL"/>
        </w:rPr>
        <w:t xml:space="preserve">4. </w:t>
      </w:r>
      <w:r w:rsidRPr="00F94F62">
        <w:rPr>
          <w:b/>
          <w:i/>
          <w:sz w:val="21"/>
          <w:szCs w:val="21"/>
          <w:lang w:val="sq-AL"/>
        </w:rPr>
        <w:t>Gjykata referuese</w:t>
      </w:r>
      <w:r w:rsidRPr="00F94F62">
        <w:rPr>
          <w:sz w:val="21"/>
          <w:szCs w:val="21"/>
          <w:lang w:val="sq-AL"/>
        </w:rPr>
        <w:t xml:space="preserve"> pretendon se nenet 190 dhe 191 të KP-së si dhe dispozitat e tjera të Pjesës së Posaçme të këtij Kodi, që parashikojnë si sanksione për veprën penale dy dënime kryesore, atë me burgim dhe me gjobë, bien në kundërshtim me nenin 17/1 të Kushtetutës, pasi, sipas jurisprudencës së Gjykatës Kushtetuese (</w:t>
      </w:r>
      <w:r w:rsidRPr="00F94F62">
        <w:rPr>
          <w:i/>
          <w:sz w:val="21"/>
          <w:szCs w:val="21"/>
          <w:lang w:val="sq-AL"/>
        </w:rPr>
        <w:t>shih vendimin nr. 19, datë 1.6.2011 të Gjykatës Kushtetuese</w:t>
      </w:r>
      <w:r w:rsidRPr="00F94F62">
        <w:rPr>
          <w:sz w:val="21"/>
          <w:szCs w:val="21"/>
          <w:lang w:val="sq-AL"/>
        </w:rPr>
        <w:t>), që të jetë i pranueshëm dënimi penal në aspektin kushtetues, në përputhje me nenin 17/1 të Kushtetutës, duhet të jetë i drejtë dhe në përpjesëtim me veprën. Në këtë mënyrë, që të mund të ketë një proces riedukativ të suksesshëm, duhet që ndëshkimi penal të perceptohet nga autori i veprës si i drejtë dhe në përpjesëtim me veprën e kryer. Ndërsa, dënimi me burgim dhe dënimi me gjobë janë dënime kryesore dhe në thelb të ndryshme nga njëra-tjetra dhe se ndikimi i secilit prej tyre mbi të dënuarin, dhe procesin riedukativ ndaj tij, është shumë i ndryshëm.</w:t>
      </w:r>
    </w:p>
    <w:p w:rsidR="00B47E2E" w:rsidRPr="00F94F62" w:rsidRDefault="00B47E2E" w:rsidP="00B47E2E">
      <w:pPr>
        <w:pStyle w:val="Paragrafi"/>
        <w:rPr>
          <w:sz w:val="21"/>
          <w:szCs w:val="21"/>
          <w:lang w:val="sq-AL"/>
        </w:rPr>
      </w:pPr>
      <w:r w:rsidRPr="00F94F62">
        <w:rPr>
          <w:sz w:val="21"/>
          <w:szCs w:val="21"/>
          <w:lang w:val="sq-AL"/>
        </w:rPr>
        <w:t>5. Gjykata referuese pretendon, gjithashtu, se dispozitat, për të cilat kërkohet kontrolli kushtetues, bien në kundërshtim edhe me nenin 18 të Kushtetutës, i cili sanksionon barazinë e shtetasve para ligjit për këto arsye:</w:t>
      </w:r>
    </w:p>
    <w:p w:rsidR="00B47E2E" w:rsidRPr="00F94F62" w:rsidRDefault="00B47E2E" w:rsidP="00B47E2E">
      <w:pPr>
        <w:pStyle w:val="Paragrafi"/>
        <w:rPr>
          <w:sz w:val="21"/>
          <w:szCs w:val="21"/>
          <w:lang w:val="sq-AL"/>
        </w:rPr>
      </w:pPr>
      <w:r w:rsidRPr="00F94F62">
        <w:rPr>
          <w:sz w:val="21"/>
          <w:szCs w:val="21"/>
          <w:lang w:val="sq-AL"/>
        </w:rPr>
        <w:t>5.1. Së pari, parashikimi për disa vepra penale i dy dënimeve kryesore, në shkelje të standardit të sanksionuar nga dispozitat e pjesës së përgjithshme të Kodit Penal për dhënien ndaj autorëve të veprave penale të një dënimi kryesor, vë në pozita të pabarabarta subjektet e veprave penale që për të njëjtën arsye, shkeljen e ligjit penal, i nënshtrohen një dënimi kryesor;</w:t>
      </w:r>
    </w:p>
    <w:p w:rsidR="00B47E2E" w:rsidRPr="00F94F62" w:rsidRDefault="00B47E2E" w:rsidP="00B47E2E">
      <w:pPr>
        <w:pStyle w:val="Paragrafi"/>
        <w:rPr>
          <w:sz w:val="21"/>
          <w:szCs w:val="21"/>
          <w:lang w:val="sq-AL"/>
        </w:rPr>
      </w:pPr>
      <w:r w:rsidRPr="00F94F62">
        <w:rPr>
          <w:sz w:val="21"/>
          <w:szCs w:val="21"/>
          <w:lang w:val="sq-AL"/>
        </w:rPr>
        <w:t>5.2. Së dyti, në disa prej dispozitave të pjesës së posaçme të Kodit Penal (si p.sh. neni 189 dhe 248) nuk ka raport të drejtë midis minimumit dhe maksimumit të sanksionit të parashikuar për dënimin me burgim në pjesën e përgjithshme të Kodit Penal (neni 34/1 i KP-së) dhe minimumit dhe maksimumit të sanksionit të parashikuar për dënimin me gjobë në pjesën e përgjithshme të Kodit Penal (neni 34/3 i KP-së), duke krijuar pabarazi brenda vetë normës.</w:t>
      </w:r>
    </w:p>
    <w:p w:rsidR="00B47E2E" w:rsidRPr="00F94F62" w:rsidRDefault="00B47E2E" w:rsidP="00B47E2E">
      <w:pPr>
        <w:pStyle w:val="Paragrafi"/>
        <w:rPr>
          <w:sz w:val="21"/>
          <w:szCs w:val="21"/>
          <w:lang w:val="sq-AL"/>
        </w:rPr>
      </w:pPr>
      <w:r w:rsidRPr="00F94F62">
        <w:rPr>
          <w:sz w:val="21"/>
          <w:szCs w:val="21"/>
          <w:lang w:val="sq-AL"/>
        </w:rPr>
        <w:t>5.3. Së treti, pamundësia e pezullimit edhe të dënimit me gjobë për subjektet e veprave penale që parashikojnë dy dënime kryesore, krijon pabarazi në aplikimin në thelb të ligjit penal, pasi subjekteve të veprave penale për të cilat është parashikuar dënimi me burgim, për rrethana të tilla si: rrezikshmëria e pakët e personit, mosha, kushtet shëndetësore apo mendore, mënyra e jetesës dhe e nevojave, mund t’i pezullohet dënimi me burgim, ndërsa të parët, të gjendur në të njëjtat kushte dhe rrethana, nuk kanë mundësinë t’i “shpëtojnë” dënimit penal me gjobë.</w:t>
      </w:r>
    </w:p>
    <w:p w:rsidR="00B47E2E" w:rsidRPr="00F94F62" w:rsidRDefault="00B47E2E" w:rsidP="00B47E2E">
      <w:pPr>
        <w:pStyle w:val="Paragrafi"/>
        <w:rPr>
          <w:sz w:val="21"/>
          <w:szCs w:val="21"/>
          <w:lang w:val="sq-AL"/>
        </w:rPr>
      </w:pPr>
      <w:r w:rsidRPr="00F94F62">
        <w:rPr>
          <w:sz w:val="21"/>
          <w:szCs w:val="21"/>
          <w:lang w:val="sq-AL"/>
        </w:rPr>
        <w:t>6. Po ashtu, gjykata referuese pretendon se nenet 190 dhe 191 të KP-së bien në kundërshtim edhe me nenin 30 të Kushtetutës, i cili sanksionon parimin e prezumimit të pafajësisë, për arsyen se ligjvënësi ka përcaktuar dënimin me gjobë të autorit të veprave penale të falsifikimit të vulave, stampave ose formularëve dhe të falsifikimit të akteve të gjendjes civile, pa konstatuar më parë praninë e motivit të përfitimit pasuror apo material, që sipas gjykatës referuese është parakusht për vendosjen e dënimit me gjobë, duke e prezumuar kështu fajtor</w:t>
      </w:r>
      <w:r w:rsidRPr="00F94F62">
        <w:rPr>
          <w:i/>
          <w:sz w:val="21"/>
          <w:szCs w:val="21"/>
          <w:lang w:val="sq-AL"/>
        </w:rPr>
        <w:t xml:space="preserve"> a priori </w:t>
      </w:r>
      <w:r w:rsidRPr="00F94F62">
        <w:rPr>
          <w:sz w:val="21"/>
          <w:szCs w:val="21"/>
          <w:lang w:val="sq-AL"/>
        </w:rPr>
        <w:t xml:space="preserve">subjektin e këtyre veprave penale. </w:t>
      </w:r>
    </w:p>
    <w:p w:rsidR="00B47E2E" w:rsidRPr="00F94F62" w:rsidRDefault="00B47E2E" w:rsidP="00B47E2E">
      <w:pPr>
        <w:pStyle w:val="Paragrafi"/>
        <w:rPr>
          <w:sz w:val="21"/>
          <w:szCs w:val="21"/>
          <w:lang w:val="sq-AL"/>
        </w:rPr>
      </w:pPr>
      <w:r w:rsidRPr="00F94F62">
        <w:rPr>
          <w:sz w:val="21"/>
          <w:szCs w:val="21"/>
          <w:lang w:val="sq-AL"/>
        </w:rPr>
        <w:t xml:space="preserve">7. Për arsyet e mësipërme, gjykata referuese ka kërkuar nga Gjykata Kushtetuese shfuqizimin, si të papajtueshëm me Kushtetutën, të neneve 190 dhe 191 të KP-së dhe gjithë dispozitave të tjera të Pjesës së Posaçme të këtij Kodi, që parashikojnë dy dënime kryesore. </w:t>
      </w:r>
    </w:p>
    <w:p w:rsidR="00B47E2E" w:rsidRPr="00F94F62" w:rsidRDefault="00B47E2E" w:rsidP="00B47E2E">
      <w:pPr>
        <w:pStyle w:val="Paragrafi"/>
        <w:rPr>
          <w:sz w:val="21"/>
          <w:szCs w:val="21"/>
          <w:lang w:val="sq-AL"/>
        </w:rPr>
      </w:pPr>
      <w:r w:rsidRPr="00F94F62">
        <w:rPr>
          <w:sz w:val="21"/>
          <w:szCs w:val="21"/>
          <w:lang w:val="sq-AL"/>
        </w:rPr>
        <w:t xml:space="preserve">8. Subjekti i interesuar, </w:t>
      </w:r>
      <w:r w:rsidRPr="00F94F62">
        <w:rPr>
          <w:b/>
          <w:i/>
          <w:sz w:val="21"/>
          <w:szCs w:val="21"/>
          <w:lang w:val="sq-AL"/>
        </w:rPr>
        <w:t>Kuvendi i Republikës së Shqipërisë</w:t>
      </w:r>
      <w:r w:rsidRPr="00F94F62">
        <w:rPr>
          <w:i/>
          <w:sz w:val="21"/>
          <w:szCs w:val="21"/>
          <w:lang w:val="sq-AL"/>
        </w:rPr>
        <w:t xml:space="preserve">, </w:t>
      </w:r>
      <w:r w:rsidRPr="00F94F62">
        <w:rPr>
          <w:sz w:val="21"/>
          <w:szCs w:val="21"/>
          <w:lang w:val="sq-AL"/>
        </w:rPr>
        <w:t>ka kërkuar rrëzimin e kërkesës duke paraqitur argumentet e mëposhtme:</w:t>
      </w:r>
    </w:p>
    <w:p w:rsidR="00B47E2E" w:rsidRPr="00F94F62" w:rsidRDefault="00B47E2E" w:rsidP="00B47E2E">
      <w:pPr>
        <w:pStyle w:val="Paragrafi"/>
        <w:rPr>
          <w:sz w:val="21"/>
          <w:szCs w:val="21"/>
          <w:lang w:val="sq-AL"/>
        </w:rPr>
      </w:pPr>
      <w:r w:rsidRPr="00F94F62">
        <w:rPr>
          <w:sz w:val="21"/>
          <w:szCs w:val="21"/>
          <w:lang w:val="sq-AL"/>
        </w:rPr>
        <w:t>8.1.</w:t>
      </w:r>
      <w:r w:rsidRPr="00F94F62">
        <w:rPr>
          <w:color w:val="FF0000"/>
          <w:sz w:val="21"/>
          <w:szCs w:val="21"/>
          <w:lang w:val="sq-AL"/>
        </w:rPr>
        <w:t xml:space="preserve"> </w:t>
      </w:r>
      <w:r w:rsidRPr="00F94F62">
        <w:rPr>
          <w:sz w:val="21"/>
          <w:szCs w:val="21"/>
          <w:lang w:val="sq-AL"/>
        </w:rPr>
        <w:t xml:space="preserve">Kërkuesi nuk legjitimohet të vërë në lëvizje Gjykatën Kushtetuese, sepse nuk plotësohen kushtet që legjitimojnë gjyqtarët të investojnë këtë Gjykatë, pasi nuk ekziston një lidhje e drejtpërdrejtë midis neneve, antikushtetutshmëria e të cilave çmohet si e tillë nga gjykata referuese dhe zgjidhjes së çështjes konkrete nga kjo e fundit. </w:t>
      </w:r>
    </w:p>
    <w:p w:rsidR="00B47E2E" w:rsidRPr="00F94F62" w:rsidRDefault="00B47E2E" w:rsidP="00B47E2E">
      <w:pPr>
        <w:pStyle w:val="Paragrafi"/>
        <w:rPr>
          <w:sz w:val="21"/>
          <w:szCs w:val="21"/>
          <w:lang w:val="sq-AL"/>
        </w:rPr>
      </w:pPr>
      <w:r w:rsidRPr="00F94F62">
        <w:rPr>
          <w:sz w:val="21"/>
          <w:szCs w:val="21"/>
          <w:lang w:val="sq-AL"/>
        </w:rPr>
        <w:t xml:space="preserve">8.2. Lidhur me themelin e çështjes, parashikimi i njëkohshëm si dënim kryesor i gjobës, krahas dënimit me burgim, u realizua me miratimin e paketës së ndryshimeve në Kodin Penal të vitit 2004, e cila u reflektua edhe në nenet 190 dhe 191 të KP-së. Ashpërsimi i masave për këto vepra penale u bë në kuadër të përmirësimit të sistemit ligjor dhe të rritjes së frytshmërisë së institucioneve kompetente për të parandaluar dhe goditur me të gjitha mjetet fenomenet e krimit dhe të trafiqeve, pra në kuadër të luftës kundër kriminalitetit në përgjithësi. </w:t>
      </w:r>
    </w:p>
    <w:p w:rsidR="00B47E2E" w:rsidRPr="00F94F62" w:rsidRDefault="00B47E2E" w:rsidP="00B47E2E">
      <w:pPr>
        <w:pStyle w:val="Paragrafi"/>
        <w:rPr>
          <w:sz w:val="21"/>
          <w:szCs w:val="21"/>
          <w:lang w:val="sq-AL"/>
        </w:rPr>
      </w:pPr>
      <w:r w:rsidRPr="00F94F62">
        <w:rPr>
          <w:sz w:val="21"/>
          <w:szCs w:val="21"/>
          <w:lang w:val="sq-AL"/>
        </w:rPr>
        <w:t xml:space="preserve">8.3. Pretendimi i gjykatës referuese se në rastin konkret është prekur parimi i proporcionalitetit, nuk qëndron pasi është në kompetencën e ligjvënësit që nëpërmjet akteve ligjore të rregullojë me hollësi të drejtat dhe liritë e parashikuara në Kushtetutë. Në nenin 17 të saj thuhet se kufizime të të drejtave dhe lirive të parashikuara në Kushtetutë janë të justifikuara nëse ato bëhen me ligj për interes publik ose për mbrojtjen e të </w:t>
      </w:r>
      <w:r w:rsidRPr="00F94F62">
        <w:rPr>
          <w:sz w:val="21"/>
          <w:szCs w:val="21"/>
          <w:lang w:val="sq-AL"/>
        </w:rPr>
        <w:lastRenderedPageBreak/>
        <w:t>tjerëve. Nenet 190 dhe 191 të KP-së i përmbushin këto kritere.</w:t>
      </w:r>
    </w:p>
    <w:p w:rsidR="00B47E2E" w:rsidRPr="00F94F62" w:rsidRDefault="00B47E2E" w:rsidP="00B47E2E">
      <w:pPr>
        <w:pStyle w:val="Paragrafi"/>
        <w:rPr>
          <w:sz w:val="21"/>
          <w:szCs w:val="21"/>
          <w:lang w:val="sq-AL"/>
        </w:rPr>
      </w:pPr>
      <w:r w:rsidRPr="00F94F62">
        <w:rPr>
          <w:sz w:val="21"/>
          <w:szCs w:val="21"/>
          <w:lang w:val="sq-AL"/>
        </w:rPr>
        <w:t xml:space="preserve">8.4. Po ashtu, nuk qëndron pretendimi për cenim të neneve 17 dhe 18 të Kushtetutës, sepse parashikimi i dy dënimeve kryesore është në përputhje me sanksionimet e nenit 29 të KP-së. Ky parashikim nuk bie ndesh as me parimet themelore të Kodit Penal dhe kryesisht me parimin e ligjshmërisë të sanksionuar në nenin 29 të Kushtetutës dhe në nenin 7 të Konventës Europiane të të Drejtave të Njeriut. </w:t>
      </w:r>
    </w:p>
    <w:p w:rsidR="00B47E2E" w:rsidRPr="00F94F62" w:rsidRDefault="00B47E2E" w:rsidP="00B47E2E">
      <w:pPr>
        <w:pStyle w:val="Paragrafi"/>
        <w:rPr>
          <w:sz w:val="21"/>
          <w:szCs w:val="21"/>
          <w:lang w:val="sq-AL"/>
        </w:rPr>
      </w:pPr>
      <w:r w:rsidRPr="00F94F62">
        <w:rPr>
          <w:sz w:val="21"/>
          <w:szCs w:val="21"/>
          <w:lang w:val="sq-AL"/>
        </w:rPr>
        <w:t xml:space="preserve">9. Subjekti i interesuar, </w:t>
      </w:r>
      <w:r w:rsidRPr="00F94F62">
        <w:rPr>
          <w:b/>
          <w:i/>
          <w:sz w:val="21"/>
          <w:szCs w:val="21"/>
          <w:lang w:val="sq-AL"/>
        </w:rPr>
        <w:t>Prokuroria e Përgjithshme</w:t>
      </w:r>
      <w:r w:rsidRPr="00F94F62">
        <w:rPr>
          <w:i/>
          <w:sz w:val="21"/>
          <w:szCs w:val="21"/>
          <w:lang w:val="sq-AL"/>
        </w:rPr>
        <w:t xml:space="preserve">, </w:t>
      </w:r>
      <w:r w:rsidRPr="00F94F62">
        <w:rPr>
          <w:sz w:val="21"/>
          <w:szCs w:val="21"/>
          <w:lang w:val="sq-AL"/>
        </w:rPr>
        <w:t>duke e konsideruar kërkesën të pabazuar, parashtroi:</w:t>
      </w:r>
    </w:p>
    <w:p w:rsidR="00B47E2E" w:rsidRPr="00F94F62" w:rsidRDefault="00B47E2E" w:rsidP="00B47E2E">
      <w:pPr>
        <w:pStyle w:val="Paragrafi"/>
        <w:rPr>
          <w:sz w:val="21"/>
          <w:szCs w:val="21"/>
          <w:lang w:val="sq-AL"/>
        </w:rPr>
      </w:pPr>
      <w:r w:rsidRPr="00F94F62">
        <w:rPr>
          <w:sz w:val="21"/>
          <w:szCs w:val="21"/>
          <w:lang w:val="sq-AL"/>
        </w:rPr>
        <w:t xml:space="preserve">9.1. Kërkuesi nuk legjitimohet të vërë në lëvizje Gjykatën Kushtetuese, pasi nuk ekziston një raport i domosdoshëm mes zgjidhjes së çështjes së antikushtetutshmërisë së neneve 190 dhe 191 të KP-së nga ana e Gjykatës Kushtetuese dhe zgjidhjes së çështjes në shqyrtim nga gjykata referuese, në kuptimin që gjykimi nga kjo gjykatë mund të përfundojë në mënyrë të pavarur nga gjykimi në Gjykatën Kushtetuese (lidhja e drejtpërdrejtë). </w:t>
      </w:r>
    </w:p>
    <w:p w:rsidR="00B47E2E" w:rsidRPr="00F94F62" w:rsidRDefault="00B47E2E" w:rsidP="00B47E2E">
      <w:pPr>
        <w:pStyle w:val="Paragrafi"/>
        <w:rPr>
          <w:sz w:val="21"/>
          <w:szCs w:val="21"/>
          <w:lang w:val="sq-AL"/>
        </w:rPr>
      </w:pPr>
      <w:r w:rsidRPr="00F94F62">
        <w:rPr>
          <w:sz w:val="21"/>
          <w:szCs w:val="21"/>
          <w:lang w:val="sq-AL"/>
        </w:rPr>
        <w:t xml:space="preserve">9.2. Lidhur me themelin e çështjes, pretendimi për cenim të nenit 17 të Kushtetutës nuk është i bazuar, pasi karakteri i drejtë ose jo i një dënimi nuk lidhet me caktimin e një dënimi të vetëm, por ka të bëjë me përputhjen e tij me shkallën e rrezikshmërisë shoqërore të veprës penale dhe të autorit të saj. </w:t>
      </w:r>
    </w:p>
    <w:p w:rsidR="00B47E2E" w:rsidRPr="00F94F62" w:rsidRDefault="00B47E2E" w:rsidP="00B47E2E">
      <w:pPr>
        <w:pStyle w:val="Paragrafi"/>
        <w:rPr>
          <w:sz w:val="21"/>
          <w:szCs w:val="21"/>
          <w:lang w:val="sq-AL"/>
        </w:rPr>
      </w:pPr>
      <w:r w:rsidRPr="00F94F62">
        <w:rPr>
          <w:sz w:val="21"/>
          <w:szCs w:val="21"/>
          <w:lang w:val="sq-AL"/>
        </w:rPr>
        <w:t xml:space="preserve">9.3. Nga ana tjetër, caktimi i një dënimi me gjobë, edhe në rastet kur mungon përfitimi material, nuk e bën caktimin e atij dënimi të padrejtë apo jo në përpjesëtim me veprën penale të kryer. Parimi i drejtësisë së një dënimi nuk lidhet me një korrelacion kaq të drejtpërdrejtë mes llojit të dënimit dhe veprës penale, por me sigurimin, brenda respektimit të dinjitetit njerëzor, të një baraspeshimi mes rëndësisë së masës ndëshkuese dhe rëndësisë së veprës penale. </w:t>
      </w:r>
    </w:p>
    <w:p w:rsidR="00B47E2E" w:rsidRPr="00F94F62" w:rsidRDefault="00B47E2E" w:rsidP="00B47E2E">
      <w:pPr>
        <w:pStyle w:val="Paragrafi"/>
        <w:rPr>
          <w:sz w:val="21"/>
          <w:szCs w:val="21"/>
          <w:lang w:val="sq-AL"/>
        </w:rPr>
      </w:pPr>
      <w:r w:rsidRPr="00F94F62">
        <w:rPr>
          <w:sz w:val="21"/>
          <w:szCs w:val="21"/>
          <w:lang w:val="sq-AL"/>
        </w:rPr>
        <w:t xml:space="preserve">9.4. Gjithashtu, nuk qëndron pretendimi për cenim të nenit 18 të Kushtetutës, sepse koncepti i barazisë përpara ligjit nuk nënkupton vendosjen e të gjithë shtetasve detyrimisht në situata të ngjashme, por përcaktimin në situata të ngjashme të përgjegjësive ligjore të barabarta. </w:t>
      </w:r>
    </w:p>
    <w:p w:rsidR="00B47E2E" w:rsidRPr="00F94F62" w:rsidRDefault="00B47E2E" w:rsidP="00B47E2E">
      <w:pPr>
        <w:pStyle w:val="Paragrafi"/>
        <w:rPr>
          <w:sz w:val="21"/>
          <w:szCs w:val="21"/>
          <w:lang w:val="sq-AL"/>
        </w:rPr>
      </w:pPr>
      <w:r w:rsidRPr="00F94F62">
        <w:rPr>
          <w:sz w:val="21"/>
          <w:szCs w:val="21"/>
          <w:lang w:val="sq-AL"/>
        </w:rPr>
        <w:t xml:space="preserve">9.5. Parashikimi i dy dënimeve kryesore nga ana e ligjvënësit nuk shkakton asnjë lloj paragjykimi se i pandehuri ka kryer veprën penale (të falsifikimit në rastin konkret) vetëm për motive materiale. Rrethana e përfitimit material është parashikuar si një </w:t>
      </w:r>
      <w:r w:rsidRPr="00F94F62">
        <w:rPr>
          <w:i/>
          <w:sz w:val="21"/>
          <w:szCs w:val="21"/>
          <w:lang w:val="sq-AL"/>
        </w:rPr>
        <w:t xml:space="preserve">conditio sine qua non </w:t>
      </w:r>
      <w:r w:rsidRPr="00F94F62">
        <w:rPr>
          <w:sz w:val="21"/>
          <w:szCs w:val="21"/>
          <w:lang w:val="sq-AL"/>
        </w:rPr>
        <w:t xml:space="preserve">për caktimin e një dënimi me gjobë kur vetë dispozita nuk e parashikon dënimin me gjobë, ndërsa, sipas sanksionimit të neneve 190 dhe 191 të KP-së, gjykata nuk detyrohet ta lidhë detyrimisht caktimin e dënimit me gjobë me praninë e një përfitimi material nga vepra penale. Për këtë arsye nuk cenohet parimi i prezumimit të pafajësisë. </w:t>
      </w:r>
    </w:p>
    <w:p w:rsidR="00B47E2E" w:rsidRPr="00F94F62" w:rsidRDefault="00B47E2E" w:rsidP="00B47E2E">
      <w:pPr>
        <w:pStyle w:val="Paragrafi"/>
        <w:jc w:val="center"/>
        <w:rPr>
          <w:rFonts w:ascii="Times New Roman" w:hAnsi="Times New Roman" w:cs="Times New Roman"/>
          <w:sz w:val="21"/>
          <w:szCs w:val="21"/>
          <w:lang w:val="sq-AL"/>
        </w:rPr>
      </w:pPr>
    </w:p>
    <w:p w:rsidR="00B47E2E" w:rsidRPr="00F94F62" w:rsidRDefault="00B47E2E" w:rsidP="00B47E2E">
      <w:pPr>
        <w:pStyle w:val="Paragrafi"/>
        <w:jc w:val="center"/>
        <w:rPr>
          <w:rFonts w:ascii="Times New Roman" w:hAnsi="Times New Roman" w:cs="Times New Roman"/>
          <w:sz w:val="21"/>
          <w:szCs w:val="21"/>
          <w:lang w:val="sq-AL"/>
        </w:rPr>
      </w:pPr>
      <w:r w:rsidRPr="00F94F62">
        <w:rPr>
          <w:rFonts w:ascii="Times New Roman" w:hAnsi="Times New Roman" w:cs="Times New Roman"/>
          <w:sz w:val="21"/>
          <w:szCs w:val="21"/>
          <w:lang w:val="sq-AL"/>
        </w:rPr>
        <w:t>III</w:t>
      </w:r>
    </w:p>
    <w:p w:rsidR="00B47E2E" w:rsidRPr="00F94F62" w:rsidRDefault="00B47E2E" w:rsidP="00B47E2E">
      <w:pPr>
        <w:pStyle w:val="Paragrafi"/>
        <w:rPr>
          <w:b/>
          <w:i/>
          <w:sz w:val="21"/>
          <w:szCs w:val="21"/>
          <w:lang w:val="sq-AL"/>
        </w:rPr>
      </w:pPr>
      <w:r w:rsidRPr="00F94F62">
        <w:rPr>
          <w:b/>
          <w:i/>
          <w:sz w:val="21"/>
          <w:szCs w:val="21"/>
          <w:lang w:val="sq-AL"/>
        </w:rPr>
        <w:t>Vlerësimi i Gjykatës Kushtetuese</w:t>
      </w:r>
    </w:p>
    <w:p w:rsidR="00B47E2E" w:rsidRPr="00F94F62" w:rsidRDefault="00B47E2E" w:rsidP="00B47E2E">
      <w:pPr>
        <w:pStyle w:val="Paragrafi"/>
        <w:rPr>
          <w:b/>
          <w:i/>
          <w:sz w:val="21"/>
          <w:szCs w:val="21"/>
          <w:lang w:val="sq-AL"/>
        </w:rPr>
      </w:pPr>
      <w:r w:rsidRPr="00F94F62">
        <w:rPr>
          <w:b/>
          <w:i/>
          <w:sz w:val="21"/>
          <w:szCs w:val="21"/>
          <w:lang w:val="sq-AL"/>
        </w:rPr>
        <w:t xml:space="preserve">Lidhur me legjitimimin e gjykatës referuese </w:t>
      </w:r>
    </w:p>
    <w:p w:rsidR="00B47E2E" w:rsidRPr="00F94F62" w:rsidRDefault="00B47E2E" w:rsidP="00B47E2E">
      <w:pPr>
        <w:pStyle w:val="Paragrafi"/>
        <w:rPr>
          <w:sz w:val="21"/>
          <w:szCs w:val="21"/>
          <w:lang w:val="sq-AL"/>
        </w:rPr>
      </w:pPr>
      <w:r w:rsidRPr="00F94F62">
        <w:rPr>
          <w:sz w:val="21"/>
          <w:szCs w:val="21"/>
          <w:lang w:val="sq-AL"/>
        </w:rPr>
        <w:t xml:space="preserve">10. Gjykata Kushtetuese (Gjykata) në jurisprudencën e saj ka theksuar se gjykatat e juridiksionit të zakonshëm, në përputhje me nenet 134/1/d dhe 145/2 të Kushtetutës mund të ushtrojnë kontrollin e kushtetutshmërisë së normës gjatë shqyrtimit të një çështjeje gjyqësore, duke pasur si parakusht që kushtetutshmëria e normës së referuar të jetë </w:t>
      </w:r>
      <w:r w:rsidRPr="00F94F62">
        <w:rPr>
          <w:i/>
          <w:sz w:val="21"/>
          <w:szCs w:val="21"/>
          <w:lang w:val="sq-AL"/>
        </w:rPr>
        <w:t>conditio sine qua non</w:t>
      </w:r>
      <w:r w:rsidRPr="00F94F62">
        <w:rPr>
          <w:sz w:val="21"/>
          <w:szCs w:val="21"/>
          <w:lang w:val="sq-AL"/>
        </w:rPr>
        <w:t xml:space="preserve"> për zgjidhjen e çështjes konkrete. </w:t>
      </w:r>
    </w:p>
    <w:p w:rsidR="00B47E2E" w:rsidRPr="00F94F62" w:rsidRDefault="00B47E2E" w:rsidP="00B47E2E">
      <w:pPr>
        <w:pStyle w:val="Paragrafi"/>
        <w:rPr>
          <w:sz w:val="21"/>
          <w:szCs w:val="21"/>
          <w:lang w:val="sq-AL"/>
        </w:rPr>
      </w:pPr>
      <w:r w:rsidRPr="00F94F62">
        <w:rPr>
          <w:sz w:val="21"/>
          <w:szCs w:val="21"/>
          <w:lang w:val="sq-AL"/>
        </w:rPr>
        <w:t xml:space="preserve">11. Gjykatat e juridiksionit të zakonshëm, në përputhje me parimin e drejtësisë efektive, nëse kanë arsye të besojnë se zgjidhja e çështjes nga ana e tyre mund të çojë në cenimin e të drejtave kushtetuese të shtetasve, atëherë ato janë të autorizuara, nga sanksionimi i normës kushtetuese, që të referojnë çështjen në Gjykatën Kushtetuese, për zgjidhjen e problemit të kushtetutshmërisë. </w:t>
      </w:r>
    </w:p>
    <w:p w:rsidR="00B47E2E" w:rsidRPr="00F94F62" w:rsidRDefault="00B47E2E" w:rsidP="00B47E2E">
      <w:pPr>
        <w:pStyle w:val="Paragrafi"/>
        <w:rPr>
          <w:sz w:val="21"/>
          <w:szCs w:val="21"/>
          <w:lang w:val="sq-AL"/>
        </w:rPr>
      </w:pPr>
      <w:r w:rsidRPr="00F94F62">
        <w:rPr>
          <w:sz w:val="21"/>
          <w:szCs w:val="21"/>
          <w:lang w:val="sq-AL"/>
        </w:rPr>
        <w:t xml:space="preserve">12. Në rastin konkret, gjykata referuese ka konstatuar se përcaktimi si dënim për veprat penale të falsifikimit të vulave, stampave ose formularëve apo të falsifikimit të akteve të gjendjes civile, të parashikuara, respektivisht, nga nenet 190 dhe 191 të KP-së, i dy dënimeve kryesore (me burgim dhe gjobë), bie në kundërshtim me nenin 17/1 të Kushtetutës, pasi që të jetë i pranueshëm dënimi penal në aspektin kushtetues, në përputhje me nenin 17/1 të Kushtetutës, duhet të jetë i drejtë dhe në përpjesëtim me veprën. Gjithashtu, sipas gjykatës referuese, dispozitat bien ndesh me nenin 18 të Kushtetutës, i cili sanksionon barazinë e shtetasve para ligjit, dhe me parimin e prezumimit të pafajësisë të parashikuar nga neni 30 i Kushtetutës. </w:t>
      </w:r>
    </w:p>
    <w:p w:rsidR="00B47E2E" w:rsidRPr="00F94F62" w:rsidRDefault="00B47E2E" w:rsidP="00B47E2E">
      <w:pPr>
        <w:pStyle w:val="Paragrafi"/>
        <w:rPr>
          <w:sz w:val="21"/>
          <w:szCs w:val="21"/>
          <w:lang w:val="sq-AL"/>
        </w:rPr>
      </w:pPr>
      <w:r w:rsidRPr="00F94F62">
        <w:rPr>
          <w:sz w:val="21"/>
          <w:szCs w:val="21"/>
          <w:lang w:val="sq-AL"/>
        </w:rPr>
        <w:t xml:space="preserve">13. Gjykata çmon se një konstatim i tillë nga ana e gjykatës referuese ngre </w:t>
      </w:r>
      <w:r w:rsidRPr="00F94F62">
        <w:rPr>
          <w:i/>
          <w:sz w:val="21"/>
          <w:szCs w:val="21"/>
          <w:lang w:val="sq-AL"/>
        </w:rPr>
        <w:t>prima facie</w:t>
      </w:r>
      <w:r w:rsidRPr="00F94F62">
        <w:rPr>
          <w:sz w:val="21"/>
          <w:szCs w:val="21"/>
          <w:lang w:val="sq-AL"/>
        </w:rPr>
        <w:t xml:space="preserve"> probleme kushtetutshmërie të neneve 190 dhe 191 të KP-së në lidhje me parimin e proporcionalitetit, të parashikuar nga neni 17 i Kushtetutës. Për këto arsye, Gjykata vlerëson se gjykata referuese legjitimohet në paraqitjen e kërkesës për kontrollin e kushtetutshmërisë së dispozitave të lartpërmendura.</w:t>
      </w:r>
    </w:p>
    <w:p w:rsidR="00B47E2E" w:rsidRPr="00F94F62" w:rsidRDefault="00B47E2E" w:rsidP="00B47E2E">
      <w:pPr>
        <w:pStyle w:val="Paragrafi"/>
        <w:rPr>
          <w:sz w:val="21"/>
          <w:szCs w:val="21"/>
          <w:lang w:val="sq-AL"/>
        </w:rPr>
      </w:pPr>
    </w:p>
    <w:p w:rsidR="00B47E2E" w:rsidRPr="00F94F62" w:rsidRDefault="00B47E2E" w:rsidP="00B47E2E">
      <w:pPr>
        <w:pStyle w:val="Paragrafi"/>
        <w:jc w:val="center"/>
        <w:rPr>
          <w:sz w:val="21"/>
          <w:szCs w:val="21"/>
          <w:lang w:val="sq-AL"/>
        </w:rPr>
      </w:pPr>
      <w:r w:rsidRPr="00F94F62">
        <w:rPr>
          <w:sz w:val="21"/>
          <w:szCs w:val="21"/>
          <w:lang w:val="sq-AL"/>
        </w:rPr>
        <w:lastRenderedPageBreak/>
        <w:t>IV</w:t>
      </w:r>
    </w:p>
    <w:p w:rsidR="00B47E2E" w:rsidRPr="00F94F62" w:rsidRDefault="00B47E2E" w:rsidP="00B47E2E">
      <w:pPr>
        <w:pStyle w:val="Paragrafi"/>
        <w:rPr>
          <w:b/>
          <w:i/>
          <w:sz w:val="21"/>
          <w:szCs w:val="21"/>
          <w:lang w:val="sq-AL"/>
        </w:rPr>
      </w:pPr>
      <w:r w:rsidRPr="00F94F62">
        <w:rPr>
          <w:sz w:val="21"/>
          <w:szCs w:val="21"/>
          <w:lang w:val="sq-AL"/>
        </w:rPr>
        <w:t xml:space="preserve"> </w:t>
      </w:r>
      <w:r w:rsidRPr="00F94F62">
        <w:rPr>
          <w:b/>
          <w:i/>
          <w:sz w:val="21"/>
          <w:szCs w:val="21"/>
          <w:lang w:val="sq-AL"/>
        </w:rPr>
        <w:t>Lidhur me themelin e kërkesës</w:t>
      </w:r>
    </w:p>
    <w:p w:rsidR="00B47E2E" w:rsidRPr="00F94F62" w:rsidRDefault="00B47E2E" w:rsidP="00B47E2E">
      <w:pPr>
        <w:pStyle w:val="Paragrafi"/>
        <w:rPr>
          <w:sz w:val="21"/>
          <w:szCs w:val="21"/>
          <w:lang w:val="sq-AL"/>
        </w:rPr>
      </w:pPr>
      <w:r w:rsidRPr="00F94F62">
        <w:rPr>
          <w:sz w:val="21"/>
          <w:szCs w:val="21"/>
          <w:lang w:val="sq-AL"/>
        </w:rPr>
        <w:t>14. Gjykata, para se t’u japë përgjigje pretendimeve të gjykatës referuese, nëse dispozitat penale, objekt kontrolli kushtetues, bien ndesh me nenet 17, 18 dhe 30 të Kushtetutës, vlerëson të arsyeshme të analizojë, fillimisht, nën dritën e një këndvështrimi historik dhe krahasues, legjislacionin penal shqiptar lidhur me klasifikimin e dënimeve kryesore dhe plotësuese, kriteret e zbatimit të tyre dhe qëllimet që ndjekin në frymën e parimeve të përgjithshme të Kodit Penal.</w:t>
      </w:r>
    </w:p>
    <w:p w:rsidR="00B47E2E" w:rsidRPr="00F94F62" w:rsidRDefault="00B47E2E" w:rsidP="00B47E2E">
      <w:pPr>
        <w:pStyle w:val="Paragrafi"/>
        <w:rPr>
          <w:sz w:val="21"/>
          <w:szCs w:val="21"/>
          <w:lang w:val="sq-AL"/>
        </w:rPr>
      </w:pPr>
      <w:r w:rsidRPr="00F94F62">
        <w:rPr>
          <w:sz w:val="21"/>
          <w:szCs w:val="21"/>
          <w:lang w:val="sq-AL"/>
        </w:rPr>
        <w:t>15. Kodi Penal i Republikës së Shqipërisë sanksionon dy lloje dënimesh, dënimet kryesore dhe ato plotësuese. Dënimet kryesore janë të parashikuara në nenin 29 të KP-së. Në llojin e dënimeve kryesore, të cilat mund të jepen nga gjykatat e zakonshme më vete, për personat që kanë kryer krime, hyjnë dënimi me burgim të përjetshëm, dënimi me burgim dhe ai me gjobë. Ndërsa për personat që kanë kryer kundërvajtje dënimet kryesore janë dënimi me burgim dhe dënimi me gjobë. Dënimi me burgim parashikohet nga neni 32 i KP-së, ndërsa dënimi me gjobë nga neni 34 i KP-së. Përveç dënimeve kryesore, gjykatat kur e çmojnë të arsyeshme, bashkë me dënimin kryesor mund të caktojnë edhe një ose më shumë dënime plotësuese, të parashikuara nga neni 30 i KP-së, në lidhje dhe me nenet 35-43 të tij.</w:t>
      </w:r>
    </w:p>
    <w:p w:rsidR="00B47E2E" w:rsidRPr="00F94F62" w:rsidRDefault="00B47E2E" w:rsidP="00B47E2E">
      <w:pPr>
        <w:pStyle w:val="Paragrafi"/>
        <w:rPr>
          <w:sz w:val="21"/>
          <w:szCs w:val="21"/>
          <w:lang w:val="sq-AL"/>
        </w:rPr>
      </w:pPr>
      <w:r w:rsidRPr="00F94F62">
        <w:rPr>
          <w:sz w:val="21"/>
          <w:szCs w:val="21"/>
          <w:lang w:val="sq-AL"/>
        </w:rPr>
        <w:t>16. Për sa u përket dispozitave objekt shqyrtimi, neni 190 i KP-së, në formulimin e tij fillestar, parashikonte për veprën penale të falsifikimit të vulave, stampave ose formularëve dënimin me gjobë ose me burgim deri në pesë vjet. Ndërsa neni 191 i KP-së, për veprën penale të falsifikimit të akteve të gjendjes civile, parashikonte dënimin me gjobë ose me burgim deri në tre vjet.</w:t>
      </w:r>
    </w:p>
    <w:p w:rsidR="00B47E2E" w:rsidRPr="00F94F62" w:rsidRDefault="00B47E2E" w:rsidP="00B47E2E">
      <w:pPr>
        <w:pStyle w:val="Paragrafi"/>
        <w:rPr>
          <w:sz w:val="21"/>
          <w:szCs w:val="21"/>
          <w:lang w:val="sq-AL"/>
        </w:rPr>
      </w:pPr>
      <w:r w:rsidRPr="00F94F62">
        <w:rPr>
          <w:sz w:val="21"/>
          <w:szCs w:val="21"/>
          <w:lang w:val="sq-AL"/>
        </w:rPr>
        <w:t>17. Me miratimin nga ligjvënësi të një pakete të parë ndryshimesh të Kodit Penal, u realizua, me hyrjen në fuqi të ligjit nr. 8733, datë 24.1.2001, parashikimi, fillimisht, i dënimit me gjobë krahas dënimit me burgim, kur vepra penale passjell përfitime materiale për autorin e saj. Konkretisht, nenit 34 të KP-së, ndër të tjera, i është shtuar paragrafi i pestë, i cili sanksion se “</w:t>
      </w:r>
      <w:r w:rsidRPr="00F94F62">
        <w:rPr>
          <w:i/>
          <w:sz w:val="21"/>
          <w:szCs w:val="21"/>
          <w:lang w:val="sq-AL"/>
        </w:rPr>
        <w:t>për personat që kryejnë krime për motive të fitimit të pasurive ose të sigurimit të çdo lloj përfitimi tjetër material, nëse dispozita penale parashikon vetëm dënimin me burgim, gjykata mund të japë edhe dënim me gjobë nga 100 mijë deri në 5 milionë lekë</w:t>
      </w:r>
      <w:r w:rsidRPr="00F94F62">
        <w:rPr>
          <w:sz w:val="21"/>
          <w:szCs w:val="21"/>
          <w:lang w:val="sq-AL"/>
        </w:rPr>
        <w:t xml:space="preserve">”. </w:t>
      </w:r>
    </w:p>
    <w:p w:rsidR="00B47E2E" w:rsidRPr="00F94F62" w:rsidRDefault="00B47E2E" w:rsidP="00B47E2E">
      <w:pPr>
        <w:pStyle w:val="Paragrafi"/>
        <w:rPr>
          <w:sz w:val="21"/>
          <w:szCs w:val="21"/>
          <w:lang w:val="sq-AL"/>
        </w:rPr>
      </w:pPr>
      <w:r w:rsidRPr="00F94F62">
        <w:rPr>
          <w:sz w:val="21"/>
          <w:szCs w:val="21"/>
          <w:lang w:val="sq-AL"/>
        </w:rPr>
        <w:t>18. Më vonë, me ligjin nr. 9086, datë 19.6.2003, ligjvënësi, në kuadër të forcimit të masave kundër kriminalitetit, e pa me vend, që t’i hapë rrugë një sërë ndryshimesh të tjera në legjislacionin penal, të cilat “detyrojnë” gjykatën të vendosë njëkohësisht dy dënime kryesore për kryerjen e një vepre penale. Këto ndryshime nuk mund të realizoheshin pa modifikuar fillimisht dispozitën parimore lidhur me dënimet kryesore, nenin 29 të KP-së. Kështu, me ligjin e lartpërmendur këtij neni iu shtua paragrafi i fundit, me këtë përmbajtje: “</w:t>
      </w:r>
      <w:r w:rsidRPr="00F94F62">
        <w:rPr>
          <w:i/>
          <w:sz w:val="21"/>
          <w:szCs w:val="21"/>
          <w:lang w:val="sq-AL"/>
        </w:rPr>
        <w:t>Dënimi me burgim dhe me gjobë jepen bashkërisht, kur parashikohet në dispozitat përkatëse të këtij Kodi</w:t>
      </w:r>
      <w:r w:rsidRPr="00F94F62">
        <w:rPr>
          <w:sz w:val="21"/>
          <w:szCs w:val="21"/>
          <w:lang w:val="sq-AL"/>
        </w:rPr>
        <w:t xml:space="preserve">”. </w:t>
      </w:r>
    </w:p>
    <w:p w:rsidR="00B47E2E" w:rsidRPr="00F94F62" w:rsidRDefault="00B47E2E" w:rsidP="00B47E2E">
      <w:pPr>
        <w:pStyle w:val="Paragrafi"/>
        <w:rPr>
          <w:sz w:val="21"/>
          <w:szCs w:val="21"/>
          <w:lang w:val="sq-AL"/>
        </w:rPr>
      </w:pPr>
      <w:r w:rsidRPr="00F94F62">
        <w:rPr>
          <w:sz w:val="21"/>
          <w:szCs w:val="21"/>
          <w:lang w:val="sq-AL"/>
        </w:rPr>
        <w:t xml:space="preserve">19. Për rrjedhojë, pas këtij plotësimi, përveç të tjerash, me ligjin nr. 9188, datë 12.02.2004, ndryshime u bënë edhe në formulimin e neneve 190 dhe 191 të KP-së. Sipas sanksionimit të këtyre të fundit, tashmë, për personat që kryejnë veprat penale të falsifikimit të vulave, stampave ose formularëve dhe të falsifikimit të akteve të gjendjes civile, gjykatat vendosin dy dënime kryesore, atë me burgim dhe me gjobë. </w:t>
      </w:r>
    </w:p>
    <w:p w:rsidR="00B47E2E" w:rsidRPr="00F94F62" w:rsidRDefault="00B47E2E" w:rsidP="00B47E2E">
      <w:pPr>
        <w:pStyle w:val="Paragrafi"/>
        <w:rPr>
          <w:sz w:val="21"/>
          <w:szCs w:val="21"/>
          <w:lang w:val="sq-AL"/>
        </w:rPr>
      </w:pPr>
      <w:r w:rsidRPr="00F94F62">
        <w:rPr>
          <w:sz w:val="21"/>
          <w:szCs w:val="21"/>
          <w:lang w:val="sq-AL"/>
        </w:rPr>
        <w:t xml:space="preserve">20. Parashikimi njëkohësisht i dy dënimeve kryesore u përdor nga ligjvënësi edhe në ndryshimet e mëvonshme të Kodit Penal në vitet 2007, 2008, si dhe në ndryshimet e fundit të miratuara në vitin 2012. Si pasojë, një sërë dispozitash të Kodit Penal, aktualisht, parashikojnë sanksionimin njëkohësisht të dy dënimeve kryesore, atij me burgim dhe me gjobë. </w:t>
      </w:r>
    </w:p>
    <w:p w:rsidR="00B47E2E" w:rsidRPr="00F94F62" w:rsidRDefault="00B47E2E" w:rsidP="00B47E2E">
      <w:pPr>
        <w:pStyle w:val="Paragrafi"/>
        <w:rPr>
          <w:sz w:val="21"/>
          <w:szCs w:val="21"/>
          <w:lang w:val="sq-AL"/>
        </w:rPr>
      </w:pPr>
      <w:r w:rsidRPr="00F94F62">
        <w:rPr>
          <w:sz w:val="21"/>
          <w:szCs w:val="21"/>
          <w:lang w:val="sq-AL"/>
        </w:rPr>
        <w:t>21. Në vijim të kësaj premise, duke qenë se rendet juridike europiane bazojnë përgjithësisht sistemin e tyre të dënimeve mbi një bashkësi figurash ndëshkuese të shumta, Gjykata vlerëson të marrë në shqyrtim, në mënyrë të përmbledhur, përmbajtjen e dispozitave të disa prej këtyre vendeve, duke i krahasuar me dispozitat objekt shqyrtimi.</w:t>
      </w:r>
    </w:p>
    <w:p w:rsidR="00B47E2E" w:rsidRPr="00F94F62" w:rsidRDefault="00B47E2E" w:rsidP="00B47E2E">
      <w:pPr>
        <w:pStyle w:val="Paragrafi"/>
        <w:rPr>
          <w:sz w:val="21"/>
          <w:szCs w:val="21"/>
          <w:lang w:val="sq-AL"/>
        </w:rPr>
      </w:pPr>
      <w:r w:rsidRPr="00F94F62">
        <w:rPr>
          <w:sz w:val="21"/>
          <w:szCs w:val="21"/>
          <w:lang w:val="sq-AL"/>
        </w:rPr>
        <w:t>- Kodi Penal Gjerman, në kapitullin 23 (seksioni 267-282), që bën fjalë për falsifikimin e dokumenteve, parashikon si dënim atë me burgim (në masë të ndryshme dënimi sipas rasteve) ose me gjobë. Ndërsa seksioni 41 parashikon se krahas dënimit me burgim mund të vendoset edhe dënimi me gjobë, duke pasur parasysh edhe gjendjen financiare të autorit të krimit, kur ky i fundit është pasuruar nga kryerja e veprës ose e ka kryer veprën me qëllim përfitimi monetar. Nga kjo dispozitë e fundit, rezulton se elementi i përfitimit material është element i rëndësishëm për përcaktimin njëkohësisht të dy dënimeve.</w:t>
      </w:r>
    </w:p>
    <w:p w:rsidR="00B47E2E" w:rsidRPr="00F94F62" w:rsidRDefault="00B47E2E" w:rsidP="00B47E2E">
      <w:pPr>
        <w:pStyle w:val="Paragrafi"/>
        <w:rPr>
          <w:sz w:val="21"/>
          <w:szCs w:val="21"/>
          <w:lang w:val="sq-AL"/>
        </w:rPr>
      </w:pPr>
      <w:r w:rsidRPr="00F94F62">
        <w:rPr>
          <w:sz w:val="21"/>
          <w:szCs w:val="21"/>
          <w:lang w:val="sq-AL"/>
        </w:rPr>
        <w:t xml:space="preserve">- Kodi Penal Rumun në nenin 288, që bën fjalë për falsifikimin e dokumenteve zyrtare, parashikon vetëm dënimin me burgim nga tre muaj deri në tre vjet. Ndërsa në rastet e tjera të falsifikimit (falsifikimi i akteve private ose përdorimi i tyre) të parashikuara në nenet në vijim, sanksionohet dënimi me burgim (në </w:t>
      </w:r>
      <w:r w:rsidRPr="00F94F62">
        <w:rPr>
          <w:sz w:val="21"/>
          <w:szCs w:val="21"/>
          <w:lang w:val="sq-AL"/>
        </w:rPr>
        <w:lastRenderedPageBreak/>
        <w:t xml:space="preserve">masë të ndryshme dënimi sipas rasteve) ose me gjobë. </w:t>
      </w:r>
    </w:p>
    <w:p w:rsidR="00B47E2E" w:rsidRPr="00F94F62" w:rsidRDefault="00B47E2E" w:rsidP="00B47E2E">
      <w:pPr>
        <w:pStyle w:val="Paragrafi"/>
        <w:rPr>
          <w:sz w:val="21"/>
          <w:szCs w:val="21"/>
          <w:lang w:val="sq-AL"/>
        </w:rPr>
      </w:pPr>
      <w:r w:rsidRPr="00F94F62">
        <w:rPr>
          <w:sz w:val="21"/>
          <w:szCs w:val="21"/>
          <w:lang w:val="sq-AL"/>
        </w:rPr>
        <w:t>Në një pozicion të ngjashëm me eksperiencat e paraqitura më lart janë:</w:t>
      </w:r>
    </w:p>
    <w:p w:rsidR="00B47E2E" w:rsidRPr="00F94F62" w:rsidRDefault="00B47E2E" w:rsidP="00B47E2E">
      <w:pPr>
        <w:pStyle w:val="Paragrafi"/>
        <w:rPr>
          <w:sz w:val="21"/>
          <w:szCs w:val="21"/>
          <w:lang w:val="sq-AL"/>
        </w:rPr>
      </w:pPr>
      <w:r w:rsidRPr="00F94F62">
        <w:rPr>
          <w:sz w:val="21"/>
          <w:szCs w:val="21"/>
          <w:lang w:val="sq-AL"/>
        </w:rPr>
        <w:t xml:space="preserve">- Estonia, nenet 344-347 të KP-së parashikojnë për falsifikimin e dokumenteve dënimin me burgim (në masë të ndryshme dënimi sipas rasteve) ose me gjobë; </w:t>
      </w:r>
    </w:p>
    <w:p w:rsidR="00B47E2E" w:rsidRPr="00F94F62" w:rsidRDefault="00B47E2E" w:rsidP="00B47E2E">
      <w:pPr>
        <w:pStyle w:val="Paragrafi"/>
        <w:rPr>
          <w:sz w:val="21"/>
          <w:szCs w:val="21"/>
          <w:lang w:val="sq-AL"/>
        </w:rPr>
      </w:pPr>
      <w:r w:rsidRPr="00F94F62">
        <w:rPr>
          <w:sz w:val="21"/>
          <w:szCs w:val="21"/>
          <w:lang w:val="sq-AL"/>
        </w:rPr>
        <w:t>- Kroacia, neni 311 i KP-së për falsifikimin e dokumenteve parashikon dënimin me burgim (jo më shumë se tre vjet) ose me gjobë;</w:t>
      </w:r>
    </w:p>
    <w:p w:rsidR="00B47E2E" w:rsidRPr="00F94F62" w:rsidRDefault="00B47E2E" w:rsidP="00B47E2E">
      <w:pPr>
        <w:pStyle w:val="Paragrafi"/>
        <w:rPr>
          <w:sz w:val="21"/>
          <w:szCs w:val="21"/>
          <w:lang w:val="sq-AL"/>
        </w:rPr>
      </w:pPr>
      <w:r w:rsidRPr="00F94F62">
        <w:rPr>
          <w:sz w:val="21"/>
          <w:szCs w:val="21"/>
          <w:lang w:val="sq-AL"/>
        </w:rPr>
        <w:t xml:space="preserve">- Hungaria, seksioni 274 i KP-së parashikon vetëm dënim me burg (deri në tre vjet) të personit që përgatit një dokument zyrtar të falsifikuar. </w:t>
      </w:r>
    </w:p>
    <w:p w:rsidR="00B47E2E" w:rsidRPr="00F94F62" w:rsidRDefault="00B47E2E" w:rsidP="00B47E2E">
      <w:pPr>
        <w:pStyle w:val="Paragrafi"/>
        <w:rPr>
          <w:sz w:val="21"/>
          <w:szCs w:val="21"/>
          <w:lang w:val="sq-AL"/>
        </w:rPr>
      </w:pPr>
      <w:r w:rsidRPr="00F94F62">
        <w:rPr>
          <w:sz w:val="21"/>
          <w:szCs w:val="21"/>
          <w:lang w:val="sq-AL"/>
        </w:rPr>
        <w:t xml:space="preserve">- Mali i Zi, neni 414 i KP-së parashikon vetëm dënim me burg (nga 3 muaj deri në pesë vjet) për veprën penale të falsifikimit të një dokumenti zyrtar. </w:t>
      </w:r>
    </w:p>
    <w:p w:rsidR="00B47E2E" w:rsidRPr="00F94F62" w:rsidRDefault="00B47E2E" w:rsidP="00B47E2E">
      <w:pPr>
        <w:pStyle w:val="Paragrafi"/>
        <w:rPr>
          <w:sz w:val="21"/>
          <w:szCs w:val="21"/>
          <w:lang w:val="sq-AL"/>
        </w:rPr>
      </w:pPr>
      <w:r w:rsidRPr="00F94F62">
        <w:rPr>
          <w:sz w:val="21"/>
          <w:szCs w:val="21"/>
          <w:lang w:val="sq-AL"/>
        </w:rPr>
        <w:t xml:space="preserve"> - Serbia, neni 355 i KP-së parashikon vetëm dënim me burg (nga 3 muaj deri në pesë vjet) për veprën penale të falsifikimit të një dokumenti zyrtar.</w:t>
      </w:r>
    </w:p>
    <w:p w:rsidR="00B47E2E" w:rsidRPr="00F94F62" w:rsidRDefault="00B47E2E" w:rsidP="00B47E2E">
      <w:pPr>
        <w:pStyle w:val="Paragrafi"/>
        <w:rPr>
          <w:sz w:val="21"/>
          <w:szCs w:val="21"/>
          <w:lang w:val="sq-AL"/>
        </w:rPr>
      </w:pPr>
      <w:r w:rsidRPr="00F94F62">
        <w:rPr>
          <w:sz w:val="21"/>
          <w:szCs w:val="21"/>
          <w:lang w:val="sq-AL"/>
        </w:rPr>
        <w:t xml:space="preserve"> 22. Ndërsa Kodi Penal Francez (seksioni 444/1 i KP-së) dhe Kodi Penal Italian (nenet 467 e vijues të KP-së), për veprat penale në fjalë parashikojnë aplikimin e dy dënime kryesore atë me burgim dhe atë me gjobë. </w:t>
      </w:r>
    </w:p>
    <w:p w:rsidR="00B47E2E" w:rsidRPr="00F94F62" w:rsidRDefault="00B47E2E" w:rsidP="00B47E2E">
      <w:pPr>
        <w:pStyle w:val="Paragrafi"/>
        <w:rPr>
          <w:sz w:val="21"/>
          <w:szCs w:val="21"/>
          <w:lang w:val="sq-AL"/>
        </w:rPr>
      </w:pPr>
      <w:r w:rsidRPr="00F94F62">
        <w:rPr>
          <w:sz w:val="21"/>
          <w:szCs w:val="21"/>
          <w:lang w:val="sq-AL"/>
        </w:rPr>
        <w:t>23. Nga të dhënat e mësipërme, Gjykata konstaton se pjesa më e madhe e legjislacioneve, përfshirë edhe ato të vendeve fqinje, për veprën penale të falsifikimit të dokumenteve zyrtare parashikojnë si sanksion një dënim të vetëm, atë me burgim dhe, në rastet kur janë parashikuar dy dënime kryesore ato janë alternative me njëra-tjetrën. Gjithsesi, edhe në ato vende (si p.sh. Italia</w:t>
      </w:r>
      <w:r w:rsidRPr="00F94F62">
        <w:rPr>
          <w:rStyle w:val="FootnoteReference"/>
          <w:sz w:val="21"/>
          <w:szCs w:val="21"/>
          <w:lang w:val="sq-AL"/>
        </w:rPr>
        <w:footnoteReference w:id="1"/>
      </w:r>
      <w:r w:rsidRPr="00F94F62">
        <w:rPr>
          <w:sz w:val="21"/>
          <w:szCs w:val="21"/>
          <w:lang w:val="sq-AL"/>
        </w:rPr>
        <w:t xml:space="preserve">) ku është parashikuar aplikimi njëkohësisht i dy dënimeve kryesore, tendenca e ligjvënësit, në kuptim të funksionit riedukativ të dënimit, është të diferencojë dënimin penal të të dënuarve duke caktuar një lloj dënimi që është në përpjesëtim me rrezikshmërinë e veprës penale, të autorit të saj, shkallën e fajit, si dhe rrethanat lehtësuese dhe rënduese. </w:t>
      </w:r>
    </w:p>
    <w:p w:rsidR="00B47E2E" w:rsidRPr="00F94F62" w:rsidRDefault="00B47E2E" w:rsidP="00B47E2E">
      <w:pPr>
        <w:pStyle w:val="Paragrafi"/>
        <w:rPr>
          <w:sz w:val="21"/>
          <w:szCs w:val="21"/>
          <w:lang w:val="sq-AL"/>
        </w:rPr>
      </w:pPr>
      <w:r w:rsidRPr="00F94F62">
        <w:rPr>
          <w:sz w:val="21"/>
          <w:szCs w:val="21"/>
          <w:lang w:val="sq-AL"/>
        </w:rPr>
        <w:t xml:space="preserve">24. Për sa i përket </w:t>
      </w:r>
      <w:r w:rsidRPr="00F94F62">
        <w:rPr>
          <w:i/>
          <w:sz w:val="21"/>
          <w:szCs w:val="21"/>
          <w:lang w:val="sq-AL"/>
        </w:rPr>
        <w:t xml:space="preserve">ratio </w:t>
      </w:r>
      <w:r w:rsidRPr="00F94F62">
        <w:rPr>
          <w:sz w:val="21"/>
          <w:szCs w:val="21"/>
          <w:lang w:val="sq-AL"/>
        </w:rPr>
        <w:t>të dënimit penal, Gjykata, në jurisprudencën e saj është shprehur se dënimi penal përmbush dy funksione të ndryshme, të cilat mund të konsiderohen si edukative. Nga njëra anë qëndron funksioni i parandalimit të përgjithshëm të veprave penale, pasi kërcënimi se shteti do të zbatojë sanksione penale sa herë që shtetasit do të kryejnë veprime të dënueshme nga legjislacioni penal, funksionon si një mënyrë për të dekurajuar dhe parandaluar cilindo nga shtetasit që të ndërmarrë veprime që bien në kundërshtim me normat penale. Nga ana tjetër qëndron funksioni i parandalimit të posaçëm, i cili lidhet drejtpërsëdrejti me autorin e veprës, pasi duke zbatuar sanksionin penal synohet riedukimi i tij në mënyrë që, pas kryerjes së dënimit, të mos ndërmarrë në të ardhmen veprime kriminale (</w:t>
      </w:r>
      <w:r w:rsidRPr="00F94F62">
        <w:rPr>
          <w:i/>
          <w:sz w:val="21"/>
          <w:szCs w:val="21"/>
          <w:lang w:val="sq-AL"/>
        </w:rPr>
        <w:t>shih vendimin nr. 19, datë 1.6.2011 të Gjykatës Kushtetuese</w:t>
      </w:r>
      <w:r w:rsidRPr="00F94F62">
        <w:rPr>
          <w:sz w:val="21"/>
          <w:szCs w:val="21"/>
          <w:lang w:val="sq-AL"/>
        </w:rPr>
        <w:t>).</w:t>
      </w:r>
    </w:p>
    <w:p w:rsidR="00B47E2E" w:rsidRPr="00F94F62" w:rsidRDefault="00B47E2E" w:rsidP="00B47E2E">
      <w:pPr>
        <w:pStyle w:val="Paragrafi"/>
        <w:rPr>
          <w:sz w:val="21"/>
          <w:szCs w:val="21"/>
          <w:lang w:val="sq-AL"/>
        </w:rPr>
      </w:pPr>
      <w:r w:rsidRPr="00F94F62">
        <w:rPr>
          <w:sz w:val="21"/>
          <w:szCs w:val="21"/>
          <w:lang w:val="sq-AL"/>
        </w:rPr>
        <w:t>25. Në përputhje me frymën e Kushtetutës, sanksioni penal i cilësdo natyre duhet të synojë vetëm riedukimin dhe më pas integrimin e të dënuarit në jetën shoqërore. Gjykata, duke pasur parasysh dhe doktrinën e konsoliduar europiane në këtë fushë, ka theksuar se, që të jetë i pranueshëm dënimi penal në aspektin kushtetues, në përputhje me nenin 17/1 të Kushtetutës, duhet të jetë i drejtë dhe në përpjesëtim me veprën. Në këtë mënyrë, që të mund të ketë një proces riedukativ të suksesshëm, duhet që ndëshkimi penal të perceptohet nga autori i veprës si i drejtë dhe në përpjesëtim me veprën e kryer (</w:t>
      </w:r>
      <w:r w:rsidRPr="00F94F62">
        <w:rPr>
          <w:i/>
          <w:sz w:val="21"/>
          <w:szCs w:val="21"/>
          <w:lang w:val="sq-AL"/>
        </w:rPr>
        <w:t>shih vendimin nr. 19, datë 1.6.2011 të Gjykatës Kushtetuese</w:t>
      </w:r>
      <w:r w:rsidRPr="00F94F62">
        <w:rPr>
          <w:sz w:val="21"/>
          <w:szCs w:val="21"/>
          <w:lang w:val="sq-AL"/>
        </w:rPr>
        <w:t>).</w:t>
      </w:r>
    </w:p>
    <w:p w:rsidR="00B47E2E" w:rsidRPr="00F94F62" w:rsidRDefault="00B47E2E" w:rsidP="00B47E2E">
      <w:pPr>
        <w:pStyle w:val="Paragrafi"/>
        <w:rPr>
          <w:sz w:val="21"/>
          <w:szCs w:val="21"/>
          <w:lang w:val="sq-AL"/>
        </w:rPr>
      </w:pPr>
      <w:r w:rsidRPr="00F94F62">
        <w:rPr>
          <w:sz w:val="21"/>
          <w:szCs w:val="21"/>
          <w:lang w:val="sq-AL"/>
        </w:rPr>
        <w:t xml:space="preserve">26. Gjykata ka vlerësuar se qëllimi i secilit prej dënimeve kryesore të parashikuara në Kodin Penal është i ndryshëm. Dënimi me burgim, duke konsistuar në një privim të lirisë, është konceptuar në të drejtën penale, edhe në kuptim të parimit të </w:t>
      </w:r>
      <w:r w:rsidRPr="00F94F62">
        <w:rPr>
          <w:i/>
          <w:sz w:val="21"/>
          <w:szCs w:val="21"/>
          <w:lang w:val="sq-AL"/>
        </w:rPr>
        <w:t>favor libertatitis</w:t>
      </w:r>
      <w:r w:rsidRPr="00F94F62">
        <w:rPr>
          <w:sz w:val="21"/>
          <w:szCs w:val="21"/>
          <w:lang w:val="sq-AL"/>
        </w:rPr>
        <w:t xml:space="preserve">, si </w:t>
      </w:r>
      <w:r w:rsidRPr="00F94F62">
        <w:rPr>
          <w:i/>
          <w:sz w:val="21"/>
          <w:szCs w:val="21"/>
          <w:lang w:val="sq-AL"/>
        </w:rPr>
        <w:t>extrema ratio</w:t>
      </w:r>
      <w:r w:rsidRPr="00F94F62">
        <w:rPr>
          <w:sz w:val="21"/>
          <w:szCs w:val="21"/>
          <w:lang w:val="sq-AL"/>
        </w:rPr>
        <w:t>. Pra, duke qenë se dënimi me burgim passjell sakrifikimin maksimal të lirisë personale të personit, kjo e fundit e mbrojtur nga Kushtetuta, ai është konsideruar nga ligjvënësi si masa e fundit shtrënguese si dhe dënimi më i rëndë ndër dënimet kryesore. Ndërsa, dënimi me gjobë lindi si një mënyrë për të shmangur dënimin me burgim, pasi konsiderohej si më e drejtë që personi të mund të paguante një shumë të hollash për vepra që kishin një rrezikshmëri të ulët shoqërore, pa pasur nevojë që të privohej nga liria. Qëllimi i dënimit me gjobë, në frymën e Kushtetutës, duhet rilexuar në kuptimin që funksioni riedukativ, për disa vepra të caktuara penale, mund të përmbushet edhe nga pagesa e një shume të caktuar, pa qenë nevoja që personi të privohet nga liria vetjake (</w:t>
      </w:r>
      <w:r w:rsidRPr="00F94F62">
        <w:rPr>
          <w:i/>
          <w:sz w:val="21"/>
          <w:szCs w:val="21"/>
          <w:lang w:val="sq-AL"/>
        </w:rPr>
        <w:t>shih vendimin nr. 19, datë 1.6.2011 të Gjykatës Kushtetuese</w:t>
      </w:r>
      <w:r w:rsidRPr="00F94F62">
        <w:rPr>
          <w:sz w:val="21"/>
          <w:szCs w:val="21"/>
          <w:lang w:val="sq-AL"/>
        </w:rPr>
        <w:t xml:space="preserve">). </w:t>
      </w:r>
    </w:p>
    <w:p w:rsidR="00B47E2E" w:rsidRPr="00F94F62" w:rsidRDefault="00B47E2E" w:rsidP="00B47E2E">
      <w:pPr>
        <w:pStyle w:val="Paragrafi"/>
        <w:rPr>
          <w:sz w:val="21"/>
          <w:szCs w:val="21"/>
          <w:lang w:val="sq-AL"/>
        </w:rPr>
      </w:pPr>
      <w:r w:rsidRPr="00F94F62">
        <w:rPr>
          <w:sz w:val="21"/>
          <w:szCs w:val="21"/>
          <w:lang w:val="sq-AL"/>
        </w:rPr>
        <w:lastRenderedPageBreak/>
        <w:t>27. Në këtë këndvështrim, Gjykata ka vlerësuar se dënimi me burgim dhe dënimi me gjobë janë dënime kryesore dhe në thelb të ndryshëm nga njëri-tjetri dhe se ndikimi i secilit prej tyre mbi të dënuarin, dhe procesin riedukativ ndaj tij, është shumë i ndryshëm, pasi qëllimi i dënimit me burgim është diametralisht i kundërt nga ai i dënimit me gjobë (</w:t>
      </w:r>
      <w:r w:rsidRPr="00F94F62">
        <w:rPr>
          <w:i/>
          <w:sz w:val="21"/>
          <w:szCs w:val="21"/>
          <w:lang w:val="sq-AL"/>
        </w:rPr>
        <w:t>shih vendimin nr. 19, datë 1.6.2011 të Gjykatës Kushtetuese</w:t>
      </w:r>
      <w:r w:rsidRPr="00F94F62">
        <w:rPr>
          <w:sz w:val="21"/>
          <w:szCs w:val="21"/>
          <w:lang w:val="sq-AL"/>
        </w:rPr>
        <w:t xml:space="preserve">). </w:t>
      </w:r>
    </w:p>
    <w:p w:rsidR="00B47E2E" w:rsidRPr="00F94F62" w:rsidRDefault="00B47E2E" w:rsidP="00B47E2E">
      <w:pPr>
        <w:pStyle w:val="Paragrafi"/>
        <w:rPr>
          <w:sz w:val="21"/>
          <w:szCs w:val="21"/>
          <w:lang w:val="sq-AL"/>
        </w:rPr>
      </w:pPr>
      <w:r w:rsidRPr="00F94F62">
        <w:rPr>
          <w:sz w:val="21"/>
          <w:szCs w:val="21"/>
          <w:lang w:val="sq-AL"/>
        </w:rPr>
        <w:t>28. Nga ana tjetër, Gjykata thekson se legjislacioni penal ka për detyrë të mbrojë vlera të rëndësishme, të tilla si: pavarësinë e shtetit dhe tërësinë e tij territoriale, dinjitetin e njeriut, të drejtat dhe liritë e tij, rendin kushtetues, pronën etj. (shih nenin 1/b të KP-së). Ai bazohet në parimet kushtetuese të shtetit të së drejtës, të barazisë përpara ligjit, të drejtësisë në caktimin e fajësisë dhe të dënimit, si dhe të humanizmit (shih nenin 1/c të KP-së). Ky legjislacion është një tregues kuptimplotë për çdo vend, në kuptimin se sa ai është në gjendje të balancojë të drejtën e shtetit për të siguruar rendin publik e shoqëror nga njëra anë, me të drejtat dhe liritë e individit nga ana tjetër (</w:t>
      </w:r>
      <w:r w:rsidRPr="00F94F62">
        <w:rPr>
          <w:i/>
          <w:sz w:val="21"/>
          <w:szCs w:val="21"/>
          <w:lang w:val="sq-AL"/>
        </w:rPr>
        <w:t>shih vendimin nr. 1, datë 12.1.2011 të Gjykatës Kushtetuese</w:t>
      </w:r>
      <w:r w:rsidRPr="00F94F62">
        <w:rPr>
          <w:sz w:val="21"/>
          <w:szCs w:val="21"/>
          <w:lang w:val="sq-AL"/>
        </w:rPr>
        <w:t>).</w:t>
      </w:r>
    </w:p>
    <w:p w:rsidR="00B47E2E" w:rsidRPr="00F94F62" w:rsidRDefault="00B47E2E" w:rsidP="00B47E2E">
      <w:pPr>
        <w:pStyle w:val="Paragrafi"/>
        <w:rPr>
          <w:sz w:val="21"/>
          <w:szCs w:val="21"/>
          <w:lang w:val="sq-AL"/>
        </w:rPr>
      </w:pPr>
      <w:r w:rsidRPr="00F94F62">
        <w:rPr>
          <w:sz w:val="21"/>
          <w:szCs w:val="21"/>
          <w:lang w:val="sq-AL"/>
        </w:rPr>
        <w:t xml:space="preserve"> 29. Si përfundim, nga analiza e mësipërme, Gjykata çmon se nevojat dhe pritshmëritë e kontrollit social të realiteteve të ndryshme sociale duket sikur gjejnë “përkthim” në politikat penale të rendeve juridike të ndryshme sipas strategjive të ndërhyrjes ndëshkuese të karakterizuara nga instrumente me natyrë të ndryshme (ndëshkuese në kuptim të ngushtë, ndaluese apo mbikëqyrëse). Në këtë drejtim, Gjykata vëren se, nëse domosdoshmëria e sanksionit penal nuk vihet në diskutim, ajo që diskutohet, në rastin konkret, është “strategjia e ndërhyrjes ndëshkuese” nga ana e ligjvënësit për të përmbushur qëllimin e dënimit, funksionin parandalues të tij dhe atë riedukues, të cilat janë dhe funksionet themelore të legjislacionit penal. </w:t>
      </w:r>
    </w:p>
    <w:p w:rsidR="00B47E2E" w:rsidRPr="00F94F62" w:rsidRDefault="00B47E2E" w:rsidP="00B47E2E">
      <w:pPr>
        <w:pStyle w:val="Paragrafi"/>
        <w:rPr>
          <w:sz w:val="21"/>
          <w:szCs w:val="21"/>
          <w:lang w:val="sq-AL"/>
        </w:rPr>
      </w:pPr>
      <w:r w:rsidRPr="00F94F62">
        <w:rPr>
          <w:sz w:val="21"/>
          <w:szCs w:val="21"/>
          <w:lang w:val="sq-AL"/>
        </w:rPr>
        <w:t xml:space="preserve">30. Bazuar nga sa më sipër, nisur nga natyra e çështjes në shqyrtim, më poshtë Gjykata do të analizojë nëse parashikimi i dy dënimeve kryesore, për veprat penale të parashikuara nga nenet 190 dhe 191 të KP-së, cenon parimin e proporcionalitetit, të sanksionuar nga neni 17/1 i Kushtetutës. </w:t>
      </w:r>
    </w:p>
    <w:p w:rsidR="00B47E2E" w:rsidRPr="00F94F62" w:rsidRDefault="00B47E2E" w:rsidP="00B47E2E">
      <w:pPr>
        <w:pStyle w:val="Paragrafi"/>
        <w:rPr>
          <w:b/>
          <w:i/>
          <w:sz w:val="21"/>
          <w:szCs w:val="21"/>
          <w:lang w:val="sq-AL"/>
        </w:rPr>
      </w:pPr>
      <w:r w:rsidRPr="00F94F62">
        <w:rPr>
          <w:b/>
          <w:i/>
          <w:sz w:val="21"/>
          <w:szCs w:val="21"/>
          <w:lang w:val="sq-AL"/>
        </w:rPr>
        <w:t>Për pretendimin për cenimin e nenit 17 të Kushtetutës</w:t>
      </w:r>
    </w:p>
    <w:p w:rsidR="00B47E2E" w:rsidRPr="00F94F62" w:rsidRDefault="00B47E2E" w:rsidP="00B47E2E">
      <w:pPr>
        <w:pStyle w:val="Paragrafi"/>
        <w:rPr>
          <w:i/>
          <w:sz w:val="21"/>
          <w:szCs w:val="21"/>
          <w:lang w:val="sq-AL"/>
        </w:rPr>
      </w:pPr>
      <w:r w:rsidRPr="00F94F62">
        <w:rPr>
          <w:bCs/>
          <w:sz w:val="21"/>
          <w:szCs w:val="21"/>
          <w:lang w:val="sq-AL"/>
        </w:rPr>
        <w:t>31. Lidhur me parimin e proporcionalitetit, Gjykata Kushtetuese n</w:t>
      </w:r>
      <w:r w:rsidRPr="00F94F62">
        <w:rPr>
          <w:sz w:val="21"/>
          <w:szCs w:val="21"/>
          <w:lang w:val="sq-AL"/>
        </w:rPr>
        <w:t>ë</w:t>
      </w:r>
      <w:r w:rsidRPr="00F94F62">
        <w:rPr>
          <w:bCs/>
          <w:sz w:val="21"/>
          <w:szCs w:val="21"/>
          <w:lang w:val="sq-AL"/>
        </w:rPr>
        <w:t xml:space="preserve"> jurisprudenc</w:t>
      </w:r>
      <w:r w:rsidRPr="00F94F62">
        <w:rPr>
          <w:sz w:val="21"/>
          <w:szCs w:val="21"/>
          <w:lang w:val="sq-AL"/>
        </w:rPr>
        <w:t>ë</w:t>
      </w:r>
      <w:r w:rsidRPr="00F94F62">
        <w:rPr>
          <w:bCs/>
          <w:sz w:val="21"/>
          <w:szCs w:val="21"/>
          <w:lang w:val="sq-AL"/>
        </w:rPr>
        <w:t>n e saj ka theksuar se p</w:t>
      </w:r>
      <w:r w:rsidRPr="00F94F62">
        <w:rPr>
          <w:sz w:val="21"/>
          <w:szCs w:val="21"/>
          <w:lang w:val="sq-AL"/>
        </w:rPr>
        <w:t>roporcionalitetin e një kufizimi Gjykata e vlerëson rast pas rasti, duke pasur parasysh disa aspekte si balancën mes së drejtës së kufizuar dhe interesit publik ose mbrojtjes së të drejtave të të tjerëve, mjetin e përdorur në raport me gjendjen që e ka diktuar atë, të drejtën e cenuar dhe synimin që kërkon të arrijë legjislatori. Këto aspekte nuk duhet të analizohen veç e ve</w:t>
      </w:r>
      <w:r w:rsidRPr="00F94F62">
        <w:rPr>
          <w:sz w:val="21"/>
          <w:szCs w:val="21"/>
          <w:lang w:val="sq-AL" w:eastAsia="ja-JP"/>
        </w:rPr>
        <w:t>ç,</w:t>
      </w:r>
      <w:r w:rsidRPr="00F94F62">
        <w:rPr>
          <w:sz w:val="21"/>
          <w:szCs w:val="21"/>
          <w:lang w:val="sq-AL"/>
        </w:rPr>
        <w:t xml:space="preserve"> por të gërshetuara me njëra-tjetrën (</w:t>
      </w:r>
      <w:r w:rsidRPr="00F94F62">
        <w:rPr>
          <w:i/>
          <w:sz w:val="21"/>
          <w:szCs w:val="21"/>
          <w:lang w:val="sq-AL"/>
        </w:rPr>
        <w:t>shih vendimin nr. 12, datë</w:t>
      </w:r>
      <w:r w:rsidRPr="00F94F62">
        <w:rPr>
          <w:bCs/>
          <w:i/>
          <w:sz w:val="21"/>
          <w:szCs w:val="21"/>
          <w:lang w:val="sq-AL"/>
        </w:rPr>
        <w:t xml:space="preserve"> 14.4.2010 të Gjykatës Kushtetuese</w:t>
      </w:r>
      <w:r w:rsidRPr="00F94F62">
        <w:rPr>
          <w:bCs/>
          <w:sz w:val="21"/>
          <w:szCs w:val="21"/>
          <w:lang w:val="sq-AL"/>
        </w:rPr>
        <w:t>)</w:t>
      </w:r>
      <w:r w:rsidRPr="00F94F62">
        <w:rPr>
          <w:i/>
          <w:sz w:val="21"/>
          <w:szCs w:val="21"/>
          <w:lang w:val="sq-AL"/>
        </w:rPr>
        <w:t xml:space="preserve">. </w:t>
      </w:r>
    </w:p>
    <w:p w:rsidR="00B47E2E" w:rsidRPr="00F94F62" w:rsidRDefault="00B47E2E" w:rsidP="00B47E2E">
      <w:pPr>
        <w:pStyle w:val="Paragrafi"/>
        <w:rPr>
          <w:i/>
          <w:sz w:val="21"/>
          <w:szCs w:val="21"/>
          <w:lang w:val="sq-AL"/>
        </w:rPr>
      </w:pPr>
      <w:r w:rsidRPr="00F94F62">
        <w:rPr>
          <w:sz w:val="21"/>
          <w:szCs w:val="21"/>
          <w:lang w:val="sq-AL"/>
        </w:rPr>
        <w:t>32. Në çështjen në shqyrtim, balanca mes së drejtës së kufizuar dhe interesit publik</w:t>
      </w:r>
      <w:r w:rsidRPr="00F94F62">
        <w:rPr>
          <w:i/>
          <w:sz w:val="21"/>
          <w:szCs w:val="21"/>
          <w:lang w:val="sq-AL"/>
        </w:rPr>
        <w:t>,</w:t>
      </w:r>
      <w:r w:rsidRPr="00F94F62">
        <w:rPr>
          <w:sz w:val="21"/>
          <w:szCs w:val="21"/>
          <w:lang w:val="sq-AL"/>
        </w:rPr>
        <w:t xml:space="preserve"> nuk është gjë tjetër veçse</w:t>
      </w:r>
      <w:r w:rsidRPr="00F94F62">
        <w:rPr>
          <w:i/>
          <w:sz w:val="21"/>
          <w:szCs w:val="21"/>
          <w:lang w:val="sq-AL"/>
        </w:rPr>
        <w:t xml:space="preserve"> </w:t>
      </w:r>
      <w:r w:rsidRPr="00F94F62">
        <w:rPr>
          <w:sz w:val="21"/>
          <w:szCs w:val="21"/>
          <w:lang w:val="sq-AL"/>
        </w:rPr>
        <w:t>gjetja nga legjislatori e pikës së</w:t>
      </w:r>
      <w:r w:rsidRPr="00F94F62">
        <w:rPr>
          <w:i/>
          <w:sz w:val="21"/>
          <w:szCs w:val="21"/>
          <w:lang w:val="sq-AL"/>
        </w:rPr>
        <w:t xml:space="preserve"> </w:t>
      </w:r>
      <w:r w:rsidRPr="00F94F62">
        <w:rPr>
          <w:sz w:val="21"/>
          <w:szCs w:val="21"/>
          <w:lang w:val="sq-AL"/>
        </w:rPr>
        <w:t xml:space="preserve">ekuilibrit midis së drejtës së shtetit për të siguruar rendin publik e shoqëror nga njëra anë, dhe mbrojtjes së të drejtave dhe lirive të individit nga ana tjetër. Për këtë arsye sanksionet penale, për shkak të kufizimeve që përcaktojnë në të drejtat dhe liritë themelore të njeriut, parashikohen vetëm për ato lloj veprimesh ose mosveprimesh, të cilat, në përputhje me parimin e proporcionalitetit, të jenë të krahasueshme për nga rëndësia me vlerat që mbrojnë. Është e vërtetë se është në diskrecionin e ligjvënësit vlerësimi i mjetit të zgjedhur për ndëshkimin e shkelësve të ligjit dhe qëllimit që kërkohet të arrihet, por, kur është fjala për parashikimin e dispozitave penale dhe sanksioneve përkatëse si </w:t>
      </w:r>
      <w:r w:rsidRPr="00F94F62">
        <w:rPr>
          <w:i/>
          <w:sz w:val="21"/>
          <w:szCs w:val="21"/>
          <w:lang w:val="sq-AL"/>
        </w:rPr>
        <w:t>“ultima ratio”,</w:t>
      </w:r>
      <w:r w:rsidRPr="00F94F62">
        <w:rPr>
          <w:sz w:val="21"/>
          <w:szCs w:val="21"/>
          <w:lang w:val="sq-AL"/>
        </w:rPr>
        <w:t xml:space="preserve"> Gjykata çmon se ligjvënësi duhet të udhëhiqet nga parimet kushtetuese dhe funksionet që karakterizojnë dënimet penale. Ndërkohë, i përket Gjykatës Kushtetuese të analizojë proporcionalitetin e kësaj mase në raport me gjendjen dhe me shkeljet për të cilat është parashikuar dhënia e tyre (</w:t>
      </w:r>
      <w:r w:rsidRPr="00F94F62">
        <w:rPr>
          <w:i/>
          <w:sz w:val="21"/>
          <w:szCs w:val="21"/>
          <w:lang w:val="sq-AL"/>
        </w:rPr>
        <w:t>shih vendimin nr. 12, datë</w:t>
      </w:r>
      <w:r w:rsidRPr="00F94F62">
        <w:rPr>
          <w:bCs/>
          <w:i/>
          <w:sz w:val="21"/>
          <w:szCs w:val="21"/>
          <w:lang w:val="sq-AL"/>
        </w:rPr>
        <w:t xml:space="preserve"> 14.4.2010 të Gjykatës Kushtetuese</w:t>
      </w:r>
      <w:r w:rsidRPr="00F94F62">
        <w:rPr>
          <w:bCs/>
          <w:sz w:val="21"/>
          <w:szCs w:val="21"/>
          <w:lang w:val="sq-AL"/>
        </w:rPr>
        <w:t>)</w:t>
      </w:r>
      <w:r w:rsidRPr="00F94F62">
        <w:rPr>
          <w:i/>
          <w:sz w:val="21"/>
          <w:szCs w:val="21"/>
          <w:lang w:val="sq-AL"/>
        </w:rPr>
        <w:t xml:space="preserve">. </w:t>
      </w:r>
    </w:p>
    <w:p w:rsidR="00B47E2E" w:rsidRPr="00F94F62" w:rsidRDefault="00B47E2E" w:rsidP="00B47E2E">
      <w:pPr>
        <w:pStyle w:val="Paragrafi"/>
        <w:rPr>
          <w:sz w:val="21"/>
          <w:szCs w:val="21"/>
          <w:lang w:val="sq-AL"/>
        </w:rPr>
      </w:pPr>
      <w:r w:rsidRPr="00F94F62">
        <w:rPr>
          <w:sz w:val="21"/>
          <w:szCs w:val="21"/>
          <w:lang w:val="sq-AL"/>
        </w:rPr>
        <w:t xml:space="preserve">33. Parimi i proporcionalitetit rrjedh nga parimi i shtetit të së drejtës, në fakt nga vetë thelbi i të drejtave themelore, sidomos i lirisë personale, të cilat duhet të kufizohen nga pushteti shtetëror vetëm në atë masë sa të jetë e domosdoshme për mbrojtjen e interesave publikë. Pra, rëndësi të veçantë në fushën penale, sidomos në atë të parashikimit të dënimeve dhe ekzekutimit të tyre, zë mbrojtja e të drejtave të njeriut. Kjo do të thotë se edhe pse prej kohësh e drejta penale ka detyrën e mbrojtjes së bazave të një bashkëjetese të rregulluar në shoqëri, ajo nuk është mjeti kryesor i mbrojtjes ligjore me gjithë karakterin e saj më të fuqishëm. Si pasojë, përdorimi i saj duhet t’u nënshtrohet kërkesave të parimit të proporcionalitetit. Për këtë arsye, neni 1, paragrafi 1, i Ligjit Themelor Gjerman, përcakton konceptin e thelbit të dënimit dhe raportin e fajit me dënimin, në kuptimin që çdo dënim duhet të jetë në një raport të drejtë me rrezikshmërinë e veprës penale dhe me shkallën e fajit të autorit </w:t>
      </w:r>
      <w:r w:rsidRPr="00F94F62">
        <w:rPr>
          <w:i/>
          <w:sz w:val="21"/>
          <w:szCs w:val="21"/>
          <w:lang w:val="sq-AL"/>
        </w:rPr>
        <w:t>(shih vendimet BVerfGE 19,342; BVerfGE 88, 203; BVerfGE 45, 187 të Gjykatës Kushtetuese Gjermane)</w:t>
      </w:r>
      <w:r w:rsidRPr="00F94F62">
        <w:rPr>
          <w:sz w:val="21"/>
          <w:szCs w:val="21"/>
          <w:lang w:val="sq-AL"/>
        </w:rPr>
        <w:t xml:space="preserve">. </w:t>
      </w:r>
    </w:p>
    <w:p w:rsidR="00B47E2E" w:rsidRPr="00F94F62" w:rsidRDefault="00B47E2E" w:rsidP="00B47E2E">
      <w:pPr>
        <w:pStyle w:val="Paragrafi"/>
        <w:rPr>
          <w:sz w:val="21"/>
          <w:szCs w:val="21"/>
          <w:lang w:val="sq-AL"/>
        </w:rPr>
      </w:pPr>
      <w:r w:rsidRPr="00F94F62">
        <w:rPr>
          <w:sz w:val="21"/>
          <w:szCs w:val="21"/>
          <w:lang w:val="sq-AL"/>
        </w:rPr>
        <w:t xml:space="preserve">34. Në përputhje me parimet e lartpërmendura, të cilat pasqyrohen edhe në legjislacionin penal shqiptar (shih paragrafin 30 të këtij vendimi), dhe me frymën e Kushtetutës, Gjykata Kushtetuese, në vendimin </w:t>
      </w:r>
      <w:r w:rsidRPr="00F94F62">
        <w:rPr>
          <w:sz w:val="21"/>
          <w:szCs w:val="21"/>
          <w:lang w:val="sq-AL"/>
        </w:rPr>
        <w:lastRenderedPageBreak/>
        <w:t>nr. 13, datë 29.5.1997, ka çmuar se parashikimi i sanksioneve (dënimeve) fikse bie ndesh me një sërë parimesh të Pjesës së Përgjithshme të Kodit Penal, sidomos për mënyrën e caktimit të dënimit, për rrethanat lehtësuese e rënduese (nenet 47-50) dhe i heqin gjykatës mundësinë e individualizimit të dënimit, duke cunguar kështu funksionin e saj në dhënien e drejtësisë</w:t>
      </w:r>
      <w:r w:rsidRPr="00F94F62">
        <w:rPr>
          <w:i/>
          <w:sz w:val="21"/>
          <w:szCs w:val="21"/>
          <w:lang w:val="sq-AL"/>
        </w:rPr>
        <w:t>.</w:t>
      </w:r>
    </w:p>
    <w:p w:rsidR="00B47E2E" w:rsidRPr="00F94F62" w:rsidRDefault="00B47E2E" w:rsidP="00B47E2E">
      <w:pPr>
        <w:pStyle w:val="Paragrafi"/>
        <w:rPr>
          <w:sz w:val="21"/>
          <w:szCs w:val="21"/>
          <w:lang w:val="sq-AL"/>
        </w:rPr>
      </w:pPr>
      <w:r w:rsidRPr="00F94F62">
        <w:rPr>
          <w:sz w:val="21"/>
          <w:szCs w:val="21"/>
          <w:lang w:val="sq-AL"/>
        </w:rPr>
        <w:t xml:space="preserve">35. Në këtë kuadër, duke qenë se sanksionet penale lejojnë një ndërhyrje intensive tek të drejtat themelore të njeriut, më poshtë Gjykata do të analizojë, nëse parashikimi i dy dënimeve kryesore, diametralisht të kundërta ndërmjet tyre për nga qëllimet që ndjekin, në të njëjtën vepër penale është në përpjesëtim me gjendjen që i ka diktuar. Pra, e thënë ndryshe, nëse ashpërsia e dënimit (parashikimi i dy dënimeve kryesore), është proporcionale në raport me rëndësinë e shkeljes konkrete dhe me pasojat e mundshme që mund të vijnë prej saj. </w:t>
      </w:r>
    </w:p>
    <w:p w:rsidR="00B47E2E" w:rsidRPr="00F94F62" w:rsidRDefault="00B47E2E" w:rsidP="00B47E2E">
      <w:pPr>
        <w:pStyle w:val="Paragrafi"/>
        <w:rPr>
          <w:sz w:val="21"/>
          <w:szCs w:val="21"/>
          <w:lang w:val="sq-AL"/>
        </w:rPr>
      </w:pPr>
      <w:r w:rsidRPr="00F94F62">
        <w:rPr>
          <w:sz w:val="21"/>
          <w:szCs w:val="21"/>
          <w:lang w:val="sq-AL"/>
        </w:rPr>
        <w:t xml:space="preserve">36. Gjykata konstaton se ligjvënësi, në periudha kohore të ndryshme, ka ndërhyrë në legjislacionin penal, si duke përcaktuar vepra të reja penale të dënueshme, ashtu edhe duke ndryshuar llojet e masave të dënimit, për t’iu përgjigjur shqetësimeve të shoqërisë si pasojë e zhvillimit të kriminalitetit, në veçanti krimit të organizuar. Në këto kushte, ligjvënësi ka sanksionuar dy dënime kryesore për autorët e disa veprave penale, duke synuar kështu të jepet drejtësi dhe të mbrohet e drejta e shtetit për të siguruar rendin publik e shoqëror, por edhe të rritet efektiviteti i masave shtrënguese ndaj autorëve të veprave penale, si një mënyrë për të dekurajuar shtetasit që të ndërmarrin veprime në kundërshtim me normat penale. </w:t>
      </w:r>
    </w:p>
    <w:p w:rsidR="00B47E2E" w:rsidRPr="00F94F62" w:rsidRDefault="00B47E2E" w:rsidP="00B47E2E">
      <w:pPr>
        <w:pStyle w:val="Paragrafi"/>
        <w:rPr>
          <w:sz w:val="21"/>
          <w:szCs w:val="21"/>
          <w:lang w:val="sq-AL"/>
        </w:rPr>
      </w:pPr>
      <w:r w:rsidRPr="00F94F62">
        <w:rPr>
          <w:sz w:val="21"/>
          <w:szCs w:val="21"/>
          <w:lang w:val="sq-AL"/>
        </w:rPr>
        <w:t xml:space="preserve">37. Nga ana tjetër, Gjykata çmon se ndërhyrje të tilla të ligjvënësit duhet të jenë realisht efektive, në mënyrë që t’i shërbejnë më gjerë edhe parandalimit të veprave penale. Gjykata konstaton se eksperienca ka treguar që ashpërsimi joproporcional i sanksioneve penale nuk ka pasur gjithmonë ndikim pozitiv ose ndikimi ka qenë i papërfillshëm në arritjen e qëllimeve të legjislacionit penal. </w:t>
      </w:r>
    </w:p>
    <w:p w:rsidR="00B47E2E" w:rsidRPr="00F94F62" w:rsidRDefault="00B47E2E" w:rsidP="00B47E2E">
      <w:pPr>
        <w:pStyle w:val="Paragrafi"/>
        <w:rPr>
          <w:sz w:val="21"/>
          <w:szCs w:val="21"/>
          <w:lang w:val="sq-AL"/>
        </w:rPr>
      </w:pPr>
      <w:r w:rsidRPr="00F94F62">
        <w:rPr>
          <w:sz w:val="21"/>
          <w:szCs w:val="21"/>
          <w:lang w:val="sq-AL"/>
        </w:rPr>
        <w:t xml:space="preserve">38. Gjithsesi, Gjykata çmon se ndonëse ligjvënësi, në përcaktimin e veprave penale dhe llojit të dënimit ka fushë të gjerë veprimi, kjo liri është e kufizuar kur është fjala për vlerësimin e fajit, si element i domosdoshëm i përgjegjësisë penale dhe, në raport me shkallën e tij, për caktimin e llojit dhe masës së dënimit konkret, pasi këto elemente janë të vlerësueshme vetëm nga gjykatat e zakonshme, rast pas rasti. </w:t>
      </w:r>
    </w:p>
    <w:p w:rsidR="00B47E2E" w:rsidRPr="00F94F62" w:rsidRDefault="00B47E2E" w:rsidP="00B47E2E">
      <w:pPr>
        <w:pStyle w:val="Paragrafi"/>
        <w:rPr>
          <w:sz w:val="21"/>
          <w:szCs w:val="21"/>
          <w:lang w:val="sq-AL"/>
        </w:rPr>
      </w:pPr>
      <w:r w:rsidRPr="00F94F62">
        <w:rPr>
          <w:sz w:val="21"/>
          <w:szCs w:val="21"/>
          <w:lang w:val="sq-AL"/>
        </w:rPr>
        <w:t>39. Si pasojë, gjatë përcaktimit të dënimit, organi legjislativ nuk duhet të ketë parasysh vetëm parimin e parashikimit me ligj të dënimit dhe atë të sigurisë juridike. Ai duhet të marrë parasysh mjaftueshëm edhe konceptin e fajit në kuadër të parimit të shtetit të së drejtës dhe, nëpërmjet formulimit të sanksionit, t’i mundësojë gjyqtarit dhënien e një gjykimi të drejtë dhe proporcional në raste konkrete. Koncepti i fajit dhe përcaktueshmëria e pasojave juridike janë në një marrëdhënie tensioni njëra me tjetrën, marrëdhënie kjo për të cilën duhet gjetur një balancë funksionale kushtetuese (</w:t>
      </w:r>
      <w:r w:rsidRPr="00F94F62">
        <w:rPr>
          <w:i/>
          <w:sz w:val="21"/>
          <w:szCs w:val="21"/>
          <w:lang w:val="sq-AL"/>
        </w:rPr>
        <w:t>shih vendimin BVerfGE 105, 135 të Gjykatës Kushtetuese Gjermane)</w:t>
      </w:r>
      <w:r w:rsidRPr="00F94F62">
        <w:rPr>
          <w:sz w:val="21"/>
          <w:szCs w:val="21"/>
          <w:lang w:val="sq-AL"/>
        </w:rPr>
        <w:t xml:space="preserve">. </w:t>
      </w:r>
    </w:p>
    <w:p w:rsidR="00B47E2E" w:rsidRPr="00F94F62" w:rsidRDefault="00B47E2E" w:rsidP="00B47E2E">
      <w:pPr>
        <w:pStyle w:val="Paragrafi"/>
        <w:rPr>
          <w:sz w:val="21"/>
          <w:szCs w:val="21"/>
          <w:lang w:val="sq-AL"/>
        </w:rPr>
      </w:pPr>
      <w:r w:rsidRPr="00F94F62">
        <w:rPr>
          <w:sz w:val="21"/>
          <w:szCs w:val="21"/>
          <w:lang w:val="sq-AL"/>
        </w:rPr>
        <w:t xml:space="preserve">40. Nga sa më lart, Gjykata vlerëson se dënimi penal është rezultat i vlerësimit të rrezikshmërisë shoqërore të veprës penale nga njëra anë dhe shkallës së fajit të autorit të saj nga ana tjetër. Në këtë drejtim, Gjykata çmon se përcaktimi i veprave penale dhe llojeve të dënimeve janë në diskrecion të ligjvënësit, ndërsa individualizimi i tyre, rast pas rasti, është në diskrecion të gjykatës, e cila duke shqyrtuar gjithë elementet juridike të veprës penale, shkallën e fajit dhe pasojat e ardhura nga vepra penale, cakton llojin dhe masën e dënimit për autorët e veprave penale. Në mbështetje të këtyre argumenteve mjafton të analizojmë mënyrën se si caktohet dënimi sipas Kodit Penal. Sipas nenit 47 të këtij Kodi, në caktimin e dënimit gjykata merr parasysh rrezikshmërinë e veprës penale, të autorit të saj, shkallën e fajit, si dhe rrethanat lehtësuese dhe rënduese. </w:t>
      </w:r>
    </w:p>
    <w:p w:rsidR="00B47E2E" w:rsidRPr="00F94F62" w:rsidRDefault="00B47E2E" w:rsidP="00B47E2E">
      <w:pPr>
        <w:pStyle w:val="Paragrafi"/>
        <w:rPr>
          <w:sz w:val="21"/>
          <w:szCs w:val="21"/>
          <w:lang w:val="sq-AL"/>
        </w:rPr>
      </w:pPr>
      <w:r w:rsidRPr="00F94F62">
        <w:rPr>
          <w:sz w:val="21"/>
          <w:szCs w:val="21"/>
          <w:lang w:val="sq-AL"/>
        </w:rPr>
        <w:t xml:space="preserve">41. Gjithashtu, në bazë të formulimit aktual të nenit 34, paragrafi i gjashtë, të KP-së, të ndryshuar me ligjin nr. 23, datë 1.3.2012, gjykata, në momentin e dhënies së dënimit me gjobë, duhet të hetojë paraprakisht rreth aftësisë paguese të personit, e cila përcaktohet nga gjendja personale dhe pasurore e personit, si dhe nga rrethana të tjera që lidhen me to. </w:t>
      </w:r>
    </w:p>
    <w:p w:rsidR="00B47E2E" w:rsidRPr="00F94F62" w:rsidRDefault="00B47E2E" w:rsidP="00B47E2E">
      <w:pPr>
        <w:pStyle w:val="Paragrafi"/>
        <w:rPr>
          <w:sz w:val="21"/>
          <w:szCs w:val="21"/>
          <w:lang w:val="sq-AL"/>
        </w:rPr>
      </w:pPr>
      <w:r w:rsidRPr="00F94F62">
        <w:rPr>
          <w:sz w:val="21"/>
          <w:szCs w:val="21"/>
          <w:lang w:val="sq-AL"/>
        </w:rPr>
        <w:t xml:space="preserve">42. Si rrjedhojë, përcaktimi paraprakisht nga ligjvënësi i dënimit me gjobë, si dënim kryesor, krahas dënimit me heqje lirie në një sërë dispozitash penale, ndërhyn në atributet ekskluzive të gjykatës lidhur me caktimin e dënimit. </w:t>
      </w:r>
    </w:p>
    <w:p w:rsidR="00B47E2E" w:rsidRPr="00F94F62" w:rsidRDefault="00B47E2E" w:rsidP="00B47E2E">
      <w:pPr>
        <w:pStyle w:val="Paragrafi"/>
        <w:rPr>
          <w:sz w:val="21"/>
          <w:szCs w:val="21"/>
          <w:lang w:val="sq-AL"/>
        </w:rPr>
      </w:pPr>
      <w:r w:rsidRPr="00F94F62">
        <w:rPr>
          <w:sz w:val="21"/>
          <w:szCs w:val="21"/>
          <w:lang w:val="sq-AL"/>
        </w:rPr>
        <w:t xml:space="preserve">43. Po ashtu, Gjykata konstaton se deri në hyrjen në fuqi të paragrafit të fundit të nenit 29 të KP-së, i cili parashikon dy dënime kryesore, ligjvënësi ka mbajtur parasysh këtë ekuilibër të domosdoshëm midis parashikimit të llojeve të veprave penale dhe marzheve të dënimit si atribut i tij me individualizimin e veprës penale, shkallës së fajit dhe llojit dhe masës së dënimit, për efekt të përgjegjësisë penale, si atribut ekskluziv i gjykatës. Në këtë linjë ka shkuar edhe plotësimi që iu bë nenit 34 të KP-së, me ligjin nr. 8733, datë 24.1.2001, duke i shtuar paragrafin e pestë, i cili i njeh të drejtën gjykatës të caktojë krahas dënimit me burgim edhe </w:t>
      </w:r>
      <w:r w:rsidRPr="00F94F62">
        <w:rPr>
          <w:sz w:val="21"/>
          <w:szCs w:val="21"/>
          <w:lang w:val="sq-AL"/>
        </w:rPr>
        <w:lastRenderedPageBreak/>
        <w:t xml:space="preserve">dënimin me gjobë kur vepra penale passjell përfitime materiale për autorin e saj. </w:t>
      </w:r>
    </w:p>
    <w:p w:rsidR="00B47E2E" w:rsidRPr="00F94F62" w:rsidRDefault="00B47E2E" w:rsidP="00B47E2E">
      <w:pPr>
        <w:pStyle w:val="Paragrafi"/>
        <w:rPr>
          <w:sz w:val="21"/>
          <w:szCs w:val="21"/>
          <w:lang w:val="sq-AL"/>
        </w:rPr>
      </w:pPr>
      <w:r w:rsidRPr="00F94F62">
        <w:rPr>
          <w:sz w:val="21"/>
          <w:szCs w:val="21"/>
          <w:lang w:val="sq-AL"/>
        </w:rPr>
        <w:t>44. Gjykata, gjithashtu, çmon se ligjvënësi, përpara ndërhyrjeve të lartpërmendura, për arritjen e qëllimeve të tij, ka parashikuar, në legjislacionin penal, krahas dënimeve kryesore dhe ato plotësuese dhe, në kuadër të karakterit demokratik të Kodit Penal, si dhe si shprehje e parimit të humanizmit që e karakterizon, edhe dënimet alternative të dënimit me burgim (nenet 58-65 të KP-së).</w:t>
      </w:r>
    </w:p>
    <w:p w:rsidR="00B47E2E" w:rsidRPr="00F94F62" w:rsidRDefault="00B47E2E" w:rsidP="00B47E2E">
      <w:pPr>
        <w:pStyle w:val="Paragrafi"/>
        <w:rPr>
          <w:sz w:val="21"/>
          <w:szCs w:val="21"/>
          <w:lang w:val="sq-AL"/>
        </w:rPr>
      </w:pPr>
      <w:r w:rsidRPr="00F94F62">
        <w:rPr>
          <w:sz w:val="21"/>
          <w:szCs w:val="21"/>
          <w:lang w:val="sq-AL"/>
        </w:rPr>
        <w:t>45. Nga sa më lart, Gjykata vëren se, pavarësisht ndërhyrjes së ligjvënësit për parashikimin e dy dënimeve kryesore, gjykatat e zakonshme, në bazë të sanksionimit, në Pjesën e Përgjithshme të Kodit Penal, të dënimeve plotësuese, si dhe në bazë të parashikimit të nenit 34, paragrafi i pestë, të KP-së, kanë pasur dhe kanë mundësinë e ashpërsimit të dënimit kryesor me një ose disa dënime plotësuese ndaj atyre autorëve të veprave penale rrezikshmëria e të cilëve është e lartë ose të përcaktojnë edhe një masë ndëshkimi me gjobë (në bazë të aftësisë paguese të personit) ndaj autorëve të atyre veprave penale që kryejnë krime për motive të fitimit të pasurive ose të sigurimit të çdo lloj përfitimi tjetër material, duke realizuar, në këtë mënyrë, qëllimin e ligjvënësit në luftën kundër kriminalitetit nëpërmjet ashpërsimit të masave ndëshkuese. Përpos kësaj, gjykatat e zakonshme, për të garantuar pagimin e dëmeve pasurore që ka pësuar shteti apo i dëmtuari, apo për të siguruar pagimin e shpenzimeve të procedimit etj., mund të vendosin masa të sigurimit pasuror, si sekuestroja konservative.</w:t>
      </w:r>
    </w:p>
    <w:p w:rsidR="00B47E2E" w:rsidRPr="00F94F62" w:rsidRDefault="00B47E2E" w:rsidP="00B47E2E">
      <w:pPr>
        <w:pStyle w:val="Paragrafi"/>
        <w:rPr>
          <w:sz w:val="21"/>
          <w:szCs w:val="21"/>
          <w:lang w:val="sq-AL"/>
        </w:rPr>
      </w:pPr>
      <w:r w:rsidRPr="00F94F62">
        <w:rPr>
          <w:sz w:val="21"/>
          <w:szCs w:val="21"/>
          <w:lang w:val="sq-AL"/>
        </w:rPr>
        <w:t xml:space="preserve">46. Në këtë rast, Gjykata, duke qenë se shkaku i ashpërsimit të dënimit nga ana e ligjvënësit dhe parashikimi i njëkohshëm i dy dënimeve kryesore ka qenë lufta kundër krimit të organizuar, çmon me vend të analizojë dënimin e përcaktuar për kryerjen e veprave penale nga organizata kriminale dhe grupi i strukturuar kriminal, të parashikuar nga neni 28 i KP-së. Ajo vëren se neni 334 i KP-së, në vetvete realizon qëllimin e ligjvënësit për këto vepra, duke sanksionuar një dënim shtesë prej pesë vjetësh burgim, si dhe gjobë në masën një të tretën. </w:t>
      </w:r>
    </w:p>
    <w:p w:rsidR="00B47E2E" w:rsidRPr="00F94F62" w:rsidRDefault="00B47E2E" w:rsidP="00B47E2E">
      <w:pPr>
        <w:pStyle w:val="Paragrafi"/>
        <w:rPr>
          <w:sz w:val="21"/>
          <w:szCs w:val="21"/>
          <w:lang w:val="sq-AL"/>
        </w:rPr>
      </w:pPr>
      <w:r w:rsidRPr="00F94F62">
        <w:rPr>
          <w:sz w:val="21"/>
          <w:szCs w:val="21"/>
          <w:lang w:val="sq-AL"/>
        </w:rPr>
        <w:t xml:space="preserve">47. Nga sa më lart, Gjykata çmon se, në vetvete, secili prej dënimeve kryesore të parashikuara nga neni 29 i KP-së, të zbatuara kur është nevoja së bashku me dënimet plotësuese, si dhe me dënimin me gjobë sipas parashikimit të nenit 34, paragrafi i pestë dhe i gjashtë, të KP-së, janë të mjaftueshëm në arritjen e qëllimit të dënimit penal dhe në proporcion me parimet e legjislacionit penal duke respektuar njëkohësisht parimin e ndarjes së pushteteve. </w:t>
      </w:r>
    </w:p>
    <w:p w:rsidR="00B47E2E" w:rsidRPr="00F94F62" w:rsidRDefault="00B47E2E" w:rsidP="00B47E2E">
      <w:pPr>
        <w:pStyle w:val="Paragrafi"/>
        <w:rPr>
          <w:sz w:val="21"/>
          <w:szCs w:val="21"/>
          <w:lang w:val="sq-AL"/>
        </w:rPr>
      </w:pPr>
      <w:r w:rsidRPr="00F94F62">
        <w:rPr>
          <w:sz w:val="21"/>
          <w:szCs w:val="21"/>
          <w:lang w:val="sq-AL"/>
        </w:rPr>
        <w:t xml:space="preserve">48. Për pasojë, Gjykata çmon se parashikimi </w:t>
      </w:r>
      <w:r w:rsidRPr="00F94F62">
        <w:rPr>
          <w:i/>
          <w:sz w:val="21"/>
          <w:szCs w:val="21"/>
          <w:lang w:val="sq-AL"/>
        </w:rPr>
        <w:t>a priori</w:t>
      </w:r>
      <w:r w:rsidRPr="00F94F62">
        <w:rPr>
          <w:sz w:val="21"/>
          <w:szCs w:val="21"/>
          <w:lang w:val="sq-AL"/>
        </w:rPr>
        <w:t xml:space="preserve"> i dy dënimeve kryesore edhe për vepra penale të tilla si: falsifikimi i vulave, stampave ose formularëve apo falsifikimi i akteve të gjendjes civile, jashtë kritereve të analizuara më lart, nuk është në proporcion me gjendjen që i ka diktuar (lufta kundër krimit të organizuar), si dhe bie ndesh me parimin e individualizimit të dënimit e si rrjedhojë me parimin e dhënies së drejtësisë nga ana e gjykatës, pasi i heq kësaj të fundit mundësinë e përcaktimit, rast pas rasti, të dënimit penal sipas rrethanave të çështjes konkrete në shqyrtim.</w:t>
      </w:r>
    </w:p>
    <w:p w:rsidR="00B47E2E" w:rsidRPr="00F94F62" w:rsidRDefault="00B47E2E" w:rsidP="00B47E2E">
      <w:pPr>
        <w:pStyle w:val="Paragrafi"/>
        <w:rPr>
          <w:sz w:val="21"/>
          <w:szCs w:val="21"/>
          <w:lang w:val="sq-AL"/>
        </w:rPr>
      </w:pPr>
      <w:r w:rsidRPr="00F94F62">
        <w:rPr>
          <w:sz w:val="21"/>
          <w:szCs w:val="21"/>
          <w:lang w:val="sq-AL"/>
        </w:rPr>
        <w:t xml:space="preserve">49. Për sa më sipër, Gjykata çmon se pretendimi i gjykatës referuese se parashikimi i dy dënimeve kryesore nga nenet 190 dhe 191 të KP-së, bie ndesh me parimin e proporcionalitetit, të sanksionuar nga neni 17 i Kushtetutës, është i bazuar. </w:t>
      </w:r>
    </w:p>
    <w:p w:rsidR="00B47E2E" w:rsidRPr="00F94F62" w:rsidRDefault="00B47E2E" w:rsidP="00B47E2E">
      <w:pPr>
        <w:pStyle w:val="Paragrafi"/>
        <w:rPr>
          <w:sz w:val="21"/>
          <w:szCs w:val="21"/>
          <w:lang w:val="sq-AL"/>
        </w:rPr>
      </w:pPr>
      <w:r w:rsidRPr="00F94F62">
        <w:rPr>
          <w:sz w:val="21"/>
          <w:szCs w:val="21"/>
          <w:lang w:val="sq-AL"/>
        </w:rPr>
        <w:t xml:space="preserve">50. Gjykata vëren se plotësimi që iu bë nenit 29 të KP-së nga ligjvënësi me ligjin nr. 9086, datë 19.6.2003, lidhur me parashikimin njëkohësisht të dënimit me burgim dhe atij me gjobë, ka shërbyer si bazë ligjore për të gjitha ndryshimet e ndërmarra më vonë në Pjesën e Posaçme të Kodit Penal për parashikimin e dy dënimeve kryesore në vepra të ndryshme penale përfshirë edhe veprat penale të parashikuara në nenet 190 dhe 191 të KP-së, objekt shqyrtimi. Në përputhje me nenin 48 të ligjit nr. </w:t>
      </w:r>
      <w:r w:rsidRPr="00F94F62">
        <w:rPr>
          <w:bCs/>
          <w:sz w:val="21"/>
          <w:szCs w:val="21"/>
          <w:lang w:val="sq-AL"/>
        </w:rPr>
        <w:t xml:space="preserve">8577, datë 10.2.2000 “Për organizimin dhe funksionimin e Gjykatës Kushtetuese të Republikës së Shqipërisë”, duke gjykuar se dispozita e mësipërme ka një lidhje të drejtpërdrejtë me objektin e këtij gjykimi, Gjykata çmon se legjitimohet të marrë në shqyrtim edhe këtë nen. </w:t>
      </w:r>
    </w:p>
    <w:p w:rsidR="00B47E2E" w:rsidRPr="00F94F62" w:rsidRDefault="00B47E2E" w:rsidP="00B47E2E">
      <w:pPr>
        <w:pStyle w:val="Paragrafi"/>
        <w:rPr>
          <w:sz w:val="21"/>
          <w:szCs w:val="21"/>
          <w:lang w:val="sq-AL"/>
        </w:rPr>
      </w:pPr>
      <w:r w:rsidRPr="00F94F62">
        <w:rPr>
          <w:sz w:val="21"/>
          <w:szCs w:val="21"/>
          <w:lang w:val="sq-AL"/>
        </w:rPr>
        <w:t xml:space="preserve">51. Gjykata konstaton se dispozita e sipërpërmendur, mbart të njëjtat probleme kushtetutshmërie të neneve 190 dhe 191 të KP-së, të konsideruara më lart si të papajtueshme me Kushtetutën. </w:t>
      </w:r>
    </w:p>
    <w:p w:rsidR="00B47E2E" w:rsidRPr="00F94F62" w:rsidRDefault="00B47E2E" w:rsidP="00B47E2E">
      <w:pPr>
        <w:pStyle w:val="Paragrafi"/>
        <w:rPr>
          <w:sz w:val="21"/>
          <w:szCs w:val="21"/>
          <w:lang w:val="sq-AL"/>
        </w:rPr>
      </w:pPr>
      <w:r w:rsidRPr="00F94F62">
        <w:rPr>
          <w:sz w:val="21"/>
          <w:szCs w:val="21"/>
          <w:lang w:val="sq-AL"/>
        </w:rPr>
        <w:t>52. Si konkluzion, Gjykata arrin në përfundimin se nenet 29, paragrafi i fundit, 190 dhe 191, të KP-së që sanksionojnë parashikimin e njëkohshëm të dy dënimeve kryesore, atij me burgim dhe me gjobë, vijnë në kundërshtim me nenin 17 të Kushtetutës dhe si të tillë duhen shfuqizuar.</w:t>
      </w:r>
    </w:p>
    <w:p w:rsidR="00B47E2E" w:rsidRPr="00F94F62" w:rsidRDefault="00B47E2E" w:rsidP="00B47E2E">
      <w:pPr>
        <w:pStyle w:val="Paragrafi"/>
        <w:rPr>
          <w:b/>
          <w:i/>
          <w:sz w:val="21"/>
          <w:szCs w:val="21"/>
          <w:lang w:val="sq-AL"/>
        </w:rPr>
      </w:pPr>
      <w:r w:rsidRPr="00F94F62">
        <w:rPr>
          <w:b/>
          <w:i/>
          <w:sz w:val="21"/>
          <w:szCs w:val="21"/>
          <w:lang w:val="sq-AL"/>
        </w:rPr>
        <w:t>Për pretendimet e tjera mbi antikushtetutshmërinë e neneve 190 dhe 191 të KP-së</w:t>
      </w:r>
    </w:p>
    <w:p w:rsidR="00B47E2E" w:rsidRPr="00F94F62" w:rsidRDefault="00B47E2E" w:rsidP="00B47E2E">
      <w:pPr>
        <w:pStyle w:val="Paragrafi"/>
        <w:rPr>
          <w:sz w:val="21"/>
          <w:szCs w:val="21"/>
          <w:lang w:val="sq-AL"/>
        </w:rPr>
      </w:pPr>
      <w:r w:rsidRPr="00F94F62">
        <w:rPr>
          <w:sz w:val="21"/>
          <w:szCs w:val="21"/>
          <w:lang w:val="sq-AL"/>
        </w:rPr>
        <w:t xml:space="preserve">53. Gjykata e Apelit Vlorë ka pretenduar gjithashtu, se parashikimi i dy dënimeve kryesore në nenet 190 dhe 191 të KP-së bie ndesh edhe me nenet 18 dhe 30 të Kushtetutës. </w:t>
      </w:r>
    </w:p>
    <w:p w:rsidR="00B47E2E" w:rsidRPr="00F94F62" w:rsidRDefault="00B47E2E" w:rsidP="00B47E2E">
      <w:pPr>
        <w:pStyle w:val="Paragrafi"/>
        <w:rPr>
          <w:bCs/>
          <w:sz w:val="21"/>
          <w:szCs w:val="21"/>
          <w:lang w:val="sq-AL"/>
        </w:rPr>
      </w:pPr>
      <w:r w:rsidRPr="00F94F62">
        <w:rPr>
          <w:sz w:val="21"/>
          <w:szCs w:val="21"/>
          <w:lang w:val="sq-AL"/>
        </w:rPr>
        <w:t xml:space="preserve">54. Parimi i barazisë, i parashikuar në nenin 18 të Kushtetutës, synon që të gjithë të jenë të barabartë </w:t>
      </w:r>
      <w:r w:rsidRPr="00F94F62">
        <w:rPr>
          <w:sz w:val="21"/>
          <w:szCs w:val="21"/>
          <w:lang w:val="sq-AL"/>
        </w:rPr>
        <w:lastRenderedPageBreak/>
        <w:t xml:space="preserve">përpara ligjit, jo vetëm në të drejtat themelore të parashikuara në Kushtetutë, por edhe në të drejtat e tjera ligjore. Gjykata në jurisprudencën e saj ka theksuar se ky parim kërkon që të gjitha subjektet të trajtohen në mënyrë të njëjtë, por nuk formulon ndalime që të mund të bëhen trajtime të diferencuara kur individët dhe grupet nuk ndodhen në kushte të njëjta a të ngjashme, apo kur ka justifikim të arsyeshëm e objektiv, duke vendosur një raport të arsyeshëm dhe përpjesëtimor midis mjeteve të përdorura dhe qëllimit që synohet të arrihet. </w:t>
      </w:r>
      <w:r w:rsidRPr="00F94F62">
        <w:rPr>
          <w:i/>
          <w:sz w:val="21"/>
          <w:szCs w:val="21"/>
          <w:lang w:val="sq-AL"/>
        </w:rPr>
        <w:t>(</w:t>
      </w:r>
      <w:r w:rsidRPr="00F94F62">
        <w:rPr>
          <w:bCs/>
          <w:i/>
          <w:sz w:val="21"/>
          <w:szCs w:val="21"/>
          <w:lang w:val="sq-AL"/>
        </w:rPr>
        <w:t>Shih vendimet nr. 18, datë 29.7.2008, nr. 19, datë 9.7.2009 të Gjykatës Kushtetuese.)</w:t>
      </w:r>
      <w:r w:rsidRPr="00F94F62">
        <w:rPr>
          <w:bCs/>
          <w:sz w:val="21"/>
          <w:szCs w:val="21"/>
          <w:lang w:val="sq-AL"/>
        </w:rPr>
        <w:t xml:space="preserve"> </w:t>
      </w:r>
    </w:p>
    <w:p w:rsidR="00B47E2E" w:rsidRPr="00F94F62" w:rsidRDefault="00B47E2E" w:rsidP="00B47E2E">
      <w:pPr>
        <w:pStyle w:val="Paragrafi"/>
        <w:rPr>
          <w:sz w:val="21"/>
          <w:szCs w:val="21"/>
          <w:lang w:val="sq-AL"/>
        </w:rPr>
      </w:pPr>
      <w:r w:rsidRPr="00F94F62">
        <w:rPr>
          <w:sz w:val="21"/>
          <w:szCs w:val="21"/>
          <w:lang w:val="sq-AL"/>
        </w:rPr>
        <w:t xml:space="preserve">55. Gjykata, nisur nga argumentet e parashtruara në kërkesë nga gjykata referuese, referimi që ajo bën te neni 18 i Kushtetutës, pa analizuar ekzistencën e pabarazisë për arsye të papërligjura, ndërmjet autorëve të veprave penale që kanë shkelur ligjin penal, të cilët i nënshtrohen vetëm një dënimi kryesor, dhe atyre që u nënshtrohen dy dënimeve kryesore, çmon se pretendimi është i pamjaftueshëm për të provuar dhe për të arritur në përfundimin mbi antikushtetutshmërinë e dispozitave në shqyrtim. </w:t>
      </w:r>
    </w:p>
    <w:p w:rsidR="00B47E2E" w:rsidRPr="00F94F62" w:rsidRDefault="00B47E2E" w:rsidP="00B47E2E">
      <w:pPr>
        <w:pStyle w:val="Paragrafi"/>
        <w:rPr>
          <w:sz w:val="21"/>
          <w:szCs w:val="21"/>
          <w:lang w:val="sq-AL"/>
        </w:rPr>
      </w:pPr>
      <w:r w:rsidRPr="00F94F62">
        <w:rPr>
          <w:sz w:val="21"/>
          <w:szCs w:val="21"/>
          <w:lang w:val="sq-AL"/>
        </w:rPr>
        <w:t xml:space="preserve">56. Lidhur me pretendimin për cenimin e parimit të prezumimit të pafajësisë, Kushtetuta parashikon se kushdo quhet i pafajshëm, përderisa nuk i është provuar fajësia me vendim gjyqësor të formës së prerë (neni 30 i Kushtetutës). Gjykata është shprehur se prezumimi i pafajësisë është një nga elementet përbërëse të procesit të rregullt ligjor. Sipas nenit 30 të Kushtetutës, kushdo quhet i pafajshëm, përderisa nuk i është provuar fajësia me vendim gjyqësor të formës së prerë. Prezumimi i pafajësisë përbëhet nga disa aspekte, njëri prej të cilit është </w:t>
      </w:r>
      <w:r w:rsidRPr="00F94F62">
        <w:rPr>
          <w:i/>
          <w:sz w:val="21"/>
          <w:szCs w:val="21"/>
          <w:lang w:val="sq-AL"/>
        </w:rPr>
        <w:t>in dubio pro reo</w:t>
      </w:r>
      <w:r w:rsidRPr="00F94F62">
        <w:rPr>
          <w:sz w:val="21"/>
          <w:szCs w:val="21"/>
          <w:lang w:val="sq-AL"/>
        </w:rPr>
        <w:t>, pra çdo dyshim shkon në favor të të pandehurit dhe barra e provës bie kryesisht mbi organin e akuzës. Gjykata e ka interpretuar prezumimin e pafajësisë në kuptimin që gjykatat e zakonshme nuk duhet ta fillojnë procesin me bindjen se i pandehuri ka kryer krimin për të cilin akuzohet, se barra e provës i takon palës akuzuese, se çdo dyshim duhet të shkojë në favor të të pandehurit, se gjykata duhet ta mbështesë vendimin në prova të drejtpërdrejta dhe të tërthorta që duhet të provohen nga akuza (</w:t>
      </w:r>
      <w:r w:rsidRPr="00F94F62">
        <w:rPr>
          <w:i/>
          <w:sz w:val="21"/>
          <w:szCs w:val="21"/>
          <w:lang w:val="sq-AL"/>
        </w:rPr>
        <w:t>shih vendimet e Gjykatës Kushtetues:e nr. 9, datë 28.4.2004; nr. 23 datë 23.7.2009</w:t>
      </w:r>
      <w:r w:rsidRPr="00F94F62">
        <w:rPr>
          <w:sz w:val="21"/>
          <w:szCs w:val="21"/>
          <w:lang w:val="sq-AL"/>
        </w:rPr>
        <w:t xml:space="preserve">). </w:t>
      </w:r>
    </w:p>
    <w:p w:rsidR="00B47E2E" w:rsidRPr="00F94F62" w:rsidRDefault="00B47E2E" w:rsidP="00B47E2E">
      <w:pPr>
        <w:pStyle w:val="Paragrafi"/>
        <w:rPr>
          <w:sz w:val="21"/>
          <w:szCs w:val="21"/>
          <w:lang w:val="sq-AL"/>
        </w:rPr>
      </w:pPr>
      <w:r w:rsidRPr="00F94F62">
        <w:rPr>
          <w:sz w:val="21"/>
          <w:szCs w:val="21"/>
          <w:lang w:val="sq-AL"/>
        </w:rPr>
        <w:t>57. Nga sa më lart, Gjykata vlerëson se pretendimi i gjykatës referuese se parashikimi i dy dënimeve kryesore nga dispozitat objekt shqyrtimi cenon parimin e prezumimit të pafajësisë është i paargumentuar dhe se, gjithsesi, nuk ka lidhje me respektimin e këtij parimi dhe, si i tillë, rezulton i pabazuar.</w:t>
      </w:r>
    </w:p>
    <w:p w:rsidR="00B47E2E" w:rsidRPr="00F94F62" w:rsidRDefault="00B47E2E" w:rsidP="00B47E2E">
      <w:pPr>
        <w:pStyle w:val="Paragrafi"/>
        <w:rPr>
          <w:b/>
          <w:i/>
          <w:sz w:val="21"/>
          <w:szCs w:val="21"/>
          <w:lang w:val="sq-AL"/>
        </w:rPr>
      </w:pPr>
      <w:r w:rsidRPr="00F94F62">
        <w:rPr>
          <w:b/>
          <w:i/>
          <w:sz w:val="21"/>
          <w:szCs w:val="21"/>
          <w:lang w:val="sq-AL"/>
        </w:rPr>
        <w:t>Për pretendimin për shfuqizimin e dispozitave të tjera të Pjesës së Posaçme të Kodit Penal që parashikojnë dy dënime kryesore</w:t>
      </w:r>
    </w:p>
    <w:p w:rsidR="00B47E2E" w:rsidRPr="00F94F62" w:rsidRDefault="00B47E2E" w:rsidP="00B47E2E">
      <w:pPr>
        <w:pStyle w:val="Paragrafi"/>
        <w:rPr>
          <w:sz w:val="21"/>
          <w:szCs w:val="21"/>
          <w:lang w:val="sq-AL"/>
        </w:rPr>
      </w:pPr>
      <w:r w:rsidRPr="00F94F62">
        <w:rPr>
          <w:sz w:val="21"/>
          <w:szCs w:val="21"/>
          <w:lang w:val="sq-AL"/>
        </w:rPr>
        <w:t>58. Gjykata e Apelit Vlorë ka pretenduar gjithashtu antikushtetutshmërinë e të gjitha dispozitave të tjera të Pjesës së Posaçme të Kodit Penal që parashikojnë dy dënime kryesore.</w:t>
      </w:r>
    </w:p>
    <w:p w:rsidR="00B47E2E" w:rsidRPr="00F94F62" w:rsidRDefault="00B47E2E" w:rsidP="00B47E2E">
      <w:pPr>
        <w:pStyle w:val="Paragrafi"/>
        <w:rPr>
          <w:sz w:val="21"/>
          <w:szCs w:val="21"/>
          <w:lang w:val="sq-AL"/>
        </w:rPr>
      </w:pPr>
      <w:r w:rsidRPr="00F94F62">
        <w:rPr>
          <w:sz w:val="21"/>
          <w:szCs w:val="21"/>
          <w:lang w:val="sq-AL"/>
        </w:rPr>
        <w:t xml:space="preserve">59. Sipas nenit 68 të ligjit nr. 8577, datë 10.2.2000 “Për organizimin dhe funksionimin e Gjykatës Kushtetuese”, gjykata apo gjyqtari është i detyruar, kur çmon se ligji është antikushtetues, të argumentojë para Gjykatës Kushtetuese ekzistencën e lidhjes së drejtpërdrejtë midis ligjit dhe zgjidhjes së çështjes konkrete. </w:t>
      </w:r>
    </w:p>
    <w:p w:rsidR="00B47E2E" w:rsidRPr="00F94F62" w:rsidRDefault="00B47E2E" w:rsidP="00B47E2E">
      <w:pPr>
        <w:pStyle w:val="Paragrafi"/>
        <w:rPr>
          <w:sz w:val="21"/>
          <w:szCs w:val="21"/>
          <w:lang w:val="sq-AL"/>
        </w:rPr>
      </w:pPr>
      <w:r w:rsidRPr="00F94F62">
        <w:rPr>
          <w:sz w:val="21"/>
          <w:szCs w:val="21"/>
          <w:lang w:val="sq-AL"/>
        </w:rPr>
        <w:t>60. Gjykata, në jurisprudencën e saj, ka pranuar se ky lloj gjykimi kushtetues kërkon domosdoshmërish ekzistencën e një lidhjeje të drejtpërdrejtë midis ligjit, antikushtetutshmëria e të cilit çmohet si e tillë nga gjykata dhe zgjidhjes së çështjes konkrete. Në mënyrë që të ekzistojë lidhja e drejtpërdrejtë duhet të ketë një raport të domosdoshëm mes vendimit të Gjykatës Kushtetuese (zgjidhjes së çështjes së antikushtetutshmërisë së ligjit nga kjo gjykatë) dhe zgjidhjes së çështjes kryesore nga gjyqtari apo gjykata kërkuese, në kuptimin që gjykimi nga gjykata e zakonshme nuk mund të përfundojë në mënyrë të pavarur nga gjykimi në Gjykatë Kushtetuese. Gjykata Kushtetuese vlerëson, se ekziston lidhja e drejtpërdrejtë kur mënyra e zgjidhjes së çështjes konkrete, që është në shqyrtim nga gjykata, do të varet nga vlerësimi i kushtetutshmërisë së ligjit. Nuk do të ekzistonte lidhja e drejtpërdrejtë nëse kushtetutshmëria apo jo e normës nuk do të sillte dhe ndryshime për pasojat e mundshme të çështjes (</w:t>
      </w:r>
      <w:r w:rsidRPr="00F94F62">
        <w:rPr>
          <w:i/>
          <w:sz w:val="21"/>
          <w:szCs w:val="21"/>
          <w:lang w:val="sq-AL"/>
        </w:rPr>
        <w:t>shih vendimin e Gjykatës Kushtetuese nr. 13, datë 4.5.2009</w:t>
      </w:r>
      <w:r w:rsidRPr="00F94F62">
        <w:rPr>
          <w:sz w:val="21"/>
          <w:szCs w:val="21"/>
          <w:lang w:val="sq-AL"/>
        </w:rPr>
        <w:t xml:space="preserve">). </w:t>
      </w:r>
    </w:p>
    <w:p w:rsidR="00B47E2E" w:rsidRPr="00F94F62" w:rsidRDefault="00B47E2E" w:rsidP="00B47E2E">
      <w:pPr>
        <w:pStyle w:val="Paragrafi"/>
        <w:rPr>
          <w:sz w:val="21"/>
          <w:szCs w:val="21"/>
          <w:lang w:val="sq-AL"/>
        </w:rPr>
      </w:pPr>
      <w:r w:rsidRPr="00F94F62">
        <w:rPr>
          <w:sz w:val="21"/>
          <w:szCs w:val="21"/>
          <w:lang w:val="sq-AL"/>
        </w:rPr>
        <w:t xml:space="preserve">61. Në rastin objekt shqyrtimi, Gjykata vëren se pezullimi i gjykimit nga gjykata referuese lidhet me rezervat që ajo ka mbi kushtetutshmërinë e parashikimit të dy dënimeve kryesore nga nenet 190 dhe 191 të KP-së. Për pasojë, ajo nuk legjitimohet që t’i drejtohet Gjykatës Kushtetuese, për të kërkuar kontrollin kushtetues të të gjitha dispozitave të Pjesës së Posaçme të Kodit Penal që parashikojnë dy dënime kryesore, pasi nga pikëpamja juridiko-formale nuk ka argumentuar ekzistencën e lidhjes së drejtpërdrejtë ndërmjet këtyre dispozitave dhe zgjidhjes së çështjes konkrete. </w:t>
      </w:r>
    </w:p>
    <w:p w:rsidR="00B47E2E" w:rsidRPr="00F94F62" w:rsidRDefault="00B47E2E" w:rsidP="00B47E2E">
      <w:pPr>
        <w:pStyle w:val="Paragrafi"/>
        <w:rPr>
          <w:sz w:val="21"/>
          <w:szCs w:val="21"/>
          <w:lang w:val="sq-AL"/>
        </w:rPr>
      </w:pPr>
    </w:p>
    <w:p w:rsidR="00B47E2E" w:rsidRPr="00F94F62" w:rsidRDefault="00B47E2E" w:rsidP="00B47E2E">
      <w:pPr>
        <w:pStyle w:val="VENDOSI"/>
        <w:rPr>
          <w:sz w:val="21"/>
          <w:szCs w:val="21"/>
          <w:lang w:val="sq-AL"/>
        </w:rPr>
      </w:pPr>
      <w:r w:rsidRPr="00F94F62">
        <w:rPr>
          <w:sz w:val="21"/>
          <w:szCs w:val="21"/>
          <w:lang w:val="sq-AL"/>
        </w:rPr>
        <w:t>PËR KËTO ARSYE,</w:t>
      </w:r>
    </w:p>
    <w:p w:rsidR="00B47E2E" w:rsidRPr="00F94F62" w:rsidRDefault="00B47E2E" w:rsidP="00B47E2E">
      <w:pPr>
        <w:pStyle w:val="Paragrafi"/>
        <w:rPr>
          <w:sz w:val="21"/>
          <w:szCs w:val="21"/>
          <w:lang w:val="sq-AL"/>
        </w:rPr>
      </w:pPr>
    </w:p>
    <w:p w:rsidR="00B47E2E" w:rsidRPr="00F94F62" w:rsidRDefault="00B47E2E" w:rsidP="00B47E2E">
      <w:pPr>
        <w:pStyle w:val="Paragrafi"/>
        <w:rPr>
          <w:sz w:val="21"/>
          <w:szCs w:val="21"/>
          <w:lang w:val="sq-AL"/>
        </w:rPr>
      </w:pPr>
      <w:r w:rsidRPr="00F94F62">
        <w:rPr>
          <w:sz w:val="21"/>
          <w:szCs w:val="21"/>
          <w:lang w:val="sq-AL"/>
        </w:rPr>
        <w:t xml:space="preserve">Gjykata Kushtetuese e Republikës së Shqipërisë, në mbështetje të neneve 131/a, 134/1/d dhe 145/2 të Kushtetutës, si dhe të neneve 68, 69 dhe 70 të ligjit nr. 8577, datë 10.2.2000 “Për organizimin dhe </w:t>
      </w:r>
      <w:r w:rsidRPr="00F94F62">
        <w:rPr>
          <w:sz w:val="21"/>
          <w:szCs w:val="21"/>
          <w:lang w:val="sq-AL"/>
        </w:rPr>
        <w:lastRenderedPageBreak/>
        <w:t>funksionimin e Gjykatës Kushtetuese të Republikës së Shqipërisë”, me shumicë votash,</w:t>
      </w:r>
    </w:p>
    <w:p w:rsidR="00B47E2E" w:rsidRPr="00F94F62" w:rsidRDefault="00B47E2E" w:rsidP="00B47E2E">
      <w:pPr>
        <w:pStyle w:val="Paragrafi"/>
        <w:rPr>
          <w:sz w:val="21"/>
          <w:szCs w:val="21"/>
          <w:lang w:val="sq-AL"/>
        </w:rPr>
      </w:pPr>
    </w:p>
    <w:p w:rsidR="00B47E2E" w:rsidRPr="00F94F62" w:rsidRDefault="00B47E2E" w:rsidP="00B47E2E">
      <w:pPr>
        <w:pStyle w:val="VENDOSI"/>
        <w:rPr>
          <w:sz w:val="21"/>
          <w:szCs w:val="21"/>
          <w:lang w:val="sq-AL"/>
        </w:rPr>
      </w:pPr>
      <w:r w:rsidRPr="00F94F62">
        <w:rPr>
          <w:sz w:val="21"/>
          <w:szCs w:val="21"/>
          <w:lang w:val="sq-AL"/>
        </w:rPr>
        <w:t>VENDOSI:</w:t>
      </w:r>
    </w:p>
    <w:p w:rsidR="00B47E2E" w:rsidRPr="00F94F62" w:rsidRDefault="00B47E2E" w:rsidP="00B47E2E">
      <w:pPr>
        <w:pStyle w:val="Paragrafi"/>
        <w:rPr>
          <w:sz w:val="21"/>
          <w:szCs w:val="21"/>
          <w:lang w:val="sq-AL"/>
        </w:rPr>
      </w:pPr>
    </w:p>
    <w:p w:rsidR="00B47E2E" w:rsidRPr="00F94F62" w:rsidRDefault="00B47E2E" w:rsidP="00B47E2E">
      <w:pPr>
        <w:pStyle w:val="Paragrafi"/>
        <w:rPr>
          <w:sz w:val="21"/>
          <w:szCs w:val="21"/>
          <w:lang w:val="sq-AL"/>
        </w:rPr>
      </w:pPr>
      <w:r w:rsidRPr="00F94F62">
        <w:rPr>
          <w:sz w:val="21"/>
          <w:szCs w:val="21"/>
          <w:lang w:val="sq-AL"/>
        </w:rPr>
        <w:t>- Shfuqizimin si të papajtueshëm me Kushtetutën, të nenit 29, paragrafi i fundit të Kodit Penal.</w:t>
      </w:r>
    </w:p>
    <w:p w:rsidR="00B47E2E" w:rsidRPr="00F94F62" w:rsidRDefault="00B47E2E" w:rsidP="00B47E2E">
      <w:pPr>
        <w:pStyle w:val="Paragrafi"/>
        <w:rPr>
          <w:sz w:val="21"/>
          <w:szCs w:val="21"/>
          <w:lang w:val="sq-AL"/>
        </w:rPr>
      </w:pPr>
      <w:r w:rsidRPr="00F94F62">
        <w:rPr>
          <w:sz w:val="21"/>
          <w:szCs w:val="21"/>
          <w:lang w:val="sq-AL"/>
        </w:rPr>
        <w:t xml:space="preserve">- Shfuqizimin si të papajtueshëm me Kushtetutën, të neneve 190 dhe 191 të Kodit Penal në pjesën që parashikojnë dënimin me gjobë, si dënim kryesor, krahas dënimit me burgim. </w:t>
      </w:r>
    </w:p>
    <w:p w:rsidR="00B47E2E" w:rsidRPr="00F94F62" w:rsidRDefault="00B47E2E" w:rsidP="00B47E2E">
      <w:pPr>
        <w:pStyle w:val="Paragrafi"/>
        <w:rPr>
          <w:sz w:val="21"/>
          <w:szCs w:val="21"/>
          <w:lang w:val="sq-AL"/>
        </w:rPr>
      </w:pPr>
      <w:r w:rsidRPr="00F94F62">
        <w:rPr>
          <w:sz w:val="21"/>
          <w:szCs w:val="21"/>
          <w:lang w:val="sq-AL"/>
        </w:rPr>
        <w:t>Ky vendim është përfundimtar, i formës së prerë dhe hyn në fuqi ditën e botimit në Fletoren Zyrtare.</w:t>
      </w:r>
    </w:p>
    <w:p w:rsidR="00B47E2E" w:rsidRPr="00F94F62" w:rsidRDefault="00B47E2E" w:rsidP="00B47E2E">
      <w:pPr>
        <w:pStyle w:val="Paragrafi"/>
        <w:rPr>
          <w:bCs/>
          <w:sz w:val="21"/>
          <w:szCs w:val="21"/>
          <w:lang w:val="sq-AL"/>
        </w:rPr>
      </w:pPr>
    </w:p>
    <w:p w:rsidR="00B47E2E" w:rsidRPr="00F94F62" w:rsidRDefault="00B47E2E" w:rsidP="00B47E2E">
      <w:pPr>
        <w:pStyle w:val="Paragrafi"/>
        <w:rPr>
          <w:bCs/>
          <w:sz w:val="21"/>
          <w:szCs w:val="21"/>
          <w:lang w:val="sq-AL"/>
        </w:rPr>
      </w:pPr>
      <w:r w:rsidRPr="00F94F62">
        <w:rPr>
          <w:bCs/>
          <w:sz w:val="21"/>
          <w:szCs w:val="21"/>
          <w:lang w:val="sq-AL"/>
        </w:rPr>
        <w:t>Anëtarë pro: Bashkim Dedja (kryetar), Xhezair Zaganjori, Admir Thanza, Vladimir Kristo, Fatmir Hoxha</w:t>
      </w:r>
    </w:p>
    <w:p w:rsidR="00B47E2E" w:rsidRPr="00F94F62" w:rsidRDefault="00B47E2E" w:rsidP="00B47E2E">
      <w:pPr>
        <w:pStyle w:val="Paragrafi"/>
        <w:rPr>
          <w:bCs/>
          <w:sz w:val="21"/>
          <w:szCs w:val="21"/>
          <w:lang w:val="sq-AL"/>
        </w:rPr>
      </w:pPr>
      <w:r w:rsidRPr="00F94F62">
        <w:rPr>
          <w:bCs/>
          <w:sz w:val="21"/>
          <w:szCs w:val="21"/>
          <w:lang w:val="sq-AL"/>
        </w:rPr>
        <w:t>Anëtarë kund</w:t>
      </w:r>
      <w:r w:rsidRPr="00F94F62">
        <w:rPr>
          <w:sz w:val="21"/>
          <w:szCs w:val="21"/>
          <w:lang w:val="sq-AL"/>
        </w:rPr>
        <w:t>ë</w:t>
      </w:r>
      <w:r w:rsidRPr="00F94F62">
        <w:rPr>
          <w:bCs/>
          <w:sz w:val="21"/>
          <w:szCs w:val="21"/>
          <w:lang w:val="sq-AL"/>
        </w:rPr>
        <w:t xml:space="preserve">r: Vitore Tusha, Altina Xhoxhaj, Sokol Berberi </w:t>
      </w:r>
    </w:p>
    <w:p w:rsidR="00B47E2E" w:rsidRPr="00F94F62" w:rsidRDefault="00B47E2E" w:rsidP="00B47E2E">
      <w:pPr>
        <w:pStyle w:val="Paragrafi"/>
        <w:ind w:firstLine="0"/>
        <w:rPr>
          <w:bCs/>
          <w:sz w:val="21"/>
          <w:szCs w:val="21"/>
          <w:lang w:val="sq-AL"/>
        </w:rPr>
      </w:pPr>
    </w:p>
    <w:p w:rsidR="00B47E2E" w:rsidRPr="00F94F62" w:rsidRDefault="00B47E2E" w:rsidP="00B47E2E">
      <w:pPr>
        <w:pStyle w:val="Paragrafi"/>
        <w:rPr>
          <w:bCs/>
          <w:sz w:val="21"/>
          <w:szCs w:val="21"/>
          <w:lang w:val="sq-AL"/>
        </w:rPr>
      </w:pPr>
    </w:p>
    <w:p w:rsidR="00B47E2E" w:rsidRPr="00F94F62" w:rsidRDefault="00B47E2E" w:rsidP="00B47E2E">
      <w:pPr>
        <w:pStyle w:val="TitulliTitull"/>
        <w:rPr>
          <w:sz w:val="21"/>
          <w:szCs w:val="21"/>
          <w:lang w:val="sq-AL"/>
        </w:rPr>
      </w:pPr>
      <w:r w:rsidRPr="00F94F62">
        <w:rPr>
          <w:sz w:val="21"/>
          <w:szCs w:val="21"/>
          <w:lang w:val="sq-AL"/>
        </w:rPr>
        <w:t>MENDIM PAKICE</w:t>
      </w:r>
    </w:p>
    <w:p w:rsidR="00B47E2E" w:rsidRPr="00F94F62" w:rsidRDefault="00B47E2E" w:rsidP="00B47E2E">
      <w:pPr>
        <w:pStyle w:val="Paragrafi"/>
        <w:rPr>
          <w:bCs/>
          <w:sz w:val="21"/>
          <w:szCs w:val="21"/>
          <w:u w:val="single"/>
          <w:lang w:val="sq-AL"/>
        </w:rPr>
      </w:pPr>
    </w:p>
    <w:p w:rsidR="00B47E2E" w:rsidRPr="00F94F62" w:rsidRDefault="00B47E2E" w:rsidP="00B47E2E">
      <w:pPr>
        <w:pStyle w:val="Paragrafi"/>
        <w:rPr>
          <w:bCs/>
          <w:sz w:val="21"/>
          <w:szCs w:val="21"/>
          <w:lang w:val="sq-AL"/>
        </w:rPr>
      </w:pPr>
      <w:r w:rsidRPr="00F94F62">
        <w:rPr>
          <w:bCs/>
          <w:sz w:val="21"/>
          <w:szCs w:val="21"/>
          <w:lang w:val="sq-AL"/>
        </w:rPr>
        <w:t xml:space="preserve">Për arsye se nuk ndajmë të njëjtin qëndrim me shumicën, në lidhje me pranimin e kërkesës së paraqitur nga Gjykata e Apelit Vlorë, me pasojë shfuqizimin e </w:t>
      </w:r>
      <w:r w:rsidRPr="00F94F62">
        <w:rPr>
          <w:sz w:val="21"/>
          <w:szCs w:val="21"/>
          <w:lang w:val="sq-AL" w:eastAsia="sq-AL"/>
        </w:rPr>
        <w:t xml:space="preserve">nenit 29, paragrafi i fundit, dhe neneve 190 dhe 191 të Kodit Penal në pjesën që parashikojnë dënimin me gjobë, si dënim kryesor, krahas dënimit me burgim, </w:t>
      </w:r>
      <w:r w:rsidRPr="00F94F62">
        <w:rPr>
          <w:bCs/>
          <w:sz w:val="21"/>
          <w:szCs w:val="21"/>
          <w:lang w:val="sq-AL"/>
        </w:rPr>
        <w:t xml:space="preserve">ne gjyqtarët në pakicë vlerësojmë se është e rëndësishme të shprehim qëndrimin tonë të arsyetuar në lidhje me këtë çështje. </w:t>
      </w:r>
    </w:p>
    <w:p w:rsidR="00B47E2E" w:rsidRPr="00F94F62" w:rsidRDefault="00B47E2E" w:rsidP="00B47E2E">
      <w:pPr>
        <w:pStyle w:val="Paragrafi"/>
        <w:rPr>
          <w:sz w:val="21"/>
          <w:szCs w:val="21"/>
          <w:lang w:val="sq-AL"/>
        </w:rPr>
      </w:pPr>
      <w:r w:rsidRPr="00F94F62">
        <w:rPr>
          <w:bCs/>
          <w:sz w:val="21"/>
          <w:szCs w:val="21"/>
          <w:lang w:val="sq-AL"/>
        </w:rPr>
        <w:t xml:space="preserve">Nga rrethanat e çështjes rezulton se </w:t>
      </w:r>
      <w:r w:rsidRPr="00F94F62">
        <w:rPr>
          <w:sz w:val="21"/>
          <w:szCs w:val="21"/>
          <w:lang w:val="sq-AL"/>
        </w:rPr>
        <w:t xml:space="preserve">i gjykuari P.R. është dënuar me 4 muaj burgim dhe 300.000 lekë gjobë, nga Gjykata e Rrethit Gjyqësor Vlorë, për kryerjen e veprave penale të “falsifikimit ose përdorimit të vulave, stampave ose formularëve” dhe të “falsifikimit të akteve të gjendjes civile”, të parashikuara nga nenet 190/1 dhe 191/1 të KP-së. Në përfundim të gjykimit, në zbatim të nenit 59 të KP-së, gjykata ka vendosur pezullimin e dënimit me burgim për këtë të gjykuar. Kundër këtij vendimi i gjykuari ka paraqitur ankim në Gjykatën e Apelit Vlorë dhe ka kërkuar pezullimin edhe të pjesës tjetër të dënimit, atij me gjobë, duke qenë, në këtë rast, të dyja këto dënime kryesore. Gjykata e Apelit Vlorë (gjykata referuese), ka vendosur pezullimin e gjykimit të çështjes dhe dërgimin e çështjes në Gjykatën Kushtetuese (Gjykata), për t’u shprehur nëse nenet 190 dhe 191 të KP-së dhe të gjitha dispozitat e tjera të pjesës së posaçme të këtij Kodi, që parashikojnë dy dënime kryesore, janë të pajtueshme me Kushtetutën. </w:t>
      </w:r>
    </w:p>
    <w:p w:rsidR="00B47E2E" w:rsidRPr="00F94F62" w:rsidRDefault="00B47E2E" w:rsidP="00B47E2E">
      <w:pPr>
        <w:pStyle w:val="Paragrafi"/>
        <w:rPr>
          <w:sz w:val="21"/>
          <w:szCs w:val="21"/>
          <w:lang w:val="sq-AL"/>
        </w:rPr>
      </w:pPr>
      <w:r w:rsidRPr="00F94F62">
        <w:rPr>
          <w:sz w:val="21"/>
          <w:szCs w:val="21"/>
          <w:lang w:val="sq-AL"/>
        </w:rPr>
        <w:t>Gjykata ka theksuar se kërkesa për kontroll incidental, që përbën mjetin e aksesit të gjykatës së juridiksionit të zakonshëm në gjykimin kushtetues, rregullohet nga neni 145/2 i Kushtetutës sipas të cilit, kur gjyqtari çmon se ligji (ose dispozita të tij) vjen në kundërshtim me Kushtetutën nuk e zbaton atë, por pezullon gjykimin dhe ia dërgon çështjen kësaj Gjykate, për t’u shprehur në lidhje me kushtetutshmërinë e atij ligji. Përmbajtja e dispozitës kushtetuese është konkretizuar nga neni 68 i ligjit nr. 8577, datë 10.2.2000 “Për organizimin dhe funksionimin e Gjykatës Kushtetuese të Republikës së Shqipërisë”, i cili përcakton disa kushte që duhet të respektohen nga gjykata referuese për të iniciuar gjykimin incidental: s</w:t>
      </w:r>
      <w:r w:rsidRPr="00F94F62">
        <w:rPr>
          <w:bCs/>
          <w:sz w:val="21"/>
          <w:szCs w:val="21"/>
          <w:lang w:val="sq-AL"/>
        </w:rPr>
        <w:t xml:space="preserve">ë pari, gjatë një procesi gjyqësor ajo duhet të përcaktojë/identifikojë ligjin që zbatohet për zgjidhjen e çështjes konkrete (lidhjen e drejtpërdrejtë); së dyti, ajo duhet të parashtrojë arsye serioze për jokushtetutshmërinë e ligjit ose dispozitave të tij duke u referuar në normat ose parimet konkrete të Kushtetutës </w:t>
      </w:r>
      <w:r w:rsidRPr="00F94F62">
        <w:rPr>
          <w:sz w:val="21"/>
          <w:szCs w:val="21"/>
          <w:lang w:val="sq-AL"/>
        </w:rPr>
        <w:t>(</w:t>
      </w:r>
      <w:r w:rsidRPr="00F94F62">
        <w:rPr>
          <w:i/>
          <w:sz w:val="21"/>
          <w:szCs w:val="21"/>
          <w:lang w:val="sq-AL"/>
        </w:rPr>
        <w:t>shih vendimet nr. 13, datë 4.5.2009; nr. 2, datë 3.2.2010 të Gjykatës Kushtetuese</w:t>
      </w:r>
      <w:r w:rsidRPr="00F94F62">
        <w:rPr>
          <w:sz w:val="21"/>
          <w:szCs w:val="21"/>
          <w:lang w:val="sq-AL"/>
        </w:rPr>
        <w:t xml:space="preserve">). </w:t>
      </w:r>
    </w:p>
    <w:p w:rsidR="00B47E2E" w:rsidRPr="00F94F62" w:rsidRDefault="00B47E2E" w:rsidP="00B47E2E">
      <w:pPr>
        <w:pStyle w:val="Paragrafi"/>
        <w:rPr>
          <w:sz w:val="21"/>
          <w:szCs w:val="21"/>
          <w:lang w:val="sq-AL"/>
        </w:rPr>
      </w:pPr>
      <w:r w:rsidRPr="00F94F62">
        <w:rPr>
          <w:sz w:val="21"/>
          <w:szCs w:val="21"/>
          <w:lang w:val="sq-AL"/>
        </w:rPr>
        <w:t xml:space="preserve">Në jurisprudencën kushtetuese është theksuar se gjykimi incidental kërkon edhe raportin e domosdoshëm midis vendimit të Gjykatës Kushtetuese (zgjidhjes së çështjes së kushtetutshmërisë) dhe zgjidhjes </w:t>
      </w:r>
      <w:r w:rsidRPr="00F94F62">
        <w:rPr>
          <w:sz w:val="21"/>
          <w:szCs w:val="21"/>
          <w:lang w:val="sq-AL" w:eastAsia="sq-AL"/>
        </w:rPr>
        <w:t>së çështjes konkrete nga gjykata referuese. Në këtë funksion, kjo e fundit duhet të argumentojë se gjykimi që ka nisur nuk mund të përfundojë pa i dhënë përgjigje çështjes së kushtetutshmërisë së ligjit nga ana e Gjykatës Kushtetuese. Në jurisprudencën kushtetuese është theksuar, gjithashtu, se në një gjykim incidental, gjykata referuese, nëse arrin në konkluzionin se ligji (dispozita të tij) i kundërshtuar është ligji i vetëm të cilit duhet t’i referohet për zgjidhjen e çështjes, në zbatim të parimit të kushtetutshmërisë, ajo duhet të bëjë të gjitha përpjekjet për ta interpretuar atë në përputhje me Kushtetutën (</w:t>
      </w:r>
      <w:r w:rsidRPr="00F94F62">
        <w:rPr>
          <w:i/>
          <w:sz w:val="21"/>
          <w:szCs w:val="21"/>
          <w:lang w:val="sq-AL" w:eastAsia="sq-AL"/>
        </w:rPr>
        <w:t>shih vendimin nr. 12, datë 14.4.2010 të Gjykatës Kushtetuese</w:t>
      </w:r>
      <w:r w:rsidRPr="00F94F62">
        <w:rPr>
          <w:sz w:val="21"/>
          <w:szCs w:val="21"/>
          <w:lang w:val="sq-AL" w:eastAsia="sq-AL"/>
        </w:rPr>
        <w:t xml:space="preserve">). </w:t>
      </w:r>
    </w:p>
    <w:p w:rsidR="00B47E2E" w:rsidRPr="00F94F62" w:rsidRDefault="00B47E2E" w:rsidP="00B47E2E">
      <w:pPr>
        <w:pStyle w:val="Paragrafi"/>
        <w:rPr>
          <w:sz w:val="21"/>
          <w:szCs w:val="21"/>
          <w:lang w:val="sq-AL"/>
        </w:rPr>
      </w:pPr>
      <w:r w:rsidRPr="00F94F62">
        <w:rPr>
          <w:sz w:val="21"/>
          <w:szCs w:val="21"/>
          <w:lang w:val="sq-AL"/>
        </w:rPr>
        <w:t xml:space="preserve">Në përputhje me parimin e drejtësisë efektive, gjykata referuese ka për detyrë të shohë në tërësi pozitat procedurale dhe materiale të palëve dhe gjendjen e tyre pas zgjidhjes së çështjes konkrete. Nëse gjykata </w:t>
      </w:r>
      <w:r w:rsidRPr="00F94F62">
        <w:rPr>
          <w:sz w:val="21"/>
          <w:szCs w:val="21"/>
          <w:lang w:val="sq-AL"/>
        </w:rPr>
        <w:lastRenderedPageBreak/>
        <w:t>ka bazë të arsyeshme të vlerësojë se zgjidhja e çështjes nga ana e saj mund të çojë në cenimin e të drejtave dhe lirive themelore të shtetasve, atëherë ajo është plotësisht e autorizuar që të referojë çështjen për zgjidhje të problemit të kushtetutshmërisë pranë Gjykatës Kushtetuese (</w:t>
      </w:r>
      <w:r w:rsidRPr="00F94F62">
        <w:rPr>
          <w:i/>
          <w:sz w:val="21"/>
          <w:szCs w:val="21"/>
          <w:lang w:val="sq-AL"/>
        </w:rPr>
        <w:t>shih vendimin nr. 1, datë 12.1.2011 të Gjykatës Kushtetuese</w:t>
      </w:r>
      <w:r w:rsidRPr="00F94F62">
        <w:rPr>
          <w:sz w:val="21"/>
          <w:szCs w:val="21"/>
          <w:lang w:val="sq-AL"/>
        </w:rPr>
        <w:t xml:space="preserve">). </w:t>
      </w:r>
      <w:r w:rsidRPr="00F94F62">
        <w:rPr>
          <w:sz w:val="21"/>
          <w:szCs w:val="21"/>
          <w:lang w:val="sq-AL" w:eastAsia="sq-AL"/>
        </w:rPr>
        <w:t>Të individualizosh çështjen do të thotë, mbi të gjitha, të interpretosh dispozitën e ligjit: funksioni interpretues, si i tillë, nuk i takon kësaj Gjykate, por gjykatës referuese. Ë</w:t>
      </w:r>
      <w:r w:rsidRPr="00F94F62">
        <w:rPr>
          <w:sz w:val="21"/>
          <w:szCs w:val="21"/>
          <w:lang w:val="sq-AL"/>
        </w:rPr>
        <w:t xml:space="preserve">shtë detyrimi i kësaj të fundit të zgjidhë dyshimet interpretative duke i dhënë normës së zbatueshme një interpretim që përputhet me parimet kushtetuese. Në këto kushte, gjyqtari referues është i detyruar të zbatojë, midis interpretimeve të ndryshme të mundshme, atë që konsiderohet se përputhet me parimin kushtetues, që në të kundërt do të cenohej. Vetëm në rast se gjyqtari vlerëson se të gjitha interpretimet e mundshme bien në kundërshtim me Kushtetutën, atëherë ai duhet t’i drejtohet Gjykatës duke kërkuar kontrollin e kushtetutshmërisë së normës së individualizuar si e zbatueshme në rastin konkret. </w:t>
      </w:r>
    </w:p>
    <w:p w:rsidR="00B47E2E" w:rsidRPr="00F94F62" w:rsidRDefault="00B47E2E" w:rsidP="00B47E2E">
      <w:pPr>
        <w:pStyle w:val="Paragrafi"/>
        <w:rPr>
          <w:sz w:val="21"/>
          <w:szCs w:val="21"/>
          <w:lang w:val="sq-AL"/>
        </w:rPr>
      </w:pPr>
      <w:r w:rsidRPr="00F94F62">
        <w:rPr>
          <w:sz w:val="21"/>
          <w:szCs w:val="21"/>
          <w:lang w:val="sq-AL"/>
        </w:rPr>
        <w:t>Gjykata vëren se objekti dhe shkaqet e kërkesës me të cilën ngrihet çështja e kushtetutshmërisë përbëjnë thelbin (</w:t>
      </w:r>
      <w:r w:rsidRPr="00F94F62">
        <w:rPr>
          <w:i/>
          <w:sz w:val="21"/>
          <w:szCs w:val="21"/>
          <w:lang w:val="sq-AL"/>
        </w:rPr>
        <w:t>thema decidendum</w:t>
      </w:r>
      <w:r w:rsidRPr="00F94F62">
        <w:rPr>
          <w:sz w:val="21"/>
          <w:szCs w:val="21"/>
          <w:lang w:val="sq-AL"/>
        </w:rPr>
        <w:t xml:space="preserve">) e gjykimit kushtetues. Në lidhje me objektin e kërkesës, konstatohet se gjykata referuese ka kërkuar shfuqizimin e nenit 190 dhe 191 të Kodit Penal dhe të gjitha dispozitat e tjera të pjesës së posaçme të këtij Kodi, që parashikojnë dy dënime kryesore, kurse për sa u përket shkaqeve të kërkesës ajo shprehet se këto dispozita bien në kundërshtim me nenet 17, 18 dhe 30 të Kushtetutës. Në përfundim të gjykimit shumica ka vlerësuar se parashikimet e nenit 29, 190 dhe 191 të Kodit Penal, në pjesën që parashikojnë dhënien e dy dënimeve kryesore, bien në kundërshtim me nenin 17 të Kushtetutës dhe ka rrëzuar kërkesën për papajtueshmërinë e këtyre dispozitave me nenet 18 dhe 30 të Kushtetutës, si të pabazuara. </w:t>
      </w:r>
    </w:p>
    <w:p w:rsidR="00B47E2E" w:rsidRPr="00F94F62" w:rsidRDefault="00B47E2E" w:rsidP="00B47E2E">
      <w:pPr>
        <w:pStyle w:val="Paragrafi"/>
        <w:rPr>
          <w:sz w:val="21"/>
          <w:szCs w:val="21"/>
          <w:lang w:val="sq-AL"/>
        </w:rPr>
      </w:pPr>
      <w:r w:rsidRPr="00F94F62">
        <w:rPr>
          <w:sz w:val="21"/>
          <w:szCs w:val="21"/>
          <w:lang w:val="sq-AL"/>
        </w:rPr>
        <w:t>Në çdo rast, nevojitet që nga vendimi i pezullimit të çështjes nga gjykata referuese të dalë qartë rezultati të cilin ajo gjykatë synon të arrijë dhe, në këtë kuptim, ne gjyqtarët në pakicë jemi dakord me qëndrimin e shumicës lidhur me legjitimimin e gjykatës referuese për kundërshtimin e neneve 190 dhe 191 të Kodit Penal, bazuar në parimin e drejtësisë efektive. Megjithatë, ne gjyqtarët në pakicë vlerësojmë se, në kuptim të gjykimit incidental, nuk është e mjaftueshme vetëm identifikimi i lidhjes së drejtpërdrejtë, pra të provuarit se norma e kundërshtuar do të zbatohet në çështjen konkrete dhe ndikimi vijues, i vendimit eventual të pranimit të kërkesës nga Gjykata Kushtetuese, mbi përfundimin e gjykimit të themelit, por është po aq e rëndësishme që vendimi për pezullimin e çështjes dhe dërgimin e saj në Gjykatë të arsyetohet nga gjykata referuese edhe nga pikëpamja e bazueshmërisë së çështjes në lidhje me parametrat kushtetuese të referuara si të cenuara nga dispozitat e kundërshtuara.</w:t>
      </w:r>
    </w:p>
    <w:p w:rsidR="00B47E2E" w:rsidRPr="00F94F62" w:rsidRDefault="00B47E2E" w:rsidP="00B47E2E">
      <w:pPr>
        <w:pStyle w:val="Paragrafi"/>
        <w:rPr>
          <w:sz w:val="21"/>
          <w:szCs w:val="21"/>
          <w:lang w:val="sq-AL"/>
        </w:rPr>
      </w:pPr>
      <w:r w:rsidRPr="00F94F62">
        <w:rPr>
          <w:sz w:val="21"/>
          <w:szCs w:val="21"/>
          <w:lang w:val="sq-AL" w:eastAsia="sq-AL"/>
        </w:rPr>
        <w:t>Në vështrim të standardeve të mësipërme, në çështjen konkrete, ne gjyqtarët në pakicë vlerësojmë se gjykata referuese nuk ka parashtruar argumente serioze</w:t>
      </w:r>
      <w:r w:rsidRPr="00F94F62">
        <w:rPr>
          <w:bCs/>
          <w:sz w:val="21"/>
          <w:szCs w:val="21"/>
          <w:lang w:val="sq-AL"/>
        </w:rPr>
        <w:t xml:space="preserve"> për jokushtetutshmërinë e neneve, objekt shqyrtimi, duke referuar në normat ose parimet konkrete të Kushtetutës. Gjykata referuese pretendon se</w:t>
      </w:r>
      <w:r w:rsidRPr="00F94F62">
        <w:rPr>
          <w:sz w:val="21"/>
          <w:szCs w:val="21"/>
          <w:lang w:val="sq-AL" w:eastAsia="sq-AL"/>
        </w:rPr>
        <w:t xml:space="preserve"> parashikimi i dy dënimeve kryesore për një vepër penale </w:t>
      </w:r>
      <w:r w:rsidRPr="00F94F62">
        <w:rPr>
          <w:sz w:val="21"/>
          <w:szCs w:val="21"/>
          <w:lang w:val="sq-AL"/>
        </w:rPr>
        <w:t xml:space="preserve">bie në kundërshtim me nenin 17/1 të Kushtetutës, pasi dënimi penal, në aspektin kushtetues, duhet të jetë i drejtë dhe në përpjesëtim me veprën, pa dhënë argumente bindëse dhe arsye serioze, në kuptimin kushtetues, për sa i përket cenimit të këtij standardi kushtetues. </w:t>
      </w:r>
      <w:r w:rsidRPr="00F94F62">
        <w:rPr>
          <w:bCs/>
          <w:sz w:val="21"/>
          <w:szCs w:val="21"/>
          <w:lang w:val="sq-AL"/>
        </w:rPr>
        <w:t xml:space="preserve">Ne, gjyqtarët në pakicë, vlerësojmë se shumica nuk është ndalur siç duhet në verifikimin e elementeve procedurale që duhet të plotësojë kërkesa për inicimin e gjykimit incidental, të elaboruara në jurisprudencën kushtetuese, pasi në </w:t>
      </w:r>
      <w:r w:rsidRPr="00F94F62">
        <w:rPr>
          <w:sz w:val="21"/>
          <w:szCs w:val="21"/>
          <w:lang w:val="sq-AL"/>
        </w:rPr>
        <w:t xml:space="preserve">parashtrimet e gjykatës referuese mungojnë shkaqet dhe argumentet të cilat përbëjnë bazën ku mbështeten pretendimet për papajtueshmëri me Kushtetutën. </w:t>
      </w:r>
    </w:p>
    <w:p w:rsidR="00B47E2E" w:rsidRPr="00F94F62" w:rsidRDefault="00B47E2E" w:rsidP="00B47E2E">
      <w:pPr>
        <w:pStyle w:val="Paragrafi"/>
        <w:rPr>
          <w:bCs/>
          <w:sz w:val="21"/>
          <w:szCs w:val="21"/>
          <w:lang w:val="sq-AL"/>
        </w:rPr>
      </w:pPr>
      <w:r w:rsidRPr="00F94F62">
        <w:rPr>
          <w:sz w:val="21"/>
          <w:szCs w:val="21"/>
          <w:lang w:val="sq-AL" w:eastAsia="sq-AL"/>
        </w:rPr>
        <w:t xml:space="preserve">Gjithashtu, është e domosdoshme që gjykata referuese, përpara se t’i drejtohet Gjykatës për kontrollin incidental të normës, </w:t>
      </w:r>
      <w:r w:rsidRPr="00F94F62">
        <w:rPr>
          <w:sz w:val="21"/>
          <w:szCs w:val="21"/>
          <w:lang w:val="sq-AL"/>
        </w:rPr>
        <w:t>të bëjë të gjitha përpjekjet për ta interpretuar atë në përputhje me Kushtetutën. Në çështjen konkrete, nenet objekt shqyrtimi duheshin interpretuar nga gjykata referuese jo në mënyrë të shkëputur, por në lidhje me nenet e tjera që parashikojnë llojet e dënimeve dhe caktimin e tyre. Më konkretisht, gjykata referuese, në funksion të interpretimit në pajtueshmëri me Kushtetutën dhe parimin e proporcionalitetit, duhej t’u referohej neneve 29, 34, 47, 48 dhe 59 të Kodit Penal. Gjykata referuese duhej t’i referohej nenit 29 që parashikon dënimet kryesore, si edhe nenit 34 që parashikon se dënimi me gjobë lejohet të jepet për krime të kryera për motive të fitimit pasuror/përfitimit material. Për sa i përket caktimit të dënimit, gjykata duhej t’i referohej nenit 47 të Kodit Penal, që parashikon se në dhënien e dënimit gjykata merr parasysh rrezikshmërinë e veprës penale, të autorit të saj, shkallën e fajit, si dhe rrethanat lehtësuese dhe rënduese të parashikuara në nenin 48 dhe nenin 59 të Kodit Penal. Nuk rezulton që gjykata referuese të ketë kërkuar mundësi interpretimi në pajtim me Kushtetutën të dispozitave ligjore përkatëse, në harmoni me dispozitat e tjera të sipërpërmendura, të cilat u lejojnë gjykatave një marzh/kufij vlerësimi të gjerë kur bëhet fjalë për caktimin e dënimit në proporcion me elementet përcaktuese të nenit 47 të KP-së.</w:t>
      </w:r>
    </w:p>
    <w:p w:rsidR="00B47E2E" w:rsidRPr="00F94F62" w:rsidRDefault="00B47E2E" w:rsidP="00B47E2E">
      <w:pPr>
        <w:pStyle w:val="Paragrafi"/>
        <w:rPr>
          <w:bCs/>
          <w:sz w:val="21"/>
          <w:szCs w:val="21"/>
          <w:lang w:val="sq-AL"/>
        </w:rPr>
      </w:pPr>
      <w:r w:rsidRPr="00F94F62">
        <w:rPr>
          <w:sz w:val="21"/>
          <w:szCs w:val="21"/>
          <w:lang w:val="sq-AL"/>
        </w:rPr>
        <w:t xml:space="preserve">Jo vetëm që gjykata referuese nuk ka arritur të parashtrojë argumente kushtetuese që të provojnë cenimin e nenit 17/1 të Kushtetutës, por as shumica, në arsyetimin e saj, nuk ka arritur të japë argumente, se pse dhe në ç’mënyrë është cenuar parimi i proporcionalitetit në rastin konkret. Në vendimin e saj shumica nuk ka analizuar se cilat interesa cenohen nga kryerja e veprave penale të “falsifikimit ose përdorimit të vulave, stampave ose formularëve” dhe të “falsifikimit të akteve të gjendjes civile” dhe sa e rëndësishme është mbrojtja e këtyre interesave, për të arritur më pas në vlerësimin nëse caktimi i dy dënimeve kryesore për këto dy vepra penale është apo jo proporcional. Qëllimin e ligjvënësit, kur ka formuluar tekstin e dispozitave objekt shqyrtimi, shumica e ka identifikuar me luftën ndaj krimit të organizuar, sigurimin e rendit publik e shoqëror, dhe rritjen e efektivitetit të masave shtrënguese ndaj autorëve të veprave penale. Veprat penale, objekt shqyrtimi, duke shtrembëruar vërtetësinë dhe autenticitetin e dokumenteve/akteve publike, cenojnë besimin e qytetarëve te shteti dhe veçanërisht te dokumentacioni i lëshuar nga autoritetet shtetërore. Në rastet e kryerjes së këtyre veprave penale nuk cenohen vetëm interesa publikë por edhe interesa privatë të shtetasve për arsye se dokumentet e falsifikuara mund të përdoren në shkëmbime të natyrës financiare, ekonomike apo tregtare midis privatëve. Pikërisht mbrojtja e këtyre interesave të rëndësishme ka qenë dhe qëllimi i legjislatorit në rastin konkret. </w:t>
      </w:r>
    </w:p>
    <w:p w:rsidR="00B47E2E" w:rsidRPr="00F94F62" w:rsidRDefault="00B47E2E" w:rsidP="00B47E2E">
      <w:pPr>
        <w:pStyle w:val="Paragrafi"/>
        <w:rPr>
          <w:sz w:val="21"/>
          <w:szCs w:val="21"/>
          <w:lang w:val="sq-AL"/>
        </w:rPr>
      </w:pPr>
      <w:r w:rsidRPr="00F94F62">
        <w:rPr>
          <w:sz w:val="21"/>
          <w:szCs w:val="21"/>
          <w:lang w:val="sq-AL"/>
        </w:rPr>
        <w:t>Gjykata ka vlerësuar se Kuvendi, si organ ligjvënës, ka të drejtë të zbatojë apo konkretizojë politika të caktuara për përmirësimin e qeverisjes dhe zhvillimin e vendit në tërësi, apo t’u përgjigjet prioriteteve apo problemeve të ndryshme të vendit (</w:t>
      </w:r>
      <w:r w:rsidRPr="00F94F62">
        <w:rPr>
          <w:i/>
          <w:sz w:val="21"/>
          <w:szCs w:val="21"/>
          <w:lang w:val="sq-AL"/>
        </w:rPr>
        <w:t>shih vendimet: nr. 29, datë 31.5.2010; nr. 43, datë 6.10.2011</w:t>
      </w:r>
      <w:r w:rsidRPr="00F94F62">
        <w:rPr>
          <w:sz w:val="21"/>
          <w:szCs w:val="21"/>
          <w:lang w:val="sq-AL"/>
        </w:rPr>
        <w:t xml:space="preserve"> </w:t>
      </w:r>
      <w:r w:rsidRPr="00F94F62">
        <w:rPr>
          <w:i/>
          <w:sz w:val="21"/>
          <w:szCs w:val="21"/>
          <w:lang w:val="sq-AL"/>
        </w:rPr>
        <w:t>të Gjykatës Kushtetuese</w:t>
      </w:r>
      <w:r w:rsidRPr="00F94F62">
        <w:rPr>
          <w:sz w:val="21"/>
          <w:szCs w:val="21"/>
          <w:lang w:val="sq-AL"/>
        </w:rPr>
        <w:t>). Është e rëndësishme për çdo shtet të së drejtës që zbaton rregullat e një shoqërie demokratike, të gëzojë hapësira të konsiderueshme për të përcaktuar rregulla dhe kritere të drejta brenda rendit të tij kushtetues, në përputhje me kushtet konkrete, si dhe me faktorët e ndryshëm: politikë, historikë, socialë, kulturorë, tradicionalë, të cilët janë përcaktues. Megjithatë, duhet të ritheksohet se ligjet apo dispozita të veçanta të tyre, të miratuara nga ligjvënësi për këtë qëllim, nuk duhet të vijnë në kundërshtim me dispozitat e Kushtetutës. Gjykata ka theksuar se detyra e saj është që të kontrollojë nëse zgjidhja që jep ligjvënësi nëpërmjet përcaktimeve të kritereve ligjore është ose jo në përputhje me dispozitat e Kushtetutës (</w:t>
      </w:r>
      <w:r w:rsidRPr="00F94F62">
        <w:rPr>
          <w:i/>
          <w:sz w:val="21"/>
          <w:szCs w:val="21"/>
          <w:lang w:val="sq-AL"/>
        </w:rPr>
        <w:t>shih vendimet: nr. 1, datë 7.1.2005; nr. 32, datë 21.6.2010; nr. 28, datë 9.5.2012 të Gjykatës Kushtetuese</w:t>
      </w:r>
      <w:r w:rsidRPr="00F94F62">
        <w:rPr>
          <w:sz w:val="21"/>
          <w:szCs w:val="21"/>
          <w:lang w:val="sq-AL"/>
        </w:rPr>
        <w:t>). Gjykata ka theksuar, gjithashtu, se në vlerësimin e kushtetutshmërisë së ligjeve, ajo niset nga prezumimi i pajtueshmërisë së tyre me Kushtetutën. Kjo do të thotë se, lidhur me jokushtetutshmërinë e pretenduar, duhet të parashtrohen argumente bindëse, për t’i dhënë asaj mundësi të vlerësojë, nëse zgjidhjet ligjore të zbatuara shkelin normat dhe vlerat kushtetuese (</w:t>
      </w:r>
      <w:r w:rsidRPr="00F94F62">
        <w:rPr>
          <w:i/>
          <w:sz w:val="21"/>
          <w:szCs w:val="21"/>
          <w:lang w:val="sq-AL"/>
        </w:rPr>
        <w:t>shih vendimet: nr. 16, datë 25.7.2008; nr. 29, datë 31.5.2010; nr. 31, datë 18.6.2010; nr. 37, datë 13.6.2012 të Gjykatës Kushtetuese</w:t>
      </w:r>
      <w:r w:rsidRPr="00F94F62">
        <w:rPr>
          <w:sz w:val="21"/>
          <w:szCs w:val="21"/>
          <w:lang w:val="sq-AL"/>
        </w:rPr>
        <w:t>).</w:t>
      </w:r>
    </w:p>
    <w:p w:rsidR="00B47E2E" w:rsidRPr="00F94F62" w:rsidRDefault="00B47E2E" w:rsidP="00B47E2E">
      <w:pPr>
        <w:pStyle w:val="Paragrafi"/>
        <w:rPr>
          <w:bCs/>
          <w:sz w:val="21"/>
          <w:szCs w:val="21"/>
          <w:lang w:val="sq-AL"/>
        </w:rPr>
      </w:pPr>
      <w:r w:rsidRPr="00F94F62">
        <w:rPr>
          <w:sz w:val="21"/>
          <w:szCs w:val="21"/>
          <w:lang w:val="sq-AL"/>
        </w:rPr>
        <w:t>Kufizimi i lirisë të personit, krahas të drejtave dhe lirive të tjera të parashikuara në Kushtetutë, në zbatim të nenit 17 të Kushtetutës, duhet të bëhet me ligj për një interes publik ose për mbrojtjen e të drejtave të të tjerëve. Në përputhje me parimin e proporcionalitetit ligjvënësi, lidhur me vlerësimin e mjetit të zgjedhur për ndëshkimin e shkelësve të ligjit dhe qëllimit që kërkohet të arrihet, ka një hapësirë të lirë dhe të gjerë veprimi, e cila mund të shqyrtohet në shkallë të kufizuar nga kjo Gjykatë (</w:t>
      </w:r>
      <w:r w:rsidRPr="00F94F62">
        <w:rPr>
          <w:i/>
          <w:sz w:val="21"/>
          <w:szCs w:val="21"/>
          <w:lang w:val="sq-AL"/>
        </w:rPr>
        <w:t>shih vendimin nr. 1, datë 12.1.2011 të Gjykatës Kushtetuese</w:t>
      </w:r>
      <w:r w:rsidRPr="00F94F62">
        <w:rPr>
          <w:sz w:val="21"/>
          <w:szCs w:val="21"/>
          <w:lang w:val="sq-AL"/>
        </w:rPr>
        <w:t xml:space="preserve">). Në këtë kuptim, Gjykata ka theksuar se është në diskrecionin e ligjvënësit vlerësimi i mjetit të zgjedhur për ndëshkimin e shkelësve të ligjit dhe qëllimit që kërkohet të arrihet por, kur është fjala për parashikimin e dispozitave penale dhe sanksioneve përkatëse si </w:t>
      </w:r>
      <w:r w:rsidRPr="00F94F62">
        <w:rPr>
          <w:i/>
          <w:sz w:val="21"/>
          <w:szCs w:val="21"/>
          <w:lang w:val="sq-AL"/>
        </w:rPr>
        <w:t>“ultima ratio”,</w:t>
      </w:r>
      <w:r w:rsidRPr="00F94F62">
        <w:rPr>
          <w:sz w:val="21"/>
          <w:szCs w:val="21"/>
          <w:lang w:val="sq-AL"/>
        </w:rPr>
        <w:t xml:space="preserve"> ligjvënësi duhet të udhëhiqet nga parimet kushtetuese dhe funksionet që karakterizojnë dënimet penale. Ndërkohë, i përket Gjykatës Kushtetuese të analizojë proporcionalitetin e kësaj mase në raport me gjendjen dhe me shkeljet për të cilat është parashikuar dhënia e tyre (</w:t>
      </w:r>
      <w:r w:rsidRPr="00F94F62">
        <w:rPr>
          <w:i/>
          <w:sz w:val="21"/>
          <w:szCs w:val="21"/>
          <w:lang w:val="sq-AL"/>
        </w:rPr>
        <w:t>shih vendimin nr. 12, datë</w:t>
      </w:r>
      <w:r w:rsidRPr="00F94F62">
        <w:rPr>
          <w:bCs/>
          <w:i/>
          <w:sz w:val="21"/>
          <w:szCs w:val="21"/>
          <w:lang w:val="sq-AL"/>
        </w:rPr>
        <w:t xml:space="preserve"> 14.4.2010 të Gjykatës Kushtetuese</w:t>
      </w:r>
      <w:r w:rsidRPr="00F94F62">
        <w:rPr>
          <w:bCs/>
          <w:sz w:val="21"/>
          <w:szCs w:val="21"/>
          <w:lang w:val="sq-AL"/>
        </w:rPr>
        <w:t>)</w:t>
      </w:r>
      <w:r w:rsidRPr="00F94F62">
        <w:rPr>
          <w:sz w:val="21"/>
          <w:szCs w:val="21"/>
          <w:lang w:val="sq-AL"/>
        </w:rPr>
        <w:t>. Gjykata ka theksuar se proporcionalitetin e një kufizimi ajo e vlerëson rast pas rasti dhe duke pasur parasysh disa aspekte, si: balancën mes të drejtës së kufizuar dhe interesit publik ose mbrojtjes së të drejtave të të tjerëve, mjetin e përdorur</w:t>
      </w:r>
      <w:r w:rsidRPr="00F94F62">
        <w:rPr>
          <w:i/>
          <w:sz w:val="21"/>
          <w:szCs w:val="21"/>
          <w:lang w:val="sq-AL"/>
        </w:rPr>
        <w:t xml:space="preserve"> </w:t>
      </w:r>
      <w:r w:rsidRPr="00F94F62">
        <w:rPr>
          <w:sz w:val="21"/>
          <w:szCs w:val="21"/>
          <w:lang w:val="sq-AL"/>
        </w:rPr>
        <w:t>në raport me gjendjen që e ka diktuar atë, të drejtën e cenuar</w:t>
      </w:r>
      <w:r w:rsidRPr="00F94F62">
        <w:rPr>
          <w:i/>
          <w:sz w:val="21"/>
          <w:szCs w:val="21"/>
          <w:lang w:val="sq-AL"/>
        </w:rPr>
        <w:t xml:space="preserve"> </w:t>
      </w:r>
      <w:r w:rsidRPr="00F94F62">
        <w:rPr>
          <w:sz w:val="21"/>
          <w:szCs w:val="21"/>
          <w:lang w:val="sq-AL"/>
        </w:rPr>
        <w:t>dhe synimin që kërkon të arrijë ligjvënësi, aspekte që nuk duhet të analizohen veç e veç, por të gërshetuara me njëra-tjetrën. Vendosja me ligj e llojit të dënimeve është përgjithësisht diskrecion i pushtetit legjislativ, i cili në përputhje me kërkesat dhe me nevojat në ndryshim të shoqërisë, bën rregullimin ligjor përkatës, por Gjykata analizon propocionalitetin e kësaj mase në raport me gjendjen dhe me shkeljet, për të cilat është parashikuar dhënia e tyre (</w:t>
      </w:r>
      <w:r w:rsidRPr="00F94F62">
        <w:rPr>
          <w:i/>
          <w:sz w:val="21"/>
          <w:szCs w:val="21"/>
          <w:lang w:val="sq-AL"/>
        </w:rPr>
        <w:t>shih vendimin nr. 12, datë</w:t>
      </w:r>
      <w:r w:rsidRPr="00F94F62">
        <w:rPr>
          <w:bCs/>
          <w:i/>
          <w:sz w:val="21"/>
          <w:szCs w:val="21"/>
          <w:lang w:val="sq-AL"/>
        </w:rPr>
        <w:t xml:space="preserve"> 14.4.2010 të Gjykatës Kushtetuese</w:t>
      </w:r>
      <w:r w:rsidRPr="00F94F62">
        <w:rPr>
          <w:bCs/>
          <w:sz w:val="21"/>
          <w:szCs w:val="21"/>
          <w:lang w:val="sq-AL"/>
        </w:rPr>
        <w:t>).</w:t>
      </w:r>
    </w:p>
    <w:p w:rsidR="00B47E2E" w:rsidRPr="00F94F62" w:rsidRDefault="00B47E2E" w:rsidP="00B47E2E">
      <w:pPr>
        <w:pStyle w:val="Paragrafi"/>
        <w:rPr>
          <w:sz w:val="21"/>
          <w:szCs w:val="21"/>
          <w:lang w:val="sq-AL"/>
        </w:rPr>
      </w:pPr>
      <w:r w:rsidRPr="00F94F62">
        <w:rPr>
          <w:sz w:val="21"/>
          <w:szCs w:val="21"/>
          <w:lang w:val="sq-AL"/>
        </w:rPr>
        <w:t xml:space="preserve">Ne gjyqtarët në pakicë jemi dakord me qëndrimin e subjektit të interesuar, Prokuroria e Përgjithshme, sipas të cilit karakteri i drejtë ose jo i një dënimi nuk lidhet me numrin e efekteve të drejtpërdrejta apo anësore që ai mbart në vetvete, por me përputhjen e tij me shkallën e rrezikshmërisë shoqërore të veprës penale dhe të autorit të saj dhe se parimi i drejtësisë së dënimit nuk lidhet në korrelacion kaq të drejtpërdrejtë mes llojit të dënimit dhe veprës penale, por me sigurimin, brenda respektimit të dinjitetit njerëzor, të një baraspeshimi mes rëndësisë së masës ndëshkuese dhe rëndësisë së veprës penale. Në përcaktimin e veprave penale dhe llojit të dënimit ligjvënësi ka fushë të gjerë veprimi, pasi ai përcakton në ligj veprat penale, dënimet dhe masat e tjera që merren ndaj autorëve të tyre, me qëllim për të mbrojtur pavarësinë e shtetit dhe tërësinë e territorit të tij, dinjitetin e njeriut, të drejtat dhe liritë e tij, rendin kushtetues, pronën, mjedisin, bashkëjetesën dhe mirëkuptimin e shqiptarëve me pakicat kombëtare, si dhe bashkëjetesën fetare nga veprat penale, si dhe parandalimin e tyre. Ligjvënësi është përgjegjës për hartimin e politikave penale, pra për marrjen e tërësisë së masave me karakter penal që synojnë të parandalojnë kriminalitetin në një vend dhe një kohë të caktuar, si dhe përcaktimin e strategjisë së përgjithshme të luftës kundër kriminalitetit në vend dhe në këtë drejtim ligjvënësit i njihen hapësira për zgjidhje diskrecionale që i rezervohen vetëm atij. As gjykata referuese në kërkesën e saj dhe as shumica në arsyetimin e vendimit nuk kanë arritur të japin argumente që lidhen me mosplotësimin e kushtit të diktuar nga norma kushtetuese dhe që kërkon që masa e marrë të jetë proporcionale në raport me gjendjen dhe me shkeljet për të cilat është parashikuar dhënia e tyre. </w:t>
      </w:r>
    </w:p>
    <w:p w:rsidR="00B47E2E" w:rsidRPr="00F94F62" w:rsidRDefault="00B47E2E" w:rsidP="00B47E2E">
      <w:pPr>
        <w:pStyle w:val="Paragrafi"/>
        <w:rPr>
          <w:sz w:val="21"/>
          <w:szCs w:val="21"/>
          <w:lang w:val="sq-AL"/>
        </w:rPr>
      </w:pPr>
      <w:r w:rsidRPr="00F94F62">
        <w:rPr>
          <w:sz w:val="21"/>
          <w:szCs w:val="21"/>
          <w:lang w:val="sq-AL"/>
        </w:rPr>
        <w:t>Sanksionet penale, për shkak të kufizimeve që përcaktojnë në të drejtat dhe liritë themelore të njeriut, parashikohen vetëm për ato lloj veprimesh ose mosveprimesh, të cilat, në përputhje me parimin e proporcionalitetit, të jenë të krahasueshme për nga rëndësia me vlerat që mbrojnë. Që të jetë i pranueshëm dënimi penal në aspektin kushtetues, në përputhje me nenin 17/1 të Kushtetutës, ai duhet të jetë i drejtë dhe në përpjesëtim me veprën penale. Domosdoshmëria e sanksionit penal është një element i patjetërsueshëm i rendit juridik pozitiv, por që të mund të ketë një proces riedukativ të suksesshëm, duhet që ndëshkimi penal të perceptohet nga autori i veprës si i drejtë dhe në përpjesëtim me veprën e kryer prej tij (</w:t>
      </w:r>
      <w:r w:rsidRPr="00F94F62">
        <w:rPr>
          <w:i/>
          <w:sz w:val="21"/>
          <w:szCs w:val="21"/>
          <w:lang w:val="sq-AL"/>
        </w:rPr>
        <w:t>shih vendimin nr. 19, datë 1.6.2011 të Gjykatës Kushtetuese</w:t>
      </w:r>
      <w:r w:rsidRPr="00F94F62">
        <w:rPr>
          <w:sz w:val="21"/>
          <w:szCs w:val="21"/>
          <w:lang w:val="sq-AL"/>
        </w:rPr>
        <w:t>).</w:t>
      </w:r>
    </w:p>
    <w:p w:rsidR="00B47E2E" w:rsidRPr="00F94F62" w:rsidRDefault="00B47E2E" w:rsidP="00B47E2E">
      <w:pPr>
        <w:pStyle w:val="Paragrafi"/>
        <w:rPr>
          <w:bCs/>
          <w:sz w:val="21"/>
          <w:szCs w:val="21"/>
          <w:lang w:val="sq-AL"/>
        </w:rPr>
      </w:pPr>
      <w:r w:rsidRPr="00F94F62">
        <w:rPr>
          <w:sz w:val="21"/>
          <w:szCs w:val="21"/>
          <w:lang w:val="sq-AL"/>
        </w:rPr>
        <w:t xml:space="preserve"> Në këtë kuptim gjykata referuese, e legjitimuar për kundërshtimin e neneve 190 dhe 191 të Kodit Penal, si dispozitat e zbatueshme në rastin konkret, duhet të argumentonte se masa e dënimit e dhënë për veprat penale të parashikuara nga këto dy nene nuk është në përpjesëtim me shkeljen e parashikuar. Pra, e thënë ndryshe, se ashpërsia e dënimit (parashikimi i dy dënimeve kryesore në këto dy nene), është joproporcionale në raport me rëndësinë e shkeljes konkrete dhe me pasojat e mundshme që mund të vijnë prej saj. Ne gjyqtarët në pakicë vlerësojmë se gjykata referuese nuk ka arritur t’i ngrejë pretendimet në lidhje me këto dispozita në nivel kushtetues. Në rastin konkret, gjykatës referuese i lindte detyrimi që për secilën nga dispozitat e kundërshtuara të provonte se përcaktimi në Kod i dy dënimeve kryesore (me burgim dhe gjobë) për veprat penale përkatëse, bie në kundërshtim me nenin 17/1 të Kushtetutës, duke pasur detyrimin të argumentonte se dënimi penal në rastin e këtyre veprave penale konkrete, në aspektin kushtetues nuk është i drejtë dhe në përpjesëtim me veprën. Ajo duhej të argumentonte se dënimi për veprat penale të parashikuara nga nenet 190 dhe 191 të Kodit Penal, duke analizuar rrezikshmërinë e veprës penale, të autorit të saj, shkallën e fajit, si dhe rrethanat lehtësuese dhe rënduese, nuk është proporcional me veprën penale. Duke mos arritur të argumentojë sa më sipër, gjykata referuese nuk ka përmbushur detyrimin e saj për parashtrimin e shkaqeve </w:t>
      </w:r>
      <w:r w:rsidRPr="00F94F62">
        <w:rPr>
          <w:bCs/>
          <w:sz w:val="21"/>
          <w:szCs w:val="21"/>
          <w:lang w:val="sq-AL"/>
        </w:rPr>
        <w:t xml:space="preserve">për jokushtetutshmërinë e dispozitave të Kodit Penal, duke referuar në normat ose parimet konkrete të Kushtetutës. </w:t>
      </w:r>
    </w:p>
    <w:p w:rsidR="00B47E2E" w:rsidRPr="00F94F62" w:rsidRDefault="00B47E2E" w:rsidP="00B47E2E">
      <w:pPr>
        <w:pStyle w:val="Paragrafi"/>
        <w:rPr>
          <w:sz w:val="21"/>
          <w:szCs w:val="21"/>
          <w:lang w:val="sq-AL"/>
        </w:rPr>
      </w:pPr>
      <w:r w:rsidRPr="00F94F62">
        <w:rPr>
          <w:sz w:val="21"/>
          <w:szCs w:val="21"/>
          <w:lang w:val="sq-AL"/>
        </w:rPr>
        <w:t>Ne gjyqtarët në pakicë duam të evidentojmë gjithashtu, se shumica ka pranuar kërkesën duke arsyetuar, se kjo liri e ligjvënësit është e kufizuar kur është fjala për vlerësimin e fajit si element i domosdoshëm i përgjegjësisë penale dhe, në raport me shkallën e tij, për caktimin e llojit dhe masës së dënimit konkret, pasi këto elemente janë të vlerësueshme vetëm nga gjykatat e zakonshme, rast pas rasti. Në këtë drejtim shumica çmon se përcaktimi i veprave penale dhe llojeve të dënimeve janë në diskrecion të ligjvënësit, ndërsa individualizimi i tyre, rast pas rasti, është në diskrecion të gjykatës, e cila, duke shqyrtuar të gjitha elementet juridike të veprës penale, shkallën e fajit dhe pasojat e ardhura nga vepra penale, cakton llojin dhe masën e dënimit për autorët e veprave penale. Duke pasur parasysh sa më sipër duket se shumica nuk argumenton cenimin e ndalimit kushtetues të kufizimit në kushtet e mosargumentimit të interesit publik, por në thelb i referohet parimit të ndarjes së pushteteve, një pretendim që nuk është ngritur nga kërkuesi dhe si i tillë nuk mund të merret në shqyrtim prej Gjykatës. Ndryshe nga sa argumenton shumica, gjykata nuk pengohet në rastin konkret, për sa i përket individualizimit të dënimit për veprat penale të parashikuara nga nenet 190 dhe 191 të Kodi Penal, përkundrazi, ajo ka një fushëveprimi të gjerë për caktimin e llojit dhe masës së dënimit në përputhje me dispozitat procedurale penale të sipërpërmendura.</w:t>
      </w:r>
    </w:p>
    <w:p w:rsidR="00B47E2E" w:rsidRPr="00F94F62" w:rsidRDefault="00B47E2E" w:rsidP="00B47E2E">
      <w:pPr>
        <w:pStyle w:val="Paragrafi"/>
        <w:rPr>
          <w:sz w:val="21"/>
          <w:szCs w:val="21"/>
          <w:lang w:val="sq-AL"/>
        </w:rPr>
      </w:pPr>
      <w:r w:rsidRPr="00F94F62">
        <w:rPr>
          <w:sz w:val="21"/>
          <w:szCs w:val="21"/>
          <w:lang w:val="sq-AL"/>
        </w:rPr>
        <w:t xml:space="preserve">Në lidhje me shfuqizimin e paragrafit të fundit të nenit 29 të Kodit Penal, që parashikon se “dënimi me burgim dhe gjobë jepen bashkërisht, kur parashikohet në dispozitat përkatëse të këtij Kodi”, ne gjyqtarët në pakicë vlerësojmë se shumica ka dalë tej objektit të këtij gjykimi. Në thelb shumica argumenton se është në diskrecion të gjykatës që, në kuptim të nenit 34 të Kodit Penal, kur është nevoja, të zbatojë secilin prej dënimeve kryesore të parashikuara nga neni 29 i këtij Kodi së bashku me dënimet plotësuese, si dhe me dënimin me gjobë, duke e konsideruar këtë një mjet të mjaftueshëm për arritjen e qëllimit të dënimit penal dhe në proporcion me parimet e legjislacionit penal. Pra, në thelb, shumica arsyeton se sanksionimi nga ana e ligjvënësit i dy dënimeve kryesore në nenin 29 të Kodit Penal bie ndesh me parimin e proporcionalitetit, të sanksionuar nga neni 17 i Kushtetutës, por ky parim nuk cenohet në rastin e zbatimit nga gjykata të dy dënimeve. Ne gjyqtarët në pakicë vlerësojmë se neni 29 nuk gjen zbatim </w:t>
      </w:r>
      <w:r w:rsidRPr="00F94F62">
        <w:rPr>
          <w:i/>
          <w:sz w:val="21"/>
          <w:szCs w:val="21"/>
          <w:lang w:val="sq-AL"/>
        </w:rPr>
        <w:t>a priori</w:t>
      </w:r>
      <w:r w:rsidRPr="00F94F62">
        <w:rPr>
          <w:sz w:val="21"/>
          <w:szCs w:val="21"/>
          <w:lang w:val="sq-AL"/>
        </w:rPr>
        <w:t xml:space="preserve"> për çdo vepër penale, por ai gjen zbatim rast pas rasti, sipas parashikimeve specifike në dispozitat përkatëse të Kodit Penal që rregullojnë veprat e ndryshme penale. Vlerësimi nëse një dënim i caktuar penal, për shkak të kufizimit që përcakton në të drejtat dhe liritë themelore të njeriut, është proporcional në raport me gjendjen dhe me shkeljet, për të cilat është parashikuar dhënia e atij dënimi, në rastin konkret parashikimi i dy dënimeve nga ana e ligjvënësit, është një vlerësim që duhet bërë rast pas rasti, pas shqyrtimit të rrethanave konkrete të çështjes kushtetuese dhe pas marrjes në analizë të elementeve të veprës penale përkatëse, shkallës së rrezikshmërisë dhe pasojave që vijnë nga ajo vepër penale. </w:t>
      </w:r>
    </w:p>
    <w:p w:rsidR="00B47E2E" w:rsidRPr="00F94F62" w:rsidRDefault="00B47E2E" w:rsidP="00B47E2E">
      <w:pPr>
        <w:pStyle w:val="Paragrafi"/>
        <w:rPr>
          <w:sz w:val="21"/>
          <w:szCs w:val="21"/>
          <w:lang w:val="sq-AL"/>
        </w:rPr>
      </w:pPr>
      <w:r w:rsidRPr="00F94F62">
        <w:rPr>
          <w:sz w:val="21"/>
          <w:szCs w:val="21"/>
          <w:lang w:val="sq-AL"/>
        </w:rPr>
        <w:t xml:space="preserve">Ne gjyqtarët në pakicë ritheksojmë, se raporti midis lirisë interpretuese të gjyqtarit referues dhe veprimtarisë interpretuese të Gjykatës Kushtetuese përfaqëson një çelës për të kuptuar lidhjen midis kërkesave të drejtësisë kushtetuese të gjyqtarit të zakonshëm dhe përgjigjeve që u jep atyre gjyqtari kushtetues. Gjykimi incidental i kushtetutshmërisë ka synim të vendosë rregulla ligjore në përputhje me parimet kushtetuese dhe kërkon që, në një rast konkret kërkesat e drejtësisë të mos plotësohen nga norma e zbatueshme por, përkundrazi, të pengohen nga ajo, pas përpjekjes së gjyqtarit referues për t’i dhënë asaj një interpretim në pajtim me Kushtetutën. Në thelb kërkesa të tilla shprehin qëllimin kryesor të gjyqtarit referues, që është ndryshimi i kuadrit ligjor nëpërmjet largimit të dispozitës që kundërshtohet si jokushtetuese nga rendi ligjor dhe afirmimi nga ana e Gjykatës Kushtetuese i parimeve kushtetuese që konsiderohen të cenuara nga dispozitat përkatëse. Në këtë kuptim, si gjyqtarët e zakonshëm ashtu edhe ata kushtetues, përfshihen, edhe pse në kufij të përcaktuar mirë, në një lloj “procesi legjislativ”. Prandaj, nuk është e mjaftueshme që çështja të ngrihet nga një gjyqtar, gjatë zbatimit të një dispozite ligjore, në një rast konkret, por është e rëndësishme që ai të evidentojë edhe parimet kushtetuese të cenuara, </w:t>
      </w:r>
      <w:r w:rsidRPr="00F94F62">
        <w:rPr>
          <w:bCs/>
          <w:sz w:val="21"/>
          <w:szCs w:val="21"/>
          <w:lang w:val="sq-AL"/>
        </w:rPr>
        <w:t xml:space="preserve">pra të parashtrojë arsye serioze për jokushtetutshmërinë e dispozitave të kundërshtuara, </w:t>
      </w:r>
      <w:r w:rsidRPr="00F94F62">
        <w:rPr>
          <w:sz w:val="21"/>
          <w:szCs w:val="21"/>
          <w:lang w:val="sq-AL"/>
        </w:rPr>
        <w:t>pasi Gjykata Kushtetuese nuk mund të zëvendësojë gjyqtarin referues, për sa i përket kryerjes së vlerësimit në lidhje me kushtet procedurale që i paraprijnë fillimit të gjykimit incidental të kushtetutshmërisë së normës.</w:t>
      </w:r>
    </w:p>
    <w:p w:rsidR="00B47E2E" w:rsidRPr="00F94F62" w:rsidRDefault="00B47E2E" w:rsidP="00B47E2E">
      <w:pPr>
        <w:pStyle w:val="Paragrafi"/>
        <w:rPr>
          <w:sz w:val="21"/>
          <w:szCs w:val="21"/>
          <w:lang w:val="sq-AL"/>
        </w:rPr>
      </w:pPr>
      <w:r w:rsidRPr="00F94F62">
        <w:rPr>
          <w:sz w:val="21"/>
          <w:szCs w:val="21"/>
          <w:lang w:val="sq-AL"/>
        </w:rPr>
        <w:t xml:space="preserve">Në vijim të arsyetimit të mësipërm, ne gjyqtarët në pakicë, vlerësojmë se gjykata referuese nuk i ka ngritur në nivel kushtetues pretendimet e saj për jokushtetutshmërinë e dispozitave të kundërshtuara, si dhe nuk ka arritur të argumentojë se ka bërë të gjitha përpjekjet për t’i interpretuar këto dispozita në përputhje me Kushtetutën përpara se t’i drejtohej Gjykatës Kushtetuese. </w:t>
      </w:r>
    </w:p>
    <w:p w:rsidR="00B47E2E" w:rsidRPr="00F94F62" w:rsidRDefault="00B47E2E" w:rsidP="00B47E2E">
      <w:pPr>
        <w:pStyle w:val="Paragrafi"/>
        <w:rPr>
          <w:sz w:val="21"/>
          <w:szCs w:val="21"/>
          <w:lang w:val="sq-AL"/>
        </w:rPr>
      </w:pPr>
      <w:r w:rsidRPr="00F94F62">
        <w:rPr>
          <w:sz w:val="21"/>
          <w:szCs w:val="21"/>
          <w:lang w:val="sq-AL"/>
        </w:rPr>
        <w:t>Në këto kushte, kërkesa e Gjykatës së Apelit Vlorë duhej rrëzuar.</w:t>
      </w:r>
    </w:p>
    <w:p w:rsidR="00B47E2E" w:rsidRPr="00F94F62" w:rsidRDefault="00B47E2E" w:rsidP="00B47E2E">
      <w:pPr>
        <w:pStyle w:val="Paragrafi"/>
        <w:rPr>
          <w:bCs/>
          <w:sz w:val="21"/>
          <w:szCs w:val="21"/>
          <w:lang w:val="sq-AL"/>
        </w:rPr>
      </w:pPr>
    </w:p>
    <w:p w:rsidR="00B2380E" w:rsidRDefault="00B47E2E" w:rsidP="00B47E2E">
      <w:pPr>
        <w:pStyle w:val="Paragrafi"/>
      </w:pPr>
      <w:r w:rsidRPr="00F94F62">
        <w:t>Anëtarë: Altina Xhoxhaj, Sokol Berberi, Vitore Tusha</w:t>
      </w:r>
      <w:r w:rsidRPr="00F94F62">
        <w:tab/>
      </w:r>
      <w:r w:rsidRPr="00F94F62">
        <w:tab/>
        <w:t xml:space="preserve"> </w:t>
      </w:r>
      <w:r w:rsidRPr="00F94F62">
        <w:tab/>
      </w:r>
    </w:p>
    <w:sectPr w:rsidR="00B2380E" w:rsidSect="00B2380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6B2D" w:rsidRDefault="002F6B2D" w:rsidP="00B47E2E">
      <w:r>
        <w:separator/>
      </w:r>
    </w:p>
  </w:endnote>
  <w:endnote w:type="continuationSeparator" w:id="0">
    <w:p w:rsidR="002F6B2D" w:rsidRDefault="002F6B2D" w:rsidP="00B47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6B2D" w:rsidRDefault="002F6B2D" w:rsidP="00B47E2E">
      <w:r>
        <w:separator/>
      </w:r>
    </w:p>
  </w:footnote>
  <w:footnote w:type="continuationSeparator" w:id="0">
    <w:p w:rsidR="002F6B2D" w:rsidRDefault="002F6B2D" w:rsidP="00B47E2E">
      <w:r>
        <w:continuationSeparator/>
      </w:r>
    </w:p>
  </w:footnote>
  <w:footnote w:id="1">
    <w:p w:rsidR="00B47E2E" w:rsidRPr="003E0C29" w:rsidRDefault="00B47E2E" w:rsidP="00B47E2E">
      <w:pPr>
        <w:jc w:val="both"/>
        <w:rPr>
          <w:rFonts w:ascii="CG Times" w:hAnsi="CG Times"/>
          <w:sz w:val="18"/>
          <w:szCs w:val="18"/>
        </w:rPr>
      </w:pPr>
      <w:r w:rsidRPr="003E0C29">
        <w:rPr>
          <w:rStyle w:val="FootnoteReference"/>
          <w:rFonts w:ascii="CG Times" w:hAnsi="CG Times"/>
          <w:sz w:val="18"/>
          <w:szCs w:val="18"/>
        </w:rPr>
        <w:footnoteRef/>
      </w:r>
      <w:r w:rsidRPr="003E0C29">
        <w:rPr>
          <w:rFonts w:ascii="CG Times" w:hAnsi="CG Times"/>
          <w:sz w:val="18"/>
          <w:szCs w:val="18"/>
        </w:rPr>
        <w:t xml:space="preserve"> Në Itali ka pasur ndërhyrje të shumta të ligjvënësit</w:t>
      </w:r>
      <w:r>
        <w:rPr>
          <w:rFonts w:ascii="CG Times" w:hAnsi="CG Times"/>
          <w:sz w:val="18"/>
          <w:szCs w:val="18"/>
        </w:rPr>
        <w:t>,</w:t>
      </w:r>
      <w:r w:rsidRPr="003E0C29">
        <w:rPr>
          <w:rFonts w:ascii="CG Times" w:hAnsi="CG Times"/>
          <w:sz w:val="18"/>
          <w:szCs w:val="18"/>
        </w:rPr>
        <w:t xml:space="preserve"> jo vetëm për zëvendësimin e disa dënimeve kryesore me</w:t>
      </w:r>
      <w:r>
        <w:rPr>
          <w:rFonts w:ascii="CG Times" w:hAnsi="CG Times"/>
          <w:sz w:val="18"/>
          <w:szCs w:val="18"/>
        </w:rPr>
        <w:t xml:space="preserve"> ato plotësuese, por edhe (me DP</w:t>
      </w:r>
      <w:r w:rsidRPr="003E0C29">
        <w:rPr>
          <w:rFonts w:ascii="CG Times" w:hAnsi="CG Times"/>
          <w:sz w:val="18"/>
          <w:szCs w:val="18"/>
        </w:rPr>
        <w:t>R 30 qershor 2000 n. 230) në lidhje me legjislacionin e aplikimit të dënimeve, për t’i dhënë vlerë parimit kushte</w:t>
      </w:r>
      <w:r>
        <w:rPr>
          <w:rFonts w:ascii="CG Times" w:hAnsi="CG Times"/>
          <w:sz w:val="18"/>
          <w:szCs w:val="18"/>
        </w:rPr>
        <w:t>tues të funksionit riedukativ të</w:t>
      </w:r>
      <w:r w:rsidRPr="003E0C29">
        <w:rPr>
          <w:rFonts w:ascii="CG Times" w:hAnsi="CG Times"/>
          <w:sz w:val="18"/>
          <w:szCs w:val="18"/>
        </w:rPr>
        <w:t xml:space="preserve"> dënimit.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47E2E"/>
    <w:rsid w:val="0017760B"/>
    <w:rsid w:val="002F6B2D"/>
    <w:rsid w:val="0059513C"/>
    <w:rsid w:val="00924BDD"/>
    <w:rsid w:val="00B2380E"/>
    <w:rsid w:val="00B47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1"/>
    </o:shapelayout>
  </w:shapeDefaults>
  <w:decimalSymbol w:val="."/>
  <w:listSeparator w:val=","/>
  <w15:chartTrackingRefBased/>
  <w15:docId w15:val="{36C66CD8-EBFF-4D5D-81EC-FC07C53F8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7E2E"/>
    <w:rPr>
      <w:rFonts w:ascii="Times New Roman" w:eastAsia="MS Mincho" w:hAnsi="Times New Roman"/>
      <w:sz w:val="24"/>
      <w:szCs w:val="24"/>
      <w:lang w:val="sq-A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B47E2E"/>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Institucioni">
    <w:name w:val="Institucioni"/>
    <w:next w:val="Normal"/>
    <w:uiPriority w:val="99"/>
    <w:rsid w:val="00B47E2E"/>
    <w:pPr>
      <w:keepNext/>
      <w:widowControl w:val="0"/>
      <w:jc w:val="center"/>
    </w:pPr>
    <w:rPr>
      <w:rFonts w:ascii="CG Times" w:eastAsia="MS Mincho" w:hAnsi="CG Times" w:cs="CG Times"/>
      <w:caps/>
      <w:sz w:val="22"/>
      <w:szCs w:val="22"/>
      <w:lang w:eastAsia="en-US"/>
    </w:rPr>
  </w:style>
  <w:style w:type="paragraph" w:customStyle="1" w:styleId="NumriData">
    <w:name w:val="Numri_Data"/>
    <w:next w:val="Normal"/>
    <w:link w:val="NumriDataChar"/>
    <w:uiPriority w:val="99"/>
    <w:rsid w:val="00B47E2E"/>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B47E2E"/>
    <w:rPr>
      <w:rFonts w:ascii="CG Times" w:eastAsia="MS Mincho" w:hAnsi="CG Times" w:cs="CG Times"/>
      <w:b/>
      <w:bCs/>
      <w:sz w:val="22"/>
      <w:szCs w:val="22"/>
      <w:lang w:val="en-GB" w:eastAsia="en-US" w:bidi="ar-SA"/>
    </w:rPr>
  </w:style>
  <w:style w:type="paragraph" w:customStyle="1" w:styleId="Paragrafi">
    <w:name w:val="Paragrafi"/>
    <w:link w:val="ParagrafiChar"/>
    <w:rsid w:val="00B47E2E"/>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B47E2E"/>
    <w:rPr>
      <w:rFonts w:ascii="CG Times" w:eastAsia="MS Mincho" w:hAnsi="CG Times" w:cs="CG Times"/>
      <w:sz w:val="22"/>
      <w:szCs w:val="22"/>
      <w:lang w:val="en-US" w:eastAsia="en-US" w:bidi="ar-SA"/>
    </w:rPr>
  </w:style>
  <w:style w:type="paragraph" w:customStyle="1" w:styleId="Titulli">
    <w:name w:val="Titulli"/>
    <w:next w:val="Normal"/>
    <w:link w:val="TitulliChar"/>
    <w:uiPriority w:val="99"/>
    <w:rsid w:val="00B47E2E"/>
    <w:pPr>
      <w:keepNext/>
      <w:widowControl w:val="0"/>
      <w:jc w:val="center"/>
      <w:outlineLvl w:val="1"/>
    </w:pPr>
    <w:rPr>
      <w:rFonts w:ascii="CG Times" w:eastAsia="MS Mincho" w:hAnsi="CG Times" w:cs="CG Times"/>
      <w:b/>
      <w:bCs/>
      <w:caps/>
      <w:sz w:val="22"/>
      <w:szCs w:val="22"/>
      <w:lang w:eastAsia="en-US"/>
    </w:rPr>
  </w:style>
  <w:style w:type="paragraph" w:customStyle="1" w:styleId="TitulliTitull">
    <w:name w:val="Titulli_Titull"/>
    <w:link w:val="TitulliTitullChar"/>
    <w:uiPriority w:val="99"/>
    <w:rsid w:val="00B47E2E"/>
    <w:pPr>
      <w:keepNext/>
      <w:widowControl w:val="0"/>
      <w:jc w:val="center"/>
      <w:outlineLvl w:val="0"/>
    </w:pPr>
    <w:rPr>
      <w:rFonts w:ascii="CG Times" w:eastAsia="MS Mincho" w:hAnsi="CG Times" w:cs="CG Times"/>
      <w:caps/>
      <w:sz w:val="22"/>
      <w:szCs w:val="22"/>
      <w:lang w:eastAsia="en-US"/>
    </w:rPr>
  </w:style>
  <w:style w:type="paragraph" w:customStyle="1" w:styleId="VENDOSI">
    <w:name w:val="VENDOSI"/>
    <w:next w:val="Normal"/>
    <w:link w:val="VENDOSIChar"/>
    <w:uiPriority w:val="99"/>
    <w:rsid w:val="00B47E2E"/>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B47E2E"/>
    <w:rPr>
      <w:rFonts w:ascii="CG Times" w:eastAsia="MS Mincho" w:hAnsi="CG Times" w:cs="CG Times"/>
      <w:caps/>
      <w:sz w:val="22"/>
      <w:szCs w:val="22"/>
      <w:lang w:val="en-GB" w:eastAsia="en-US" w:bidi="ar-SA"/>
    </w:rPr>
  </w:style>
  <w:style w:type="character" w:styleId="FootnoteReference">
    <w:name w:val="footnote reference"/>
    <w:basedOn w:val="DefaultParagraphFont"/>
    <w:semiHidden/>
    <w:rsid w:val="00B47E2E"/>
    <w:rPr>
      <w:vertAlign w:val="superscript"/>
    </w:rPr>
  </w:style>
  <w:style w:type="character" w:customStyle="1" w:styleId="TitulliChar">
    <w:name w:val="Titulli Char"/>
    <w:basedOn w:val="DefaultParagraphFont"/>
    <w:link w:val="Titulli"/>
    <w:uiPriority w:val="99"/>
    <w:rsid w:val="00B47E2E"/>
    <w:rPr>
      <w:rFonts w:ascii="CG Times" w:eastAsia="MS Mincho" w:hAnsi="CG Times" w:cs="CG Times"/>
      <w:b/>
      <w:bCs/>
      <w:caps/>
      <w:sz w:val="22"/>
      <w:szCs w:val="22"/>
      <w:lang w:val="en-GB" w:eastAsia="en-US" w:bidi="ar-SA"/>
    </w:rPr>
  </w:style>
  <w:style w:type="character" w:customStyle="1" w:styleId="TitulliTitullChar">
    <w:name w:val="Titulli_Titull Char"/>
    <w:basedOn w:val="DefaultParagraphFont"/>
    <w:link w:val="TitulliTitull"/>
    <w:uiPriority w:val="99"/>
    <w:rsid w:val="00B47E2E"/>
    <w:rPr>
      <w:rFonts w:ascii="CG Times" w:eastAsia="MS Mincho" w:hAnsi="CG Times" w:cs="CG Times"/>
      <w:caps/>
      <w:sz w:val="22"/>
      <w:szCs w:val="22"/>
      <w:lang w:val="en-GB" w:eastAsia="en-US" w:bidi="ar-SA"/>
    </w:rPr>
  </w:style>
  <w:style w:type="character" w:customStyle="1" w:styleId="AktiChar">
    <w:name w:val="Akti Char"/>
    <w:basedOn w:val="DefaultParagraphFont"/>
    <w:link w:val="Akti"/>
    <w:uiPriority w:val="99"/>
    <w:rsid w:val="00B47E2E"/>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10091</Words>
  <Characters>57519</Characters>
  <Application>Microsoft Office Word</Application>
  <DocSecurity>0</DocSecurity>
  <Lines>479</Lines>
  <Paragraphs>134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67476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2019-03-18T15:20:00Z</dcterms:created>
  <dcterms:modified xsi:type="dcterms:W3CDTF">2019-03-18T15:20:00Z</dcterms:modified>
</cp:coreProperties>
</file>