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AFE" w:rsidRPr="00FC5595" w:rsidRDefault="003B5AFE" w:rsidP="003B5AFE">
      <w:pPr>
        <w:pStyle w:val="Akti"/>
        <w:keepNext w:val="0"/>
        <w:rPr>
          <w:lang w:val="sq-AL"/>
        </w:rPr>
      </w:pPr>
      <w:bookmarkStart w:id="0" w:name="_GoBack"/>
      <w:bookmarkEnd w:id="0"/>
      <w:r w:rsidRPr="00FC5595">
        <w:rPr>
          <w:lang w:val="sq-AL"/>
        </w:rPr>
        <w:t>VENDIM</w:t>
      </w:r>
    </w:p>
    <w:p w:rsidR="003B5AFE" w:rsidRPr="00FC5595" w:rsidRDefault="003B5AFE" w:rsidP="003B5AFE">
      <w:pPr>
        <w:pStyle w:val="NumriData"/>
        <w:keepNext w:val="0"/>
        <w:rPr>
          <w:lang w:val="sq-AL"/>
        </w:rPr>
      </w:pPr>
      <w:r w:rsidRPr="00FC5595">
        <w:rPr>
          <w:lang w:val="sq-AL"/>
        </w:rPr>
        <w:t>Nr. 3, datë 19.2.2013</w:t>
      </w:r>
    </w:p>
    <w:p w:rsidR="003B5AFE" w:rsidRPr="00FC5595" w:rsidRDefault="003B5AFE" w:rsidP="003B5AFE">
      <w:pPr>
        <w:pStyle w:val="Paragrafi"/>
        <w:jc w:val="center"/>
        <w:rPr>
          <w:b/>
          <w:lang w:val="sq-AL"/>
        </w:rPr>
      </w:pPr>
    </w:p>
    <w:p w:rsidR="003B5AFE" w:rsidRPr="00014AC2" w:rsidRDefault="003B5AFE" w:rsidP="003B5AFE">
      <w:pPr>
        <w:pStyle w:val="Titulli"/>
        <w:keepNext w:val="0"/>
        <w:rPr>
          <w:b w:val="0"/>
          <w:lang w:val="sq-AL"/>
        </w:rPr>
      </w:pPr>
      <w:r w:rsidRPr="00014AC2">
        <w:rPr>
          <w:b w:val="0"/>
          <w:lang w:val="sq-AL"/>
        </w:rPr>
        <w:t>NË EMËR TË REPUBLIKËS SË SHQIPËRISË</w:t>
      </w:r>
    </w:p>
    <w:p w:rsidR="003B5AFE" w:rsidRPr="00FC5595" w:rsidRDefault="003B5AFE" w:rsidP="003B5AFE">
      <w:pPr>
        <w:pStyle w:val="Paragrafi"/>
        <w:rPr>
          <w:u w:val="single"/>
          <w:lang w:val="sq-AL"/>
        </w:rPr>
      </w:pPr>
    </w:p>
    <w:p w:rsidR="003B5AFE" w:rsidRPr="00FC5595" w:rsidRDefault="003B5AFE" w:rsidP="003B5AFE">
      <w:pPr>
        <w:pStyle w:val="Paragrafi"/>
        <w:rPr>
          <w:lang w:val="sq-AL"/>
        </w:rPr>
      </w:pPr>
      <w:r w:rsidRPr="00FC5595">
        <w:rPr>
          <w:lang w:val="sq-AL"/>
        </w:rPr>
        <w:t>Gjykata Kushtetuese e Republikës së Shqipërisë, e përbërë nga:</w:t>
      </w:r>
    </w:p>
    <w:p w:rsidR="003B5AFE" w:rsidRPr="00FC5595" w:rsidRDefault="003B5AFE" w:rsidP="003B5AFE">
      <w:pPr>
        <w:pStyle w:val="Paragrafi"/>
        <w:rPr>
          <w:lang w:val="sq-AL"/>
        </w:rPr>
      </w:pPr>
      <w:r w:rsidRPr="00FC5595">
        <w:rPr>
          <w:lang w:val="sq-AL"/>
        </w:rPr>
        <w:t>Bashkim Dedja</w:t>
      </w:r>
      <w:r w:rsidRPr="00FC5595">
        <w:rPr>
          <w:lang w:val="sq-AL"/>
        </w:rPr>
        <w:tab/>
      </w:r>
      <w:r w:rsidRPr="00FC5595">
        <w:rPr>
          <w:lang w:val="sq-AL"/>
        </w:rPr>
        <w:tab/>
        <w:t>kryetar i Gjykatës Kushtetuese</w:t>
      </w:r>
    </w:p>
    <w:p w:rsidR="003B5AFE" w:rsidRPr="00FC5595" w:rsidRDefault="003B5AFE" w:rsidP="003B5AFE">
      <w:pPr>
        <w:pStyle w:val="Paragrafi"/>
        <w:rPr>
          <w:lang w:val="sq-AL"/>
        </w:rPr>
      </w:pPr>
      <w:r w:rsidRPr="00FC5595">
        <w:rPr>
          <w:lang w:val="sq-AL"/>
        </w:rPr>
        <w:t>Xhezair Zaganjori</w:t>
      </w:r>
      <w:r w:rsidRPr="00FC5595">
        <w:rPr>
          <w:lang w:val="sq-AL"/>
        </w:rPr>
        <w:tab/>
        <w:t>anëtar i</w:t>
      </w:r>
      <w:r w:rsidRPr="00FC5595">
        <w:rPr>
          <w:lang w:val="sq-AL"/>
        </w:rPr>
        <w:tab/>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Vitore Tusha</w:t>
      </w:r>
      <w:r w:rsidRPr="00FC5595">
        <w:rPr>
          <w:lang w:val="sq-AL"/>
        </w:rPr>
        <w:tab/>
      </w:r>
      <w:r w:rsidRPr="00FC5595">
        <w:rPr>
          <w:lang w:val="sq-AL"/>
        </w:rPr>
        <w:tab/>
        <w:t xml:space="preserve">anëtare e </w:t>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So</w:t>
      </w:r>
      <w:r>
        <w:rPr>
          <w:lang w:val="sq-AL"/>
        </w:rPr>
        <w:t>kol Berberi</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Admir Thanza</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Altina Xhoxhaj</w:t>
      </w:r>
      <w:r w:rsidRPr="00FC5595">
        <w:rPr>
          <w:lang w:val="sq-AL"/>
        </w:rPr>
        <w:tab/>
        <w:t xml:space="preserve"> </w:t>
      </w:r>
      <w:r w:rsidRPr="00FC5595">
        <w:rPr>
          <w:lang w:val="sq-AL"/>
        </w:rPr>
        <w:tab/>
        <w:t xml:space="preserve">anëtare e </w:t>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 xml:space="preserve">Fatmir Hoxha </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Vladimir Kristo</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3B5AFE" w:rsidRPr="00FC5595" w:rsidRDefault="003B5AFE" w:rsidP="003B5AFE">
      <w:pPr>
        <w:pStyle w:val="Paragrafi"/>
        <w:rPr>
          <w:lang w:val="sq-AL"/>
        </w:rPr>
      </w:pPr>
      <w:r w:rsidRPr="00FC5595">
        <w:rPr>
          <w:lang w:val="sq-AL"/>
        </w:rPr>
        <w:t>me sekretare Blerina Basha, në datën 8.11.2012, mori në shqyrtim në seancë gjyqësore me dyer të hapura, çështjen nr. 38/12 Akti, që i përket:</w:t>
      </w:r>
    </w:p>
    <w:p w:rsidR="003B5AFE" w:rsidRPr="00FC5595" w:rsidRDefault="003B5AFE" w:rsidP="003B5AFE">
      <w:pPr>
        <w:pStyle w:val="Paragrafi"/>
        <w:rPr>
          <w:lang w:val="sq-AL"/>
        </w:rPr>
      </w:pPr>
      <w:r w:rsidRPr="00FC5595">
        <w:rPr>
          <w:lang w:val="sq-AL"/>
        </w:rPr>
        <w:t>KËRKUES: Nikolaos Vagenas</w:t>
      </w:r>
      <w:r>
        <w:rPr>
          <w:lang w:val="sq-AL"/>
        </w:rPr>
        <w:t>,</w:t>
      </w:r>
      <w:r w:rsidRPr="00FC5595">
        <w:rPr>
          <w:lang w:val="sq-AL"/>
        </w:rPr>
        <w:t xml:space="preserve"> përfaqësuar nga avokat Reshit Trungu, me prokurë të posaçme.</w:t>
      </w:r>
    </w:p>
    <w:p w:rsidR="003B5AFE" w:rsidRPr="00FC5595" w:rsidRDefault="003B5AFE" w:rsidP="003B5AFE">
      <w:pPr>
        <w:pStyle w:val="Paragrafi"/>
        <w:rPr>
          <w:lang w:val="sq-AL"/>
        </w:rPr>
      </w:pPr>
      <w:r w:rsidRPr="00FC5595">
        <w:rPr>
          <w:lang w:val="sq-AL"/>
        </w:rPr>
        <w:t>SUBJEKTE TË INTERESUARA: Vangjel Xhamo</w:t>
      </w:r>
      <w:r>
        <w:rPr>
          <w:lang w:val="sq-AL"/>
        </w:rPr>
        <w:t>,</w:t>
      </w:r>
      <w:r w:rsidRPr="00FC5595">
        <w:rPr>
          <w:lang w:val="sq-AL"/>
        </w:rPr>
        <w:t xml:space="preserve"> përfaqësuar nga avokat Zhulien Ristani, me deklarim në seancë.</w:t>
      </w:r>
    </w:p>
    <w:p w:rsidR="003B5AFE" w:rsidRPr="00FC5595" w:rsidRDefault="003B5AFE" w:rsidP="003B5AFE">
      <w:pPr>
        <w:pStyle w:val="Paragrafi"/>
        <w:rPr>
          <w:lang w:val="sq-AL"/>
        </w:rPr>
      </w:pPr>
      <w:r w:rsidRPr="00FC5595">
        <w:rPr>
          <w:lang w:val="sq-AL"/>
        </w:rPr>
        <w:t xml:space="preserve">Shoqëria Vjosa sh.a., në mungesë. </w:t>
      </w:r>
    </w:p>
    <w:p w:rsidR="003B5AFE" w:rsidRPr="00FC5595" w:rsidRDefault="003B5AFE" w:rsidP="003B5AFE">
      <w:pPr>
        <w:pStyle w:val="Paragrafi"/>
        <w:rPr>
          <w:lang w:val="sq-AL"/>
        </w:rPr>
      </w:pPr>
      <w:r w:rsidRPr="00FC5595">
        <w:rPr>
          <w:lang w:val="sq-AL"/>
        </w:rPr>
        <w:t xml:space="preserve">OBJEKTI: Shfuqizimi, si i papajtueshëm me Kushtetutën e Republikës së Shqipërisë, i vendimit nr. 1100, datë 30.9.2009 të Gjykatës së Apelit Tiranë dhe i vendimit nr. 00-2011-01, datë 13.1.2012 i Kolegjit Civil të Gjykatës së Lartë. </w:t>
      </w:r>
    </w:p>
    <w:p w:rsidR="003B5AFE" w:rsidRPr="00FC5595" w:rsidRDefault="003B5AFE" w:rsidP="003B5AFE">
      <w:pPr>
        <w:pStyle w:val="Paragrafi"/>
        <w:rPr>
          <w:lang w:val="sq-AL"/>
        </w:rPr>
      </w:pPr>
      <w:r w:rsidRPr="00FC5595">
        <w:rPr>
          <w:lang w:val="sq-AL"/>
        </w:rPr>
        <w:t xml:space="preserve">BAZA LIGJORE: Nenet 15/1, 16/1, 17, 23/1, 42/2, 131/f, 134/1/g, 142/1 të Kushtetutës së Republikës së Shqipërisë; neni 6 i Konventës Europiane të të Drejtave të Njeriut (KEDNJ); nenet 27-31 të ligjit nr. 8577, datë 10.2.2000 “Për organizimin dhe funksionimin e Gjykatës Kushtetuese të Republikës së Shqipërisë”. </w:t>
      </w:r>
    </w:p>
    <w:p w:rsidR="003B5AFE" w:rsidRPr="00DC49B4" w:rsidRDefault="003B5AFE" w:rsidP="003B5AFE">
      <w:pPr>
        <w:pStyle w:val="Paragrafi"/>
        <w:rPr>
          <w:sz w:val="16"/>
          <w:lang w:val="sq-AL"/>
        </w:rPr>
      </w:pPr>
    </w:p>
    <w:p w:rsidR="003B5AFE" w:rsidRPr="00E1117E" w:rsidRDefault="003B5AFE" w:rsidP="003B5AFE">
      <w:pPr>
        <w:pStyle w:val="VENDOSI"/>
        <w:keepNext w:val="0"/>
        <w:rPr>
          <w:lang w:val="sq-AL"/>
        </w:rPr>
      </w:pPr>
      <w:r w:rsidRPr="00E1117E">
        <w:rPr>
          <w:lang w:val="sq-AL"/>
        </w:rPr>
        <w:t>GJYKATA KUSHTETUESE,</w:t>
      </w:r>
    </w:p>
    <w:p w:rsidR="003B5AFE" w:rsidRPr="00DC49B4" w:rsidRDefault="003B5AFE" w:rsidP="003B5AFE">
      <w:pPr>
        <w:pStyle w:val="Paragrafi"/>
        <w:rPr>
          <w:sz w:val="14"/>
          <w:lang w:val="sq-AL"/>
        </w:rPr>
      </w:pPr>
    </w:p>
    <w:p w:rsidR="003B5AFE" w:rsidRPr="00FC5595" w:rsidRDefault="003B5AFE" w:rsidP="003B5AFE">
      <w:pPr>
        <w:pStyle w:val="Paragrafi"/>
        <w:rPr>
          <w:lang w:val="sq-AL"/>
        </w:rPr>
      </w:pPr>
      <w:r w:rsidRPr="00FC5595">
        <w:rPr>
          <w:lang w:val="sq-AL"/>
        </w:rPr>
        <w:t>pasi dëgjoi relatorin e çështjes, Vladimir Kristo, përfaqësuesin e kërkuesit që u shpreh për pranimin e kërkesës, përfaqësuesin e subjektit të interesuar, Vangjel Xhamo, i cili kërkoi rrëzimin e kërkesës, si dhe diskutoi çështjen në tërësi,</w:t>
      </w:r>
    </w:p>
    <w:p w:rsidR="003B5AFE" w:rsidRPr="00DC49B4" w:rsidRDefault="003B5AFE" w:rsidP="003B5AFE">
      <w:pPr>
        <w:pStyle w:val="Paragrafi"/>
        <w:rPr>
          <w:sz w:val="16"/>
          <w:u w:val="single"/>
          <w:lang w:val="sq-AL"/>
        </w:rPr>
      </w:pPr>
    </w:p>
    <w:p w:rsidR="003B5AFE" w:rsidRPr="00E1117E" w:rsidRDefault="003B5AFE" w:rsidP="003B5AFE">
      <w:pPr>
        <w:pStyle w:val="VENDOSI"/>
        <w:keepNext w:val="0"/>
        <w:rPr>
          <w:lang w:val="sq-AL"/>
        </w:rPr>
      </w:pPr>
      <w:r w:rsidRPr="00E1117E">
        <w:rPr>
          <w:lang w:val="sq-AL"/>
        </w:rPr>
        <w:t>VËREN:</w:t>
      </w:r>
    </w:p>
    <w:p w:rsidR="003B5AFE" w:rsidRPr="00DC49B4" w:rsidRDefault="003B5AFE" w:rsidP="009A326D">
      <w:pPr>
        <w:pStyle w:val="Paragrafi"/>
        <w:rPr>
          <w:lang w:val="sq-AL"/>
        </w:rPr>
      </w:pPr>
    </w:p>
    <w:p w:rsidR="003B5AFE" w:rsidRPr="00E1117E" w:rsidRDefault="003B5AFE" w:rsidP="003B5AFE">
      <w:pPr>
        <w:pStyle w:val="VENDOSI"/>
        <w:keepNext w:val="0"/>
        <w:rPr>
          <w:lang w:val="sq-AL"/>
        </w:rPr>
      </w:pPr>
      <w:r w:rsidRPr="00E1117E">
        <w:rPr>
          <w:lang w:val="sq-AL"/>
        </w:rPr>
        <w:t>I</w:t>
      </w:r>
    </w:p>
    <w:p w:rsidR="003B5AFE" w:rsidRPr="00FC5595" w:rsidRDefault="003B5AFE" w:rsidP="003B5AFE">
      <w:pPr>
        <w:pStyle w:val="Paragrafi"/>
        <w:rPr>
          <w:lang w:val="sq-AL"/>
        </w:rPr>
      </w:pPr>
      <w:r w:rsidRPr="00FC5595">
        <w:rPr>
          <w:lang w:val="sq-AL"/>
        </w:rPr>
        <w:t>1. Kërkuesi Nikolaos Vagenas dhe subjekti i interesuar</w:t>
      </w:r>
      <w:r>
        <w:rPr>
          <w:lang w:val="sq-AL"/>
        </w:rPr>
        <w:t>,</w:t>
      </w:r>
      <w:r w:rsidRPr="00FC5595">
        <w:rPr>
          <w:lang w:val="sq-AL"/>
        </w:rPr>
        <w:t xml:space="preserve"> Vangjel Xhamo, janë aksionarë të shoqërisë “Omegas Energy” sh.a., me objekt veprimtarie tregtimi i gazit të lëngshëm.</w:t>
      </w:r>
    </w:p>
    <w:p w:rsidR="003B5AFE" w:rsidRPr="00FC5595" w:rsidRDefault="003B5AFE" w:rsidP="003B5AFE">
      <w:pPr>
        <w:pStyle w:val="Paragrafi"/>
        <w:rPr>
          <w:lang w:val="sq-AL"/>
        </w:rPr>
      </w:pPr>
      <w:r w:rsidRPr="00FC5595">
        <w:rPr>
          <w:lang w:val="sq-AL"/>
        </w:rPr>
        <w:t xml:space="preserve">2. Subjekti tjetër i interesuar, shoqëria “Vjosa” sh.a., po me objekt veprimtarie tregtimi i gazit të lëngshëm, me qëllim furnizimin me gaz, ka lidhur me shoqërinë amerikane “Alfagas International” LLC, kontratën “Ofertë për LPG”, ku janë përcaktuar kushtet e furnizimit me gaz dhe mënyra e pagesës së tij. Për këtë qëllim, në datë 12.12.2003, shoqëria “Vjosa” sh.a. ka paguar nëpërmjet Bankës së Shqipërisë, në favor të shoqërisë amerikane të lartpërmendur, në numrin e llogarisë së kësaj të fundit pranë Piraeus Bank SA, Athinë, Greqi, shumën prej 115 000 USD. Pavarësisht pagesës së kryer, shoqëria amerikane “Alfagas International” LLC nuk ka përmbushur detyrimin e saj ndaj shoqërisë “Vjosa” sh.a. </w:t>
      </w:r>
    </w:p>
    <w:p w:rsidR="003B5AFE" w:rsidRPr="00FC5595" w:rsidRDefault="003B5AFE" w:rsidP="003B5AFE">
      <w:pPr>
        <w:pStyle w:val="Paragrafi"/>
        <w:rPr>
          <w:lang w:val="sq-AL"/>
        </w:rPr>
      </w:pPr>
      <w:r w:rsidRPr="00FC5595">
        <w:rPr>
          <w:lang w:val="sq-AL"/>
        </w:rPr>
        <w:t>3. Subjekti i interesuar</w:t>
      </w:r>
      <w:r>
        <w:rPr>
          <w:lang w:val="sq-AL"/>
        </w:rPr>
        <w:t>,</w:t>
      </w:r>
      <w:r w:rsidRPr="00FC5595">
        <w:rPr>
          <w:lang w:val="sq-AL"/>
        </w:rPr>
        <w:t xml:space="preserve"> Vangjel Xhamo, pretendon se marrëdhënia kontraktore e përmendur në nr. 2 të këtij vendimi, efektivisht, është krijuar ndërmjet kërkuesit Nikolaos Vagenas, i cili vepronte në cilësinë e menaxherit të shoqërisë amerikane, dhe shoqërisë “Vjosa” sh.a. dhe se Vangjel Xhamo ka qenë në dijeni të saj për shkak të qenies ortakë me z. Nikolaos Vagenas. Po ashtu, Vangjel Xhamo pa</w:t>
      </w:r>
      <w:r>
        <w:rPr>
          <w:lang w:val="sq-AL"/>
        </w:rPr>
        <w:t>rashtron se me kërkesë të bashk</w:t>
      </w:r>
      <w:r w:rsidRPr="00FC5595">
        <w:rPr>
          <w:lang w:val="sq-AL"/>
        </w:rPr>
        <w:t>aksionerit Nikoalos Vagenas dhe për llogari të tij, i ka paguar shoqërisë “Vjosa” sh.a. shumën në fjalë, si detyrim i kërkuesit ndaj kësaj shoqërie për mosrealizimin e furnizimit të porositur.</w:t>
      </w:r>
    </w:p>
    <w:p w:rsidR="003B5AFE" w:rsidRPr="00FC5595" w:rsidRDefault="003B5AFE" w:rsidP="003B5AFE">
      <w:pPr>
        <w:pStyle w:val="Paragrafi"/>
        <w:rPr>
          <w:lang w:val="sq-AL"/>
        </w:rPr>
      </w:pPr>
      <w:r w:rsidRPr="00FC5595">
        <w:rPr>
          <w:lang w:val="sq-AL"/>
        </w:rPr>
        <w:t>4. Shuma e paguar në favor të shoqërisë “Vjosa” sh.a., nuk është shlyer nga debitori (kërkuesi), pavarësisht kërkesave të z. Vangjel Xhamo. Për këtë arsye, ky i fundit i është drejtuar Gjykatës së Rrethit Gjyqësor Tiran</w:t>
      </w:r>
      <w:r>
        <w:rPr>
          <w:lang w:val="sq-AL"/>
        </w:rPr>
        <w:t>ë me kërkesë</w:t>
      </w:r>
      <w:r w:rsidRPr="00FC5595">
        <w:rPr>
          <w:lang w:val="sq-AL"/>
        </w:rPr>
        <w:t xml:space="preserve">padi, </w:t>
      </w:r>
      <w:r w:rsidRPr="00FC5595">
        <w:rPr>
          <w:rFonts w:eastAsia="Calibri"/>
          <w:lang w:val="sq-AL" w:eastAsia="fr-FR"/>
        </w:rPr>
        <w:t>bazuar në</w:t>
      </w:r>
      <w:r w:rsidRPr="00FC5595">
        <w:rPr>
          <w:lang w:val="sq-AL"/>
        </w:rPr>
        <w:t xml:space="preserve"> nenet 419, 420, 445, 446 të Kodit Civil (KC) dhe në nenin 32/a të Kodit të Procedurës Civile (KPC), me objekt detyrimin e Nikolaos Vagenas t’i paguajë shumën prej 115 000 US</w:t>
      </w:r>
      <w:r w:rsidRPr="00FC5595">
        <w:rPr>
          <w:rFonts w:eastAsia="Calibri"/>
          <w:lang w:val="sq-AL" w:eastAsia="fr-FR"/>
        </w:rPr>
        <w:t>D dhe kam</w:t>
      </w:r>
      <w:r>
        <w:rPr>
          <w:lang w:val="sq-AL"/>
        </w:rPr>
        <w:t>atë</w:t>
      </w:r>
      <w:r w:rsidRPr="00FC5595">
        <w:rPr>
          <w:lang w:val="sq-AL"/>
        </w:rPr>
        <w:t>vonesat deri në datën e ngritjes së padisë. Në këtë gjykim është thirrur si person i tretë shoqëria “Vjosa” sh.a.</w:t>
      </w:r>
    </w:p>
    <w:p w:rsidR="003B5AFE" w:rsidRPr="00FC5595" w:rsidRDefault="003B5AFE" w:rsidP="003B5AFE">
      <w:pPr>
        <w:pStyle w:val="Paragrafi"/>
        <w:rPr>
          <w:lang w:val="sq-AL"/>
        </w:rPr>
      </w:pPr>
      <w:r w:rsidRPr="00FC5595">
        <w:rPr>
          <w:lang w:val="sq-AL"/>
        </w:rPr>
        <w:t>5. Gjykata e Rrethit Gjyqësor Tiranë, me vendimin nr. 3203, datë 9.4.2008,</w:t>
      </w:r>
      <w:r>
        <w:rPr>
          <w:lang w:val="sq-AL"/>
        </w:rPr>
        <w:t xml:space="preserve"> ka vendosur rrëzimin e kërkesë</w:t>
      </w:r>
      <w:r w:rsidRPr="00FC5595">
        <w:rPr>
          <w:lang w:val="sq-AL"/>
        </w:rPr>
        <w:t>padisë si të pambështetur në prova dhe në ligj. Ajo ka arsyetuar se pala paditëse nuk ka arritur t</w:t>
      </w:r>
      <w:r w:rsidRPr="00FC5595">
        <w:rPr>
          <w:rFonts w:eastAsia="Calibri"/>
          <w:lang w:val="sq-AL" w:eastAsia="fr-FR"/>
        </w:rPr>
        <w:t>ë provojë</w:t>
      </w:r>
      <w:r w:rsidRPr="00FC5595">
        <w:rPr>
          <w:lang w:val="sq-AL"/>
        </w:rPr>
        <w:t xml:space="preserve"> detyrimin që kërkuesi (i padituri në atë gjykim), ka pasur ndaj shoqërisë “Vjosa” sh.a. </w:t>
      </w:r>
    </w:p>
    <w:p w:rsidR="003B5AFE" w:rsidRPr="00FC5595" w:rsidRDefault="003B5AFE" w:rsidP="003B5AFE">
      <w:pPr>
        <w:pStyle w:val="Paragrafi"/>
        <w:rPr>
          <w:lang w:val="sq-AL"/>
        </w:rPr>
      </w:pPr>
      <w:r w:rsidRPr="00FC5595">
        <w:rPr>
          <w:lang w:val="sq-AL"/>
        </w:rPr>
        <w:t>6. Kundër këtij vendimi ka bërë ankim z. Vangjel Xhamo dhe Gjykata e Apelit Tiranë, me vendimin nr. 1</w:t>
      </w:r>
      <w:r w:rsidRPr="00FC5595">
        <w:rPr>
          <w:rFonts w:eastAsia="Calibri"/>
          <w:lang w:val="sq-AL" w:eastAsia="fr-FR"/>
        </w:rPr>
        <w:t>100, datë</w:t>
      </w:r>
      <w:r w:rsidRPr="00FC5595">
        <w:rPr>
          <w:lang w:val="sq-AL"/>
        </w:rPr>
        <w:t xml:space="preserve"> 30.9.2009 ka vendosur ndryshimin e vendimit nr. 3203, datë 9.4.2008 të Gjykatës së Rrethit Gjyq</w:t>
      </w:r>
      <w:r>
        <w:rPr>
          <w:lang w:val="sq-AL"/>
        </w:rPr>
        <w:t>ësor Tiranë, pranimin e kërkesë</w:t>
      </w:r>
      <w:r w:rsidRPr="00FC5595">
        <w:rPr>
          <w:lang w:val="sq-AL"/>
        </w:rPr>
        <w:t xml:space="preserve">padisë dhe detyrimin e kërkuesit Nikolaos Vagenas të paguajë në favor të paditësit shumën totale prej 120 343 USD. Gjykata e apelit ka arsyetuar se nga dokumentet e paraqitura nga pala paditëse, Vangjel Xhamo, provohet se z. Nikolaos Vagenas është përfaqësues dhe drejtor i përgjithshëm i “Alfagas International” LLC dhe se ai ka pasur detyrimin për pagesën e shumës ndaj shoqërisë “Vjosa” sh.a. </w:t>
      </w:r>
    </w:p>
    <w:p w:rsidR="003B5AFE" w:rsidRPr="00FC5595" w:rsidRDefault="003B5AFE" w:rsidP="003B5AFE">
      <w:pPr>
        <w:pStyle w:val="Paragrafi"/>
        <w:rPr>
          <w:rFonts w:eastAsia="Calibri"/>
          <w:lang w:val="sq-AL" w:eastAsia="fr-FR"/>
        </w:rPr>
      </w:pPr>
      <w:r w:rsidRPr="00FC5595">
        <w:rPr>
          <w:lang w:val="sq-AL"/>
        </w:rPr>
        <w:t xml:space="preserve">7. Kundër vendimit të gjykatës së apelit ka ushtruar rekurs kërkuesi duke pretenduar se gjykata </w:t>
      </w:r>
      <w:r w:rsidRPr="00FC5595">
        <w:rPr>
          <w:rFonts w:eastAsia="Calibri"/>
          <w:lang w:val="sq-AL" w:eastAsia="fr-FR"/>
        </w:rPr>
        <w:t xml:space="preserve">ka vendosur në kundërshtim me ligjin material dhe procedural, si dhe me provat e paraqitura nga palët, të cilat, sipas tij, nuk provojnë detyrimin e kërkuesit ndaj shoqërisë “Vjosa” sh.a., por përkundrazi provojnë </w:t>
      </w:r>
      <w:r w:rsidRPr="00FC5595">
        <w:rPr>
          <w:lang w:val="sq-AL"/>
        </w:rPr>
        <w:t>marrëdhëniet e mëparshme ndërmjet shoqërisë “Vjosa” sh.a. dhe “Alfagas International” LLC</w:t>
      </w:r>
      <w:r w:rsidRPr="00FC5595">
        <w:rPr>
          <w:rFonts w:eastAsia="Calibri"/>
          <w:lang w:val="sq-AL" w:eastAsia="fr-FR"/>
        </w:rPr>
        <w:t xml:space="preserve">. Ai parashtron se pavarësisht kërkesave të tij, gjykata e apelit nuk ka thirrur në gjykim shoqërinë amerikane </w:t>
      </w:r>
      <w:r w:rsidRPr="00FC5595">
        <w:rPr>
          <w:lang w:val="sq-AL"/>
        </w:rPr>
        <w:t xml:space="preserve">“Alfagas International” LLC. Në këtë mënyrë </w:t>
      </w:r>
      <w:r w:rsidRPr="00FC5595">
        <w:rPr>
          <w:rFonts w:eastAsia="Calibri"/>
          <w:lang w:val="sq-AL" w:eastAsia="fr-FR"/>
        </w:rPr>
        <w:t xml:space="preserve">gjykata ka shkelur normat procedurale në lidhje me ndërgjyqësinë, kompetencën dhe juridiksionin. </w:t>
      </w:r>
    </w:p>
    <w:p w:rsidR="003B5AFE" w:rsidRPr="00FC5595" w:rsidRDefault="003B5AFE" w:rsidP="003B5AFE">
      <w:pPr>
        <w:pStyle w:val="Paragrafi"/>
        <w:rPr>
          <w:lang w:val="sq-AL"/>
        </w:rPr>
      </w:pPr>
      <w:r w:rsidRPr="00FC5595">
        <w:rPr>
          <w:lang w:val="sq-AL"/>
        </w:rPr>
        <w:t>8. Kolegji Civil i Gjykatës së Lartë, me vendimin nr. 00-2011-01, datë 13.1.2012</w:t>
      </w:r>
      <w:r>
        <w:rPr>
          <w:lang w:val="sq-AL"/>
        </w:rPr>
        <w:t>,</w:t>
      </w:r>
      <w:r w:rsidRPr="00FC5595">
        <w:rPr>
          <w:lang w:val="sq-AL"/>
        </w:rPr>
        <w:t xml:space="preserve"> ka vendosur, në dhomë këshillimi, mospranimin e rekursit me arsyetimin se ai nuk përmban shkaqe nga ato që parashikon neni 472 i KPC-së. </w:t>
      </w:r>
    </w:p>
    <w:p w:rsidR="003B5AFE" w:rsidRPr="0030678B" w:rsidRDefault="003B5AFE" w:rsidP="003B5AFE">
      <w:pPr>
        <w:pStyle w:val="Paragrafi"/>
        <w:rPr>
          <w:sz w:val="14"/>
          <w:lang w:val="sq-AL"/>
        </w:rPr>
      </w:pPr>
    </w:p>
    <w:p w:rsidR="003B5AFE" w:rsidRPr="00FC5595" w:rsidRDefault="003B5AFE" w:rsidP="003B5AFE">
      <w:pPr>
        <w:pStyle w:val="Paragrafi"/>
        <w:jc w:val="center"/>
        <w:rPr>
          <w:lang w:val="sq-AL"/>
        </w:rPr>
      </w:pPr>
      <w:r w:rsidRPr="00FC5595">
        <w:rPr>
          <w:lang w:val="sq-AL"/>
        </w:rPr>
        <w:t>II</w:t>
      </w:r>
    </w:p>
    <w:p w:rsidR="003B5AFE" w:rsidRPr="00800E43" w:rsidRDefault="003B5AFE" w:rsidP="003B5AFE">
      <w:pPr>
        <w:pStyle w:val="Paragrafi"/>
        <w:rPr>
          <w:rFonts w:eastAsia="Calibri"/>
          <w:b/>
          <w:i/>
          <w:lang w:val="sq-AL" w:eastAsia="fr-FR"/>
        </w:rPr>
      </w:pPr>
      <w:r w:rsidRPr="00800E43">
        <w:rPr>
          <w:rFonts w:eastAsia="Calibri"/>
          <w:b/>
          <w:i/>
          <w:lang w:val="sq-AL" w:eastAsia="fr-FR"/>
        </w:rPr>
        <w:t xml:space="preserve">Pretendimet – parashtruar Gjykatës Kushtetuese </w:t>
      </w:r>
    </w:p>
    <w:p w:rsidR="003B5AFE" w:rsidRPr="00FC5595" w:rsidRDefault="003B5AFE" w:rsidP="003B5AFE">
      <w:pPr>
        <w:pStyle w:val="Paragrafi"/>
        <w:rPr>
          <w:lang w:val="sq-AL"/>
        </w:rPr>
      </w:pPr>
      <w:r w:rsidRPr="00FC5595">
        <w:rPr>
          <w:rFonts w:eastAsia="Calibri"/>
          <w:lang w:val="sq-AL" w:eastAsia="fr-FR"/>
        </w:rPr>
        <w:t xml:space="preserve">9. Kërkuesi i është drejtuar Gjykatës Kushtetuese (Gjykata) </w:t>
      </w:r>
      <w:r w:rsidRPr="00FC5595">
        <w:rPr>
          <w:lang w:val="sq-AL"/>
        </w:rPr>
        <w:t>duke pretenduar shfuqizimin e vendimeve objekt kërkese. Ai ka parashtruar në mënyrë të përmbledhur se:</w:t>
      </w:r>
      <w:r w:rsidRPr="00FC5595" w:rsidDel="00DA0AFD">
        <w:rPr>
          <w:lang w:val="sq-AL"/>
        </w:rPr>
        <w:t xml:space="preserve"> </w:t>
      </w:r>
    </w:p>
    <w:p w:rsidR="003B5AFE" w:rsidRPr="00FC5595" w:rsidRDefault="003B5AFE" w:rsidP="003B5AFE">
      <w:pPr>
        <w:pStyle w:val="Paragrafi"/>
        <w:rPr>
          <w:rFonts w:eastAsia="Calibri"/>
          <w:lang w:val="sq-AL" w:eastAsia="fr-FR"/>
        </w:rPr>
      </w:pPr>
      <w:r w:rsidRPr="00FC5595">
        <w:rPr>
          <w:rFonts w:eastAsia="Calibri"/>
          <w:lang w:val="sq-AL" w:eastAsia="fr-FR"/>
        </w:rPr>
        <w:t xml:space="preserve">9.1 Gjykata e Apelit Tiranë ka cenuar të drejtën për një gjykim të drejtë nga një gjykatë e paanshme për shkak se ka vendosur në kundërshtim me provat e paraqitura nga palët dhe me ligjin material dhe procedural. Gjithashtu ajo ka shkelur normat procedurale në lidhje me ndërgjyqësinë, kompetencën dhe juridiksionin. </w:t>
      </w:r>
    </w:p>
    <w:p w:rsidR="003B5AFE" w:rsidRPr="00FC5595" w:rsidRDefault="003B5AFE" w:rsidP="003B5AFE">
      <w:pPr>
        <w:pStyle w:val="Paragrafi"/>
        <w:rPr>
          <w:rFonts w:eastAsia="Calibri"/>
          <w:lang w:val="sq-AL" w:eastAsia="fr-FR"/>
        </w:rPr>
      </w:pPr>
      <w:r w:rsidRPr="00FC5595">
        <w:rPr>
          <w:rFonts w:eastAsia="Calibri"/>
          <w:lang w:val="sq-AL" w:eastAsia="fr-FR"/>
        </w:rPr>
        <w:t>9.2 Kolegji Civil i Gjykatës së Lartë</w:t>
      </w:r>
      <w:r w:rsidRPr="00FC5595">
        <w:rPr>
          <w:lang w:val="sq-AL"/>
        </w:rPr>
        <w:t xml:space="preserve">, edhe pse në prezencë të dy vendimeve gjyqësore me qëndrime të ndryshme nga njëri-tjetri, duke vendosur moskalimin e rekursit për shqyrtim në seancë gjyqësore </w:t>
      </w:r>
      <w:r w:rsidRPr="00FC5595">
        <w:rPr>
          <w:rFonts w:eastAsia="Calibri"/>
          <w:lang w:val="sq-AL" w:eastAsia="fr-FR"/>
        </w:rPr>
        <w:t xml:space="preserve">ka cenuar të drejtën e ankimit efektiv në kuptim të nenit 43 të Kushtetutës, si dhe të drejtën e kërkuesit për t’u dëgjuar para se të gjykohet. </w:t>
      </w:r>
    </w:p>
    <w:p w:rsidR="003B5AFE" w:rsidRPr="00FC5595" w:rsidRDefault="003B5AFE" w:rsidP="003B5AFE">
      <w:pPr>
        <w:pStyle w:val="Paragrafi"/>
        <w:rPr>
          <w:lang w:val="sq-AL"/>
        </w:rPr>
      </w:pPr>
      <w:r w:rsidRPr="00FC5595">
        <w:rPr>
          <w:rFonts w:eastAsia="Calibri"/>
          <w:lang w:val="sq-AL" w:eastAsia="fr-FR"/>
        </w:rPr>
        <w:t xml:space="preserve">9.3 Vendimi i Kolegjit Civil të Gjykatës së Lartë nuk ka respektuar nenin 142/1 të Kushtetutës që sanksionon detyrimin e arsyetimit të vendimit, pasi ky vendim nuk arsyeton shkaqet e mospranimit tij, edhe pse nga kërkuesi janë pretenduar shkelje të </w:t>
      </w:r>
      <w:r w:rsidRPr="00FC5595">
        <w:rPr>
          <w:iCs/>
          <w:lang w:val="sq-AL"/>
        </w:rPr>
        <w:t xml:space="preserve">standardeve kushtetuese </w:t>
      </w:r>
      <w:r w:rsidRPr="00FC5595">
        <w:rPr>
          <w:lang w:val="sq-AL"/>
        </w:rPr>
        <w:t xml:space="preserve">për një proces të rregullt ligjor </w:t>
      </w:r>
      <w:r w:rsidRPr="00FC5595">
        <w:rPr>
          <w:iCs/>
          <w:lang w:val="sq-AL"/>
        </w:rPr>
        <w:t>nga gjykatat më të ulëta, si dhe shkaqe të parashikuara nga neni 472 i KPC-së</w:t>
      </w:r>
      <w:r w:rsidRPr="00FC5595">
        <w:rPr>
          <w:rFonts w:eastAsia="Calibri"/>
          <w:lang w:val="sq-AL" w:eastAsia="fr-FR"/>
        </w:rPr>
        <w:t>.</w:t>
      </w:r>
      <w:r w:rsidRPr="00FC5595">
        <w:rPr>
          <w:i/>
          <w:lang w:val="sq-AL"/>
        </w:rPr>
        <w:t xml:space="preserve"> </w:t>
      </w:r>
    </w:p>
    <w:p w:rsidR="003B5AFE" w:rsidRPr="00FC5595" w:rsidRDefault="003B5AFE" w:rsidP="003B5AFE">
      <w:pPr>
        <w:pStyle w:val="Paragrafi"/>
        <w:rPr>
          <w:lang w:val="sq-AL"/>
        </w:rPr>
      </w:pPr>
      <w:r w:rsidRPr="00800E43">
        <w:rPr>
          <w:lang w:val="sq-AL"/>
        </w:rPr>
        <w:t>10.</w:t>
      </w:r>
      <w:r>
        <w:rPr>
          <w:lang w:val="sq-AL"/>
        </w:rPr>
        <w:t xml:space="preserve"> </w:t>
      </w:r>
      <w:r w:rsidRPr="00800E43">
        <w:rPr>
          <w:b/>
          <w:i/>
          <w:lang w:val="sq-AL"/>
        </w:rPr>
        <w:t>Subjekti i interesuar</w:t>
      </w:r>
      <w:r w:rsidRPr="00FC5595">
        <w:rPr>
          <w:i/>
          <w:lang w:val="sq-AL"/>
        </w:rPr>
        <w:t xml:space="preserve">, </w:t>
      </w:r>
      <w:r w:rsidRPr="00FC5595">
        <w:rPr>
          <w:lang w:val="sq-AL"/>
        </w:rPr>
        <w:t xml:space="preserve">Vangjel Xhamo, gjatë gjykimit parashtroi se </w:t>
      </w:r>
      <w:r w:rsidRPr="00FC5595">
        <w:rPr>
          <w:color w:val="000000"/>
          <w:lang w:val="sq-AL" w:eastAsia="sq-AL"/>
        </w:rPr>
        <w:t xml:space="preserve">gjykatat e juridiksionit të zakonshëm kanë zhvilluar një proces të rregullt ligjor, duke </w:t>
      </w:r>
      <w:r w:rsidRPr="00FC5595">
        <w:rPr>
          <w:lang w:val="sq-AL"/>
        </w:rPr>
        <w:t xml:space="preserve">prapësuar se: </w:t>
      </w:r>
    </w:p>
    <w:p w:rsidR="003B5AFE" w:rsidRPr="00FC5595" w:rsidRDefault="003B5AFE" w:rsidP="003B5AFE">
      <w:pPr>
        <w:pStyle w:val="Paragrafi"/>
        <w:rPr>
          <w:lang w:val="sq-AL"/>
        </w:rPr>
      </w:pPr>
      <w:r w:rsidRPr="00FC5595">
        <w:rPr>
          <w:lang w:val="sq-AL"/>
        </w:rPr>
        <w:t xml:space="preserve">10.1 Vlerësimi i provave dhe mënyra e zgjidhjes së çështjes mbi bazën e tyre është kompetencë ekskluzive e gjykatave </w:t>
      </w:r>
      <w:r w:rsidRPr="00FC5595">
        <w:rPr>
          <w:color w:val="000000"/>
          <w:lang w:val="sq-AL" w:eastAsia="sq-AL"/>
        </w:rPr>
        <w:t xml:space="preserve">të sistemit gjyqësor dhe në këtë drejtim Gjykata nuk mund të marrë në shqyrtim pretendimet e kërkuesit për vlerësim të gabuar të provave e zgjidhje të padrejtë të çështjes. Si rrjedhojë, është detyrë e gjykatave të juridiksionit të zakonshëm që t’i japin një zgjidhje të caktuar konfliktit të paraqitur duke analizuar provat e administruara në gjykim dhe duke i vlerësuar ato në tërësinë e tyre. Fakti që gjykata e apelit nuk ka pranuar pretendimet e kërkuesit në lidhje me ndërgjyqësinë, juridiksionin dhe kompetencën nuk do të thotë që kësaj pale i janë shkelur të drejtat për një proces të rregullt ligjor sepse pretendimet e saj janë dëgjuar, shqyrtuar dhe rrëzuar nga gjykata në bazë të ligjit. Po ashtu, në këtë këndvështrim, nuk qëndron dhe pretendimi i kërkuesit </w:t>
      </w:r>
      <w:r w:rsidRPr="00FC5595">
        <w:rPr>
          <w:lang w:val="sq-AL"/>
        </w:rPr>
        <w:t xml:space="preserve">mbi cenimin e parimit të paanshmërisë së gjykatës së apelit, pasi sipas jurisprudencës së Gjykatës ky nocion ka të bëjë kryesisht me përbërjen e trupit gjykues. </w:t>
      </w:r>
    </w:p>
    <w:p w:rsidR="003B5AFE" w:rsidRPr="00FC5595" w:rsidRDefault="003B5AFE" w:rsidP="003B5AFE">
      <w:pPr>
        <w:pStyle w:val="Paragrafi"/>
        <w:rPr>
          <w:lang w:val="sq-AL"/>
        </w:rPr>
      </w:pPr>
      <w:r w:rsidRPr="00FC5595">
        <w:rPr>
          <w:lang w:val="sq-AL"/>
        </w:rPr>
        <w:t xml:space="preserve">10.2 Kërkuesit nuk i është cenuar e drejta e ankimit efektiv në kuptim të nenit 42 dhe 43 të Kushtetutës. Fakti që rekursi i paraqitur nga kërkuesi nuk është pranuar nga Kolegji Civil në Dhomë Këshillimi nuk do të thotë </w:t>
      </w:r>
      <w:r w:rsidRPr="00FC5595">
        <w:rPr>
          <w:i/>
          <w:lang w:val="sq-AL"/>
        </w:rPr>
        <w:t xml:space="preserve">a priori </w:t>
      </w:r>
      <w:r w:rsidRPr="00FC5595">
        <w:rPr>
          <w:lang w:val="sq-AL"/>
        </w:rPr>
        <w:t xml:space="preserve">që atij i është shkelur e drejta e tij për të pasur një ankim efektiv dhe të vërtetë. Shkaqet e paraqitura nga kërkuesi ngrenë probleme që lidhen me vlerësimin e provave dhe që nuk kanë të bëjnë me natyrën e shqyrtimit të çështjes në Gjykatën e Lartë. Për këtë arsye, me të drejtë Kolegji Civil në Dhomën e Këshillimit ka vendosur mospranimin e rekursit. </w:t>
      </w:r>
    </w:p>
    <w:p w:rsidR="003B5AFE" w:rsidRPr="00FC5595" w:rsidRDefault="003B5AFE" w:rsidP="003B5AFE">
      <w:pPr>
        <w:pStyle w:val="Paragrafi"/>
        <w:rPr>
          <w:lang w:val="sq-AL"/>
        </w:rPr>
      </w:pPr>
      <w:r w:rsidRPr="00FC5595">
        <w:rPr>
          <w:color w:val="000000"/>
          <w:lang w:val="sq-AL" w:eastAsia="sq-AL"/>
        </w:rPr>
        <w:t>10.3 Gjykata e Apelit Tiranë dhe Kolegji Civil i Gjykatës së Lartë kanë respektuar standardin e arsyetimit të vendimit pasi vendimet e këtyre gjykatave janë në përputhje të plotë me përcaktimet e KPC-së dhe të nenit 142 të Kushtetutës. Ato mbështeten mbi faktet që janë paraqitur gjatë procesit gjyqësor, përmbajnë bazën dhe analizën ligjore mbi të cilën bazohet zgjidhja e mosmarrëveshjes, analizën e provave dhe mënyrën e zgjidhjes së mosmarrëveshjes. Veçanërisht për gjykimin e çështjes nga Gjykata e Lartë, sipas jurisprudencës së Gjykatës Europiane të të Drejtave të Njeriut (GJEDNJ), kërkesat e nenit 6 të KEDNJ-së mund të plotësohen edhe me një arsyetim shumë të kufizuar.</w:t>
      </w:r>
    </w:p>
    <w:p w:rsidR="003B5AFE" w:rsidRPr="00FC5595" w:rsidRDefault="003B5AFE" w:rsidP="003B5AFE">
      <w:pPr>
        <w:pStyle w:val="Paragrafi"/>
        <w:rPr>
          <w:lang w:val="sq-AL"/>
        </w:rPr>
      </w:pPr>
    </w:p>
    <w:p w:rsidR="003B5AFE" w:rsidRPr="00FC5595" w:rsidRDefault="003B5AFE" w:rsidP="003B5AFE">
      <w:pPr>
        <w:pStyle w:val="Paragrafi"/>
        <w:jc w:val="center"/>
        <w:rPr>
          <w:lang w:val="sq-AL"/>
        </w:rPr>
      </w:pPr>
      <w:r w:rsidRPr="00FC5595">
        <w:rPr>
          <w:lang w:val="sq-AL"/>
        </w:rPr>
        <w:t>III</w:t>
      </w:r>
    </w:p>
    <w:p w:rsidR="003B5AFE" w:rsidRPr="00800E43" w:rsidRDefault="003B5AFE" w:rsidP="003B5AFE">
      <w:pPr>
        <w:pStyle w:val="Paragrafi"/>
        <w:rPr>
          <w:b/>
          <w:i/>
          <w:lang w:val="sq-AL"/>
        </w:rPr>
      </w:pPr>
      <w:r w:rsidRPr="00800E43">
        <w:rPr>
          <w:b/>
          <w:i/>
          <w:lang w:val="sq-AL"/>
        </w:rPr>
        <w:t>Vlerësimi i Gjykatës Kushtetuese</w:t>
      </w:r>
    </w:p>
    <w:p w:rsidR="003B5AFE" w:rsidRPr="00FC5595" w:rsidRDefault="003B5AFE" w:rsidP="003B5AFE">
      <w:pPr>
        <w:pStyle w:val="Paragrafi"/>
        <w:rPr>
          <w:lang w:val="sq-AL"/>
        </w:rPr>
      </w:pPr>
      <w:r w:rsidRPr="00FC5595">
        <w:rPr>
          <w:lang w:val="sq-AL"/>
        </w:rPr>
        <w:t xml:space="preserve">11. Në analizën e pretendimeve të kërkuesit, Gjykata sheh të arsyeshme të theksojë, paraprakisht, se ajo i vlerëson këto pretendime në drejtim të standardeve që imponon e drejta për një proces të rregullt ligjor dhe, në kontekstin e çështjes në shqyrtim, në aspektin e detyrimeve që i ngarkon gjykatave të juridiksionit të zakonshëm respektimi i standardeve kushtetuese. </w:t>
      </w:r>
    </w:p>
    <w:p w:rsidR="003B5AFE" w:rsidRPr="00FC5595" w:rsidRDefault="003B5AFE" w:rsidP="003B5AFE">
      <w:pPr>
        <w:pStyle w:val="Paragrafi"/>
        <w:rPr>
          <w:lang w:val="sq-AL"/>
        </w:rPr>
      </w:pPr>
      <w:r w:rsidRPr="00FC5595">
        <w:rPr>
          <w:lang w:val="sq-AL"/>
        </w:rPr>
        <w:t xml:space="preserve">12. </w:t>
      </w:r>
      <w:r w:rsidRPr="00FC5595">
        <w:rPr>
          <w:lang w:val="sq-AL" w:eastAsia="fr-FR"/>
        </w:rPr>
        <w:t>Gjykata ka tashmë një qëndrim të konsoliduar</w:t>
      </w:r>
      <w:r>
        <w:rPr>
          <w:lang w:val="sq-AL" w:eastAsia="fr-FR"/>
        </w:rPr>
        <w:t>,</w:t>
      </w:r>
      <w:r w:rsidRPr="00FC5595">
        <w:rPr>
          <w:lang w:val="sq-AL" w:eastAsia="fr-FR"/>
        </w:rPr>
        <w:t xml:space="preserve"> sipas të cilit </w:t>
      </w:r>
      <w:r w:rsidRPr="00FC5595">
        <w:rPr>
          <w:lang w:val="sq-AL"/>
        </w:rPr>
        <w:t>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FC5595">
        <w:rPr>
          <w:i/>
          <w:iCs/>
          <w:lang w:val="sq-AL"/>
        </w:rPr>
        <w:t>shih vendimet nr. 31, datë 5.7.2011; nr. 22, datë 22.7.2009 dhe nr. 14, datë 3.6.2009 të Gjykatës Kushtetuese)</w:t>
      </w:r>
      <w:r w:rsidRPr="00FC5595">
        <w:rPr>
          <w:lang w:val="sq-AL"/>
        </w:rPr>
        <w:t xml:space="preserve">. </w:t>
      </w:r>
    </w:p>
    <w:p w:rsidR="003B5AFE" w:rsidRPr="00FC5595" w:rsidRDefault="003B5AFE" w:rsidP="003B5AFE">
      <w:pPr>
        <w:pStyle w:val="Paragrafi"/>
        <w:rPr>
          <w:lang w:val="sq-AL"/>
        </w:rPr>
      </w:pPr>
      <w:r w:rsidRPr="00FC5595">
        <w:rPr>
          <w:lang w:val="sq-AL"/>
        </w:rPr>
        <w:t xml:space="preserve">13. Nisur nga kjo premisë, si dhe nga </w:t>
      </w:r>
      <w:r w:rsidRPr="00FC5595">
        <w:rPr>
          <w:rFonts w:eastAsia="Calibri"/>
          <w:lang w:val="sq-AL" w:eastAsia="fr-FR"/>
        </w:rPr>
        <w:t>objekti i mosmarrëveshjes ndërmjet palëve</w:t>
      </w:r>
      <w:r w:rsidRPr="00FC5595">
        <w:rPr>
          <w:lang w:val="sq-AL"/>
        </w:rPr>
        <w:t xml:space="preserve">, Gjykata vlerëson se pretendimi i kërkuesit se </w:t>
      </w:r>
      <w:r w:rsidRPr="00FC5595">
        <w:rPr>
          <w:rFonts w:eastAsia="Calibri"/>
          <w:lang w:val="sq-AL" w:eastAsia="fr-FR"/>
        </w:rPr>
        <w:t xml:space="preserve">Gjykata e Apelit Tiranë ka vendosur në kundërshtim me provat e paraqitura nga palët dhe me ligjin, si dhe ka shkelur normat procedurale në lidhje me ndërgjyqësinë, kompetencën dhe juridiksionin ka </w:t>
      </w:r>
      <w:r w:rsidRPr="00FC5595">
        <w:rPr>
          <w:lang w:val="sq-AL"/>
        </w:rPr>
        <w:t>të bëjë me vlerësimin e provave, mënyr</w:t>
      </w:r>
      <w:r w:rsidRPr="00FC5595">
        <w:rPr>
          <w:lang w:val="sq-AL" w:eastAsia="fr-FR"/>
        </w:rPr>
        <w:t>ën</w:t>
      </w:r>
      <w:r w:rsidRPr="00FC5595">
        <w:rPr>
          <w:lang w:val="sq-AL"/>
        </w:rPr>
        <w:t xml:space="preserve"> e interpretimit të fakteve dhe të zbatimit të ligjit </w:t>
      </w:r>
      <w:r w:rsidRPr="00FC5595">
        <w:rPr>
          <w:lang w:val="sq-AL" w:eastAsia="fr-FR"/>
        </w:rPr>
        <w:t xml:space="preserve">nga ana e </w:t>
      </w:r>
      <w:r w:rsidRPr="00FC5595">
        <w:rPr>
          <w:lang w:val="sq-AL"/>
        </w:rPr>
        <w:t xml:space="preserve">gjykatës së apelit. Për rrjedhojë, Gjykata çmon se ky pretendim nuk hyn në juridiksionin kushtetues përderisa kërkuesi nuk ka përcaktuar se cilat standarde kushtetuese i janë cenuar si rezultat i këtij interpretimi apo shkeljeje. </w:t>
      </w:r>
    </w:p>
    <w:p w:rsidR="003B5AFE" w:rsidRPr="00FC5595" w:rsidRDefault="003B5AFE" w:rsidP="003B5AFE">
      <w:pPr>
        <w:pStyle w:val="Paragrafi"/>
        <w:rPr>
          <w:lang w:val="sq-AL"/>
        </w:rPr>
      </w:pPr>
      <w:r w:rsidRPr="00FC5595">
        <w:rPr>
          <w:lang w:val="sq-AL"/>
        </w:rPr>
        <w:t xml:space="preserve">14. </w:t>
      </w:r>
      <w:r w:rsidRPr="00FC5595">
        <w:rPr>
          <w:rFonts w:eastAsia="Calibri"/>
          <w:lang w:val="sq-AL" w:eastAsia="fr-FR"/>
        </w:rPr>
        <w:t xml:space="preserve">Ndërsa, </w:t>
      </w:r>
      <w:r w:rsidRPr="00FC5595">
        <w:rPr>
          <w:lang w:val="sq-AL"/>
        </w:rPr>
        <w:t>për sa i përket pretendimit për cenimin e parimit të paanshmërisë nga ana e gjykatës së apelit, Gjykata, në jurisprudencën e saj, edhe nën dritën e jurisprudencës së GJEDNJ-së, ka analizuar dhe ka dhënë përkufizimet e nevojshme mbi nocionin “</w:t>
      </w:r>
      <w:r w:rsidRPr="00FC5595">
        <w:rPr>
          <w:i/>
          <w:lang w:val="sq-AL"/>
        </w:rPr>
        <w:t>gjykatë e paanshme</w:t>
      </w:r>
      <w:r w:rsidRPr="00FC5595">
        <w:rPr>
          <w:lang w:val="sq-AL"/>
        </w:rPr>
        <w:t>” duke theksuar se ky parim ka të bëjë kryesisht me përbërjen e trupit gjykues. Për këtë arsye, Gjykata vëren se pretendimi i kërkuesit për cenimin e këtij parimi bazuar në mënyrën e vlerësimit të provave dhe interpretimit të ligjit procedural është i pabazuar.</w:t>
      </w:r>
    </w:p>
    <w:p w:rsidR="003B5AFE" w:rsidRPr="00FC5595" w:rsidRDefault="003B5AFE" w:rsidP="003B5AFE">
      <w:pPr>
        <w:pStyle w:val="Paragrafi"/>
        <w:rPr>
          <w:lang w:val="sq-AL"/>
        </w:rPr>
      </w:pPr>
      <w:r>
        <w:rPr>
          <w:lang w:val="sq-AL"/>
        </w:rPr>
        <w:t>15</w:t>
      </w:r>
      <w:r w:rsidRPr="00FC5595">
        <w:rPr>
          <w:lang w:val="sq-AL"/>
        </w:rPr>
        <w:t xml:space="preserve">. Për pasojë, në vijim, Gjykata vlerëson të ndalet vetëm në pretendimin për (mos)arsyetimin e vendimit të Kolegjit Civil të Gjykatës së Lartë dhe të cenimit të së drejtës së ankimit. </w:t>
      </w:r>
    </w:p>
    <w:p w:rsidR="003B5AFE" w:rsidRDefault="003B5AFE" w:rsidP="003B5AFE">
      <w:pPr>
        <w:pStyle w:val="Paragrafi"/>
        <w:rPr>
          <w:b/>
          <w:i/>
          <w:lang w:val="sq-AL"/>
        </w:rPr>
      </w:pPr>
      <w:r w:rsidRPr="00FC5595">
        <w:rPr>
          <w:b/>
          <w:i/>
          <w:lang w:val="sq-AL"/>
        </w:rPr>
        <w:t xml:space="preserve">A. Për pretendimin e cenimit të standardit të arsyetimit të vendimit gjyqësor, si dhe së drejtës së ankimit </w:t>
      </w:r>
    </w:p>
    <w:p w:rsidR="003B5AFE" w:rsidRPr="00FC5595" w:rsidRDefault="003B5AFE" w:rsidP="003B5AFE">
      <w:pPr>
        <w:pStyle w:val="Paragrafi"/>
        <w:rPr>
          <w:lang w:val="sq-AL"/>
        </w:rPr>
      </w:pPr>
      <w:r>
        <w:rPr>
          <w:lang w:val="sq-AL"/>
        </w:rPr>
        <w:t>16</w:t>
      </w:r>
      <w:r w:rsidRPr="00FC5595">
        <w:rPr>
          <w:lang w:val="sq-AL"/>
        </w:rPr>
        <w:t xml:space="preserve">. Sipas kërkuesit, vendimi i Gjykatës së Lartë nuk është i arsyetuar </w:t>
      </w:r>
      <w:r w:rsidRPr="00FC5595">
        <w:rPr>
          <w:rFonts w:eastAsia="Calibri"/>
          <w:lang w:val="sq-AL" w:eastAsia="fr-FR"/>
        </w:rPr>
        <w:t xml:space="preserve">pasi nuk paraqiten shkaqet e mospranimit të rekursit të tij, edhe pse nga kërkuesi janë pretenduar shkelje të </w:t>
      </w:r>
      <w:r w:rsidRPr="00FC5595">
        <w:rPr>
          <w:iCs/>
          <w:lang w:val="sq-AL"/>
        </w:rPr>
        <w:t xml:space="preserve">standardeve kushtetuese </w:t>
      </w:r>
      <w:r w:rsidRPr="00FC5595">
        <w:rPr>
          <w:lang w:val="sq-AL"/>
        </w:rPr>
        <w:t xml:space="preserve">për një proces të rregullt ligjor </w:t>
      </w:r>
      <w:r w:rsidRPr="00FC5595">
        <w:rPr>
          <w:iCs/>
          <w:lang w:val="sq-AL"/>
        </w:rPr>
        <w:t>nga gjykatat më të ulëta, si dhe shkaqe të parashikuara nga neni 472 i KPC-së</w:t>
      </w:r>
      <w:r w:rsidRPr="00FC5595">
        <w:rPr>
          <w:rFonts w:eastAsia="Calibri"/>
          <w:lang w:val="sq-AL" w:eastAsia="fr-FR"/>
        </w:rPr>
        <w:t>.</w:t>
      </w:r>
      <w:r w:rsidRPr="00FC5595">
        <w:rPr>
          <w:i/>
          <w:lang w:val="sq-AL"/>
        </w:rPr>
        <w:t xml:space="preserve"> </w:t>
      </w:r>
    </w:p>
    <w:p w:rsidR="003B5AFE" w:rsidRPr="00FC5595" w:rsidRDefault="003B5AFE" w:rsidP="003B5AFE">
      <w:pPr>
        <w:pStyle w:val="Paragrafi"/>
        <w:rPr>
          <w:lang w:val="sq-AL"/>
        </w:rPr>
      </w:pPr>
      <w:r>
        <w:rPr>
          <w:lang w:val="sq-AL"/>
        </w:rPr>
        <w:t>17</w:t>
      </w:r>
      <w:r w:rsidRPr="00FC5595">
        <w:rPr>
          <w:lang w:val="sq-AL"/>
        </w:rPr>
        <w:t xml:space="preserve">. Gjykata ripohon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FC5595">
        <w:rPr>
          <w:i/>
          <w:lang w:val="sq-AL"/>
        </w:rPr>
        <w:t xml:space="preserve">(shih vendimet nr. 8, datë 28.2.2012; nr. </w:t>
      </w:r>
      <w:r w:rsidRPr="00FC5595">
        <w:rPr>
          <w:rFonts w:eastAsia="Calibri"/>
          <w:i/>
          <w:lang w:val="sq-AL"/>
        </w:rPr>
        <w:t xml:space="preserve">8, datë 16.3.2011; </w:t>
      </w:r>
      <w:r w:rsidRPr="00FC5595">
        <w:rPr>
          <w:i/>
          <w:lang w:val="sq-AL"/>
        </w:rPr>
        <w:t xml:space="preserve">nr. 25, datë 10.6.2011 dhe </w:t>
      </w:r>
      <w:r w:rsidRPr="00FC5595">
        <w:rPr>
          <w:rFonts w:eastAsia="Calibri"/>
          <w:i/>
          <w:lang w:val="sq-AL"/>
        </w:rPr>
        <w:t xml:space="preserve">nr. 38, datë 30.12.2010 </w:t>
      </w:r>
      <w:r w:rsidRPr="00FC5595">
        <w:rPr>
          <w:i/>
          <w:lang w:val="sq-AL"/>
        </w:rPr>
        <w:t>të Gjykatës Kushtetuese).</w:t>
      </w:r>
    </w:p>
    <w:p w:rsidR="003B5AFE" w:rsidRPr="00FC5595" w:rsidRDefault="003B5AFE" w:rsidP="003B5AFE">
      <w:pPr>
        <w:pStyle w:val="Paragrafi"/>
        <w:rPr>
          <w:lang w:val="sq-AL"/>
        </w:rPr>
      </w:pPr>
      <w:r>
        <w:rPr>
          <w:lang w:val="sq-AL"/>
        </w:rPr>
        <w:t>18</w:t>
      </w:r>
      <w:r w:rsidRPr="00FC5595">
        <w:rPr>
          <w:lang w:val="sq-AL"/>
        </w:rPr>
        <w:t xml:space="preserve">.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FC5595">
        <w:rPr>
          <w:rFonts w:eastAsia="Calibri"/>
          <w:lang w:val="sq-AL"/>
        </w:rPr>
        <w:t>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FC5595">
        <w:rPr>
          <w:rFonts w:eastAsia="Calibri"/>
          <w:i/>
          <w:lang w:val="sq-AL"/>
        </w:rPr>
        <w:t>shih vendimet nr. 8, datë 16.3.2011; nr. 23, dat</w:t>
      </w:r>
      <w:r w:rsidRPr="00FC5595">
        <w:rPr>
          <w:rFonts w:eastAsia="Calibri" w:cs="Times New Roman"/>
          <w:i/>
          <w:lang w:val="sq-AL"/>
        </w:rPr>
        <w:t>ë</w:t>
      </w:r>
      <w:r w:rsidRPr="00FC5595">
        <w:rPr>
          <w:rFonts w:eastAsia="Calibri"/>
          <w:i/>
          <w:lang w:val="sq-AL"/>
        </w:rPr>
        <w:t xml:space="preserve"> 4.11.2008; nr. 11, datë 2.4.2008 dhe nr. 7, datë 9.3.2009 të Gjykatës Kushtetuese). </w:t>
      </w:r>
    </w:p>
    <w:p w:rsidR="003B5AFE" w:rsidRPr="00FC5595" w:rsidRDefault="003B5AFE" w:rsidP="003B5AFE">
      <w:pPr>
        <w:pStyle w:val="Paragrafi"/>
        <w:rPr>
          <w:lang w:val="sq-AL"/>
        </w:rPr>
      </w:pPr>
      <w:r>
        <w:rPr>
          <w:lang w:val="sq-AL"/>
        </w:rPr>
        <w:t>19</w:t>
      </w:r>
      <w:r w:rsidRPr="00FC5595">
        <w:rPr>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FC5595">
        <w:rPr>
          <w:i/>
          <w:lang w:val="sq-AL"/>
        </w:rPr>
        <w:t>(shih vendimet nr. 20, datë 13.4.2012 dhe nr. 38, datë 30.12.2010 të Gjykatës Kushtetuese).</w:t>
      </w:r>
    </w:p>
    <w:p w:rsidR="003B5AFE" w:rsidRPr="00FC5595" w:rsidRDefault="003B5AFE" w:rsidP="003B5AFE">
      <w:pPr>
        <w:pStyle w:val="Paragrafi"/>
        <w:rPr>
          <w:lang w:val="sq-AL"/>
        </w:rPr>
      </w:pPr>
      <w:r>
        <w:rPr>
          <w:lang w:val="sq-AL"/>
        </w:rPr>
        <w:t>20</w:t>
      </w:r>
      <w:r w:rsidRPr="00FC5595">
        <w:rPr>
          <w:lang w:val="sq-AL"/>
        </w:rPr>
        <w:t>.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gjithë elementet e sipërpërmendur. Detyrimi i gjykatave për të respektuar këtë standard ndryshon në varësi të rrethanave të çështjes konkrete dhe natyrës së vendimit dhe masa e arsyetimit varet nga natyra e vendimit në fjalë (</w:t>
      </w:r>
      <w:r w:rsidRPr="00FC5595">
        <w:rPr>
          <w:i/>
          <w:lang w:val="sq-AL"/>
        </w:rPr>
        <w:t>shih vendimin nr. 25, datë 10.6.2011 të Gjykatës Kushtetuese</w:t>
      </w:r>
      <w:r w:rsidRPr="00FC5595">
        <w:rPr>
          <w:lang w:val="sq-AL"/>
        </w:rPr>
        <w:t xml:space="preserve">). </w:t>
      </w:r>
    </w:p>
    <w:p w:rsidR="003B5AFE" w:rsidRPr="00FC5595" w:rsidRDefault="003B5AFE" w:rsidP="003B5AFE">
      <w:pPr>
        <w:pStyle w:val="Paragrafi"/>
        <w:rPr>
          <w:rStyle w:val="hps"/>
          <w:rFonts w:eastAsia="Calibri"/>
          <w:bCs/>
          <w:lang w:val="sq-AL"/>
        </w:rPr>
      </w:pPr>
      <w:r>
        <w:rPr>
          <w:lang w:val="sq-AL"/>
        </w:rPr>
        <w:t>21</w:t>
      </w:r>
      <w:r w:rsidRPr="00FC5595">
        <w:rPr>
          <w:lang w:val="sq-AL"/>
        </w:rPr>
        <w:t xml:space="preserve">. Në këtë kontekst, Gjykata ka theksuar se ajo e vlerëson arsyetimin e një vendimi gjyqësor vetëm në kuadrin e përmbushjes ose jo të standardeve të mësipërme pasi nuk është detyrë e saj të </w:t>
      </w:r>
      <w:r w:rsidRPr="00FC5595">
        <w:rPr>
          <w:rFonts w:eastAsia="Calibri"/>
          <w:lang w:val="sq-AL"/>
        </w:rPr>
        <w:t xml:space="preserve">analizojë provat dhe faktet ku është bazuar gjykata për zgjidhjen e çështjes së themelit. Kjo mbetet detyrë funksionale e gjykatave të juridiksionit të zakonshëm dhe, në aspektin e kontrollit kushtetues, Gjykata </w:t>
      </w:r>
      <w:r w:rsidRPr="00FC5595">
        <w:rPr>
          <w:lang w:val="sq-AL"/>
        </w:rPr>
        <w:t>verifikon</w:t>
      </w:r>
      <w:r w:rsidRPr="00FC5595">
        <w:rPr>
          <w:rFonts w:eastAsia="Calibri"/>
          <w:lang w:val="sq-AL"/>
        </w:rPr>
        <w:t xml:space="preserve"> nëse arsyetimi i vendimit gjyqësor i ka plotësuar ose jo kriteret e përcaktuara më sipër, të cilat garantojnë të drejtën për të pasur një vendim gjyqësor të arsyetuar. </w:t>
      </w:r>
      <w:r w:rsidRPr="00FC5595">
        <w:rPr>
          <w:lang w:val="sq-AL"/>
        </w:rPr>
        <w:t xml:space="preserve">Në vlerësimin e Gjykatës nuk mjafton që arsyetimi të jetë </w:t>
      </w:r>
      <w:r w:rsidRPr="00FC5595">
        <w:rPr>
          <w:rStyle w:val="hps"/>
          <w:lang w:val="sq-AL"/>
        </w:rPr>
        <w:t>formalisht</w:t>
      </w:r>
      <w:r w:rsidRPr="00FC5595">
        <w:rPr>
          <w:lang w:val="sq-AL"/>
        </w:rPr>
        <w:t xml:space="preserve"> </w:t>
      </w:r>
      <w:r w:rsidRPr="00FC5595">
        <w:rPr>
          <w:rStyle w:val="hps"/>
          <w:lang w:val="sq-AL"/>
        </w:rPr>
        <w:t>i pranishëm</w:t>
      </w:r>
      <w:r w:rsidRPr="00FC5595">
        <w:rPr>
          <w:rStyle w:val="BodyTextChar"/>
          <w:lang w:val="sq-AL"/>
        </w:rPr>
        <w:t xml:space="preserve"> </w:t>
      </w:r>
      <w:r w:rsidRPr="00FC5595">
        <w:rPr>
          <w:rStyle w:val="hps"/>
          <w:lang w:val="sq-AL"/>
        </w:rPr>
        <w:t>në</w:t>
      </w:r>
      <w:r w:rsidRPr="00FC5595">
        <w:rPr>
          <w:lang w:val="sq-AL"/>
        </w:rPr>
        <w:t xml:space="preserve"> </w:t>
      </w:r>
      <w:r w:rsidRPr="00FC5595">
        <w:rPr>
          <w:rStyle w:val="hps"/>
          <w:lang w:val="sq-AL"/>
        </w:rPr>
        <w:t>kuptimin</w:t>
      </w:r>
      <w:r w:rsidRPr="00FC5595">
        <w:rPr>
          <w:lang w:val="sq-AL"/>
        </w:rPr>
        <w:t xml:space="preserve"> </w:t>
      </w:r>
      <w:r w:rsidRPr="00FC5595">
        <w:rPr>
          <w:rStyle w:val="hps"/>
          <w:lang w:val="sq-AL"/>
        </w:rPr>
        <w:t>grafik</w:t>
      </w:r>
      <w:r w:rsidRPr="00FC5595">
        <w:rPr>
          <w:lang w:val="sq-AL"/>
        </w:rPr>
        <w:t xml:space="preserve"> </w:t>
      </w:r>
      <w:r w:rsidRPr="00FC5595">
        <w:rPr>
          <w:rStyle w:val="hps"/>
          <w:lang w:val="sq-AL"/>
        </w:rPr>
        <w:t>dhe strukturor</w:t>
      </w:r>
      <w:r w:rsidRPr="00FC5595">
        <w:rPr>
          <w:lang w:val="sq-AL"/>
        </w:rPr>
        <w:t xml:space="preserve">, pasi kjo do ta bënte atë thjesht fiktiv. Arsyetimi duhet domosdoshmërish të plotësojë kriteret minimale ligjore të përcaktuara dhe të mos ketë të meta të tilla </w:t>
      </w:r>
      <w:r w:rsidRPr="00FC5595">
        <w:rPr>
          <w:rStyle w:val="hps"/>
          <w:lang w:val="sq-AL"/>
        </w:rPr>
        <w:t>serioze që cenojnë standardin e vendimit gjyqësor të arsyetuar (</w:t>
      </w:r>
      <w:r w:rsidRPr="00FC5595">
        <w:rPr>
          <w:rStyle w:val="hps"/>
          <w:i/>
          <w:lang w:val="sq-AL"/>
        </w:rPr>
        <w:t>shih vendimin nr. 55, datë 18.12.2012 të Gjykatës Kushtetuese)</w:t>
      </w:r>
      <w:r w:rsidRPr="00FC5595">
        <w:rPr>
          <w:rStyle w:val="hps"/>
          <w:lang w:val="sq-AL"/>
        </w:rPr>
        <w:t xml:space="preserve">. </w:t>
      </w:r>
    </w:p>
    <w:p w:rsidR="003B5AFE" w:rsidRPr="00FC5595" w:rsidRDefault="003B5AFE" w:rsidP="003B5AFE">
      <w:pPr>
        <w:pStyle w:val="Paragrafi"/>
        <w:rPr>
          <w:lang w:val="sq-AL"/>
        </w:rPr>
      </w:pPr>
      <w:r>
        <w:rPr>
          <w:lang w:val="sq-AL"/>
        </w:rPr>
        <w:t>22</w:t>
      </w:r>
      <w:r w:rsidRPr="00FC5595">
        <w:rPr>
          <w:lang w:val="sq-AL"/>
        </w:rPr>
        <w:t xml:space="preserve">. Po në këtë drejtim,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3B5AFE" w:rsidRPr="00FC5595" w:rsidRDefault="003B5AFE" w:rsidP="003B5AFE">
      <w:pPr>
        <w:pStyle w:val="Paragrafi"/>
        <w:rPr>
          <w:rFonts w:eastAsia="Calibri"/>
          <w:lang w:val="sq-AL" w:eastAsia="ja-JP"/>
        </w:rPr>
      </w:pPr>
      <w:r>
        <w:rPr>
          <w:lang w:val="sq-AL"/>
        </w:rPr>
        <w:t>23</w:t>
      </w:r>
      <w:r w:rsidRPr="00FC5595">
        <w:rPr>
          <w:lang w:val="sq-AL"/>
        </w:rPr>
        <w:t xml:space="preserve">. Nga parashikimet e dispozitave të KPC-së të lartpërmendura (§ 21 i këtij vendimi),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p>
    <w:p w:rsidR="003B5AFE" w:rsidRPr="00FC5595" w:rsidRDefault="003B5AFE" w:rsidP="003B5AFE">
      <w:pPr>
        <w:pStyle w:val="Paragrafi"/>
        <w:rPr>
          <w:rFonts w:eastAsia="Calibri"/>
          <w:lang w:val="sq-AL" w:eastAsia="ja-JP"/>
        </w:rPr>
      </w:pPr>
      <w:r>
        <w:rPr>
          <w:lang w:val="sq-AL"/>
        </w:rPr>
        <w:t>24</w:t>
      </w:r>
      <w:r w:rsidRPr="00FC5595">
        <w:rPr>
          <w:lang w:val="sq-AL"/>
        </w:rPr>
        <w:t xml:space="preserve">. Në rastin konkret, Gjykata vëren se vendimi i mospranimit i Kolegjit Civil të Gjykatës së Lartë përmban, në pjesën hyrëse të tij objektin e padisë, disponimet e gjykatës së shkallës së parë dhe asaj të apelit dhe faktin se kundër vendimit të kësaj të fundit ka paraqitur rekurs kërkuesi, por nuk përmban shkaqet që ai ka parashtruar në rekurs. Ndërsa në pjesën arsyetuese, Kolegji Civil i Gjykatës së Lartë </w:t>
      </w:r>
      <w:r w:rsidRPr="00FC5595">
        <w:rPr>
          <w:lang w:val="sq-AL" w:eastAsia="ja-JP"/>
        </w:rPr>
        <w:t xml:space="preserve">është mjaftuar me përfundimin se rekursi i paraqitur nuk përmban shkaqe nga ato që parashikon neni 472 i KPC-së duke vendosur, në pjesën urdhëruese, mospranimin e tij. Pra, Kolegji Civil i Gjykatës së Lartë, pavarësisht se në vendim nuk paraqet cilat janë shkaqet e kundërshtimit të vendimit të apelit, ka arritur të bëjë një proces vlerësimi të tyre (shkaqeve) </w:t>
      </w:r>
      <w:r w:rsidRPr="00FC5595">
        <w:rPr>
          <w:lang w:val="sq-AL"/>
        </w:rPr>
        <w:t>nëpërmjet të cilit ka arritur në konkluzionin e shprehur në dispozitiv.</w:t>
      </w:r>
    </w:p>
    <w:p w:rsidR="003B5AFE" w:rsidRPr="00FC5595" w:rsidRDefault="003B5AFE" w:rsidP="003B5AFE">
      <w:pPr>
        <w:pStyle w:val="Paragrafi"/>
        <w:rPr>
          <w:rFonts w:eastAsia="Calibri"/>
          <w:lang w:val="sq-AL" w:eastAsia="ja-JP"/>
        </w:rPr>
      </w:pPr>
      <w:r>
        <w:rPr>
          <w:lang w:val="sq-AL" w:eastAsia="ja-JP"/>
        </w:rPr>
        <w:t>25</w:t>
      </w:r>
      <w:r w:rsidRPr="00FC5595">
        <w:rPr>
          <w:lang w:val="sq-AL" w:eastAsia="ja-JP"/>
        </w:rPr>
        <w:t xml:space="preserve">. Nga leximi në tërësi i vendimit, Gjykata vlerëson se, për shkakun e lartpërmendur, </w:t>
      </w:r>
      <w:r w:rsidRPr="00FC5595">
        <w:rPr>
          <w:lang w:val="sq-AL"/>
        </w:rPr>
        <w:t xml:space="preserve">rrjedha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ketë një harmoni të brendshme. Për rrjedhojë, Gjykata çmon se </w:t>
      </w:r>
      <w:r w:rsidRPr="00FC5595">
        <w:rPr>
          <w:lang w:val="sq-AL" w:eastAsia="ja-JP"/>
        </w:rPr>
        <w:t>mungesa e paraqitjes së shkaqeve të parashtruara në rekurs, në vendimin e</w:t>
      </w:r>
      <w:r w:rsidRPr="00FC5595">
        <w:rPr>
          <w:lang w:val="sq-AL"/>
        </w:rPr>
        <w:t xml:space="preserve"> </w:t>
      </w:r>
      <w:r w:rsidRPr="00FC5595">
        <w:rPr>
          <w:lang w:val="sq-AL" w:eastAsia="ja-JP"/>
        </w:rPr>
        <w:t xml:space="preserve">Kolegjit Civil të Gjykatës së Lartë përbën një të metë, të pakapërcyeshme, të përmbajtjes së vendimit dhe të arsyetimit të gjykatës. </w:t>
      </w:r>
    </w:p>
    <w:p w:rsidR="003B5AFE" w:rsidRPr="00FC5595" w:rsidRDefault="003B5AFE" w:rsidP="003B5AFE">
      <w:pPr>
        <w:pStyle w:val="Paragrafi"/>
        <w:rPr>
          <w:lang w:val="sq-AL" w:eastAsia="ja-JP"/>
        </w:rPr>
      </w:pPr>
      <w:r>
        <w:rPr>
          <w:lang w:val="sq-AL"/>
        </w:rPr>
        <w:t>26</w:t>
      </w:r>
      <w:r w:rsidRPr="00FC5595">
        <w:rPr>
          <w:lang w:val="sq-AL"/>
        </w:rPr>
        <w:t xml:space="preserve">. Gjykata, nisur dhe nga sa u argumentua më lart, çmon gjithashtu se, </w:t>
      </w:r>
      <w:r w:rsidRPr="00FC5595">
        <w:rPr>
          <w:i/>
          <w:lang w:val="sq-AL"/>
        </w:rPr>
        <w:t>prima facie</w:t>
      </w:r>
      <w:r w:rsidRPr="00FC5595">
        <w:rPr>
          <w:lang w:val="sq-AL"/>
        </w:rPr>
        <w:t>, mos</w:t>
      </w:r>
      <w:r w:rsidRPr="00FC5595">
        <w:rPr>
          <w:lang w:val="sq-AL" w:eastAsia="ja-JP"/>
        </w:rPr>
        <w:t>paraqitja, në vendimin e</w:t>
      </w:r>
      <w:r w:rsidRPr="00FC5595">
        <w:rPr>
          <w:lang w:val="sq-AL"/>
        </w:rPr>
        <w:t xml:space="preserve"> </w:t>
      </w:r>
      <w:r w:rsidRPr="00FC5595">
        <w:rPr>
          <w:lang w:val="sq-AL" w:eastAsia="ja-JP"/>
        </w:rPr>
        <w:t xml:space="preserve">Kolegjit Civil, të shkaqeve të parashtruara nga kërkuesi në rekurs, </w:t>
      </w:r>
      <w:r w:rsidRPr="00FC5595">
        <w:rPr>
          <w:lang w:val="sq-AL"/>
        </w:rPr>
        <w:t xml:space="preserve">krijon dyshime edhe mbi cenimin e së drejtës së </w:t>
      </w:r>
      <w:r w:rsidRPr="00FC5595">
        <w:rPr>
          <w:rFonts w:eastAsia="Calibri"/>
          <w:lang w:val="sq-AL" w:eastAsia="fr-FR"/>
        </w:rPr>
        <w:t>ankimit efektiv, si dhe të së drejtës për t’u dëgjuar</w:t>
      </w:r>
      <w:r w:rsidRPr="00FC5595">
        <w:rPr>
          <w:lang w:val="sq-AL"/>
        </w:rPr>
        <w:t xml:space="preserve">, të pretenduara nga kërkuesi. Në këtë këndvështrim, pasqyrimi i shkaqeve të rekursit në pjesën hyrëse </w:t>
      </w:r>
      <w:r w:rsidRPr="00FC5595">
        <w:rPr>
          <w:lang w:val="sq-AL" w:eastAsia="ja-JP"/>
        </w:rPr>
        <w:t xml:space="preserve">të vendimit të Kolegjit </w:t>
      </w:r>
      <w:r w:rsidRPr="00FC5595">
        <w:rPr>
          <w:lang w:val="sq-AL"/>
        </w:rPr>
        <w:t>S</w:t>
      </w:r>
      <w:r w:rsidRPr="00FC5595">
        <w:rPr>
          <w:lang w:val="sq-AL" w:eastAsia="ja-JP"/>
        </w:rPr>
        <w:t xml:space="preserve">eleksionues të Gjykatës së Lartë përbën një element </w:t>
      </w:r>
      <w:r w:rsidRPr="00FC5595">
        <w:rPr>
          <w:lang w:val="sq-AL"/>
        </w:rPr>
        <w:t>të domosdoshëm dhe t</w:t>
      </w:r>
      <w:r w:rsidRPr="00FC5595">
        <w:rPr>
          <w:lang w:val="sq-AL" w:eastAsia="ja-JP"/>
        </w:rPr>
        <w:t>ë</w:t>
      </w:r>
      <w:r w:rsidRPr="00FC5595">
        <w:rPr>
          <w:lang w:val="sq-AL"/>
        </w:rPr>
        <w:t xml:space="preserve"> rëndësishëm të tij</w:t>
      </w:r>
      <w:r w:rsidRPr="00FC5595">
        <w:rPr>
          <w:rFonts w:eastAsia="Calibri"/>
          <w:lang w:val="sq-AL" w:eastAsia="fr-FR"/>
        </w:rPr>
        <w:t xml:space="preserve">, i cili nuk ka </w:t>
      </w:r>
      <w:r w:rsidRPr="00FC5595">
        <w:rPr>
          <w:lang w:val="sq-AL" w:eastAsia="ja-JP"/>
        </w:rPr>
        <w:t xml:space="preserve">thjesht karakter formal në përmbajtjen e vendimit gjyqësor. </w:t>
      </w:r>
    </w:p>
    <w:p w:rsidR="003B5AFE" w:rsidRPr="00FC5595" w:rsidRDefault="003B5AFE" w:rsidP="003B5AFE">
      <w:pPr>
        <w:pStyle w:val="Paragrafi"/>
        <w:rPr>
          <w:lang w:val="sq-AL"/>
        </w:rPr>
      </w:pPr>
      <w:r>
        <w:rPr>
          <w:lang w:val="sq-AL" w:eastAsia="ja-JP"/>
        </w:rPr>
        <w:t>27</w:t>
      </w:r>
      <w:r w:rsidRPr="00FC5595">
        <w:rPr>
          <w:lang w:val="sq-AL" w:eastAsia="ja-JP"/>
        </w:rPr>
        <w:t xml:space="preserve">. Si përfundim, nisur nga sa më sipër, Gjykata çmon se vendimi i mospranimit të rekursit i Kolegjit Civil të Gjykatës së Lartë, objekt shqyrtimi, nuk ka respektuar standardin kushtetues të arsyetimit të vendimeve gjyqësore. </w:t>
      </w:r>
      <w:r w:rsidRPr="00FC5595">
        <w:rPr>
          <w:lang w:val="sq-AL"/>
        </w:rPr>
        <w:t>Për rrjedhoj</w:t>
      </w:r>
      <w:r w:rsidRPr="00FC5595">
        <w:rPr>
          <w:lang w:val="sq-AL" w:eastAsia="ja-JP"/>
        </w:rPr>
        <w:t>ë</w:t>
      </w:r>
      <w:r w:rsidRPr="00FC5595">
        <w:rPr>
          <w:lang w:val="sq-AL"/>
        </w:rPr>
        <w:t xml:space="preserve">, pretendimi i kërkuesit në këtë aspekt është i bazuar dhe duhet pranuar. </w:t>
      </w:r>
    </w:p>
    <w:p w:rsidR="003B5AFE" w:rsidRPr="00FC5595" w:rsidRDefault="003B5AFE" w:rsidP="003B5AFE">
      <w:pPr>
        <w:pStyle w:val="Paragrafi"/>
        <w:rPr>
          <w:lang w:val="sq-AL"/>
        </w:rPr>
      </w:pPr>
    </w:p>
    <w:p w:rsidR="003B5AFE" w:rsidRPr="00E1117E" w:rsidRDefault="003B5AFE" w:rsidP="003B5AFE">
      <w:pPr>
        <w:pStyle w:val="VENDOSI"/>
        <w:keepNext w:val="0"/>
        <w:rPr>
          <w:lang w:val="sq-AL"/>
        </w:rPr>
      </w:pPr>
      <w:r w:rsidRPr="00E1117E">
        <w:rPr>
          <w:lang w:val="sq-AL"/>
        </w:rPr>
        <w:t>PËR KËTO ARSYE,</w:t>
      </w:r>
    </w:p>
    <w:p w:rsidR="003B5AFE" w:rsidRPr="00FC5595" w:rsidRDefault="003B5AFE" w:rsidP="003B5AFE">
      <w:pPr>
        <w:pStyle w:val="Paragrafi"/>
        <w:rPr>
          <w:lang w:val="sq-AL"/>
        </w:rPr>
      </w:pPr>
    </w:p>
    <w:p w:rsidR="003B5AFE" w:rsidRPr="00FC5595" w:rsidRDefault="003B5AFE" w:rsidP="003B5AFE">
      <w:pPr>
        <w:pStyle w:val="Paragrafi"/>
        <w:rPr>
          <w:lang w:val="sq-AL"/>
        </w:rPr>
      </w:pPr>
      <w:r w:rsidRPr="00FC5595">
        <w:rPr>
          <w:lang w:val="sq-AL"/>
        </w:rPr>
        <w:t xml:space="preserve">Gjykata </w:t>
      </w:r>
      <w:r w:rsidRPr="00FC5595">
        <w:rPr>
          <w:lang w:val="sq-AL" w:eastAsia="ja-JP"/>
        </w:rPr>
        <w:t>K</w:t>
      </w:r>
      <w:r w:rsidRPr="00FC5595">
        <w:rPr>
          <w:lang w:val="sq-AL"/>
        </w:rPr>
        <w:t>ushtetuese e Republikës së Shqipërisë, në mbështetje të nenit 131, shkronja “f” dhe nenit 134 pika 1 shkronja “g” të Kushtetutës, si dhe të neneve 72 e vijues të ligjit nr. 8577, datë 10.2.2000 “Për organizimin dhe funksionimin e Gjykatës Kushtetuese të Republikës së Shqipërisë”, me shumicë votash,</w:t>
      </w:r>
    </w:p>
    <w:p w:rsidR="003B5AFE" w:rsidRPr="00E1117E" w:rsidRDefault="003B5AFE" w:rsidP="003B5AFE">
      <w:pPr>
        <w:pStyle w:val="VENDOSI"/>
        <w:keepNext w:val="0"/>
        <w:rPr>
          <w:lang w:val="it-IT"/>
        </w:rPr>
      </w:pPr>
      <w:r w:rsidRPr="00E1117E">
        <w:rPr>
          <w:lang w:val="it-IT"/>
        </w:rPr>
        <w:t>VENDOSI:</w:t>
      </w:r>
    </w:p>
    <w:p w:rsidR="003B5AFE" w:rsidRPr="00FC5595" w:rsidRDefault="003B5AFE" w:rsidP="003B5AFE">
      <w:pPr>
        <w:pStyle w:val="Paragrafi"/>
        <w:rPr>
          <w:lang w:val="sq-AL"/>
        </w:rPr>
      </w:pPr>
    </w:p>
    <w:p w:rsidR="003B5AFE" w:rsidRPr="00FC5595" w:rsidRDefault="003B5AFE" w:rsidP="003B5AFE">
      <w:pPr>
        <w:pStyle w:val="Paragrafi"/>
        <w:rPr>
          <w:lang w:val="sq-AL"/>
        </w:rPr>
      </w:pPr>
      <w:r w:rsidRPr="00FC5595">
        <w:rPr>
          <w:lang w:val="sq-AL"/>
        </w:rPr>
        <w:t xml:space="preserve">- Pranimin pjesërisht të kërkesës. </w:t>
      </w:r>
    </w:p>
    <w:p w:rsidR="003B5AFE" w:rsidRPr="00FC5595" w:rsidRDefault="003B5AFE" w:rsidP="003B5AFE">
      <w:pPr>
        <w:pStyle w:val="Paragrafi"/>
        <w:rPr>
          <w:lang w:val="sq-AL"/>
        </w:rPr>
      </w:pPr>
      <w:r w:rsidRPr="00FC5595">
        <w:rPr>
          <w:lang w:val="sq-AL"/>
        </w:rPr>
        <w:t>- Shfuqizimin e vendimit nr. 00-2011-01, datë 13.1.2012 të Kolegjit Civil të Gjykatës së Lartë</w:t>
      </w:r>
      <w:r w:rsidRPr="00FC5595">
        <w:rPr>
          <w:rStyle w:val="FootnoteReference"/>
          <w:lang w:val="sq-AL"/>
        </w:rPr>
        <w:footnoteReference w:id="1"/>
      </w:r>
      <w:r w:rsidRPr="00FC5595">
        <w:rPr>
          <w:lang w:val="sq-AL"/>
        </w:rPr>
        <w:t xml:space="preserve">. </w:t>
      </w:r>
    </w:p>
    <w:p w:rsidR="003B5AFE" w:rsidRPr="00FC5595" w:rsidRDefault="003B5AFE" w:rsidP="003B5AFE">
      <w:pPr>
        <w:pStyle w:val="Paragrafi"/>
        <w:rPr>
          <w:lang w:val="sq-AL"/>
        </w:rPr>
      </w:pPr>
      <w:r w:rsidRPr="00FC5595">
        <w:rPr>
          <w:lang w:val="sq-AL"/>
        </w:rPr>
        <w:t xml:space="preserve">- Dërgimin e çështjes për rishqyrtim në Gjykatën e Lartë. </w:t>
      </w:r>
    </w:p>
    <w:p w:rsidR="003B5AFE" w:rsidRPr="00FC5595" w:rsidRDefault="003B5AFE" w:rsidP="003B5AFE">
      <w:pPr>
        <w:pStyle w:val="Paragrafi"/>
        <w:rPr>
          <w:lang w:val="sq-AL"/>
        </w:rPr>
      </w:pPr>
      <w:r w:rsidRPr="00FC5595">
        <w:rPr>
          <w:lang w:val="sq-AL"/>
        </w:rPr>
        <w:t>Ky vendim është përfundimtar, i formës së prerë dhe hyn në fuqi ditën e botimit në Fletoren Zyrtare.</w:t>
      </w:r>
    </w:p>
    <w:p w:rsidR="003B5AFE" w:rsidRPr="00FC5595" w:rsidRDefault="003B5AFE" w:rsidP="003B5AFE">
      <w:pPr>
        <w:pStyle w:val="Paragrafi"/>
        <w:rPr>
          <w:lang w:val="sq-AL"/>
        </w:rPr>
      </w:pPr>
      <w:r w:rsidRPr="00FC5595">
        <w:rPr>
          <w:lang w:val="sq-AL"/>
        </w:rPr>
        <w:t>Anëtarë</w:t>
      </w:r>
      <w:r>
        <w:rPr>
          <w:lang w:val="sq-AL"/>
        </w:rPr>
        <w:t xml:space="preserve"> pro</w:t>
      </w:r>
      <w:r w:rsidRPr="00FC5595">
        <w:rPr>
          <w:lang w:val="sq-AL"/>
        </w:rPr>
        <w:t>: Bashkim Dedja (kryetar), Vitore Tusha, Admir Thanza, Sokol Berberi, Altina Xhoxhaj, Fatmir Hoxha, Vladimir Kristo</w:t>
      </w:r>
    </w:p>
    <w:p w:rsidR="003B5AFE" w:rsidRPr="00FC5595" w:rsidRDefault="003B5AFE" w:rsidP="003B5AFE">
      <w:pPr>
        <w:pStyle w:val="Paragrafi"/>
        <w:rPr>
          <w:lang w:val="sq-AL"/>
        </w:rPr>
      </w:pPr>
      <w:r>
        <w:rPr>
          <w:lang w:val="sq-AL"/>
        </w:rPr>
        <w:t>Anëtar</w:t>
      </w:r>
      <w:r w:rsidRPr="00FC5595">
        <w:rPr>
          <w:lang w:val="sq-AL"/>
        </w:rPr>
        <w:t xml:space="preserve"> kundër: Xhezair Zaganjori</w:t>
      </w:r>
    </w:p>
    <w:p w:rsidR="003B5AFE" w:rsidRPr="00FC5595" w:rsidRDefault="003B5AFE" w:rsidP="003B5AFE">
      <w:pPr>
        <w:pStyle w:val="Paragrafi"/>
        <w:rPr>
          <w:lang w:val="sq-AL"/>
        </w:rPr>
      </w:pPr>
    </w:p>
    <w:p w:rsidR="003B5AFE" w:rsidRPr="00FC5595" w:rsidRDefault="003B5AFE" w:rsidP="003B5AFE">
      <w:pPr>
        <w:pStyle w:val="Paragrafi"/>
        <w:jc w:val="center"/>
        <w:rPr>
          <w:lang w:val="sq-AL"/>
        </w:rPr>
      </w:pPr>
    </w:p>
    <w:p w:rsidR="003B5AFE" w:rsidRPr="00E1117E" w:rsidRDefault="003B5AFE" w:rsidP="003B5AFE">
      <w:pPr>
        <w:pStyle w:val="TitulliTitull"/>
        <w:keepNext w:val="0"/>
        <w:rPr>
          <w:lang w:val="sq-AL"/>
        </w:rPr>
      </w:pPr>
      <w:r w:rsidRPr="00E1117E">
        <w:rPr>
          <w:lang w:val="sq-AL"/>
        </w:rPr>
        <w:t>MENDIM PARALEL</w:t>
      </w:r>
    </w:p>
    <w:p w:rsidR="003B5AFE" w:rsidRPr="00FC5595" w:rsidRDefault="003B5AFE" w:rsidP="003B5AFE">
      <w:pPr>
        <w:pStyle w:val="Paragrafi"/>
        <w:rPr>
          <w:lang w:val="sq-AL"/>
        </w:rPr>
      </w:pPr>
    </w:p>
    <w:p w:rsidR="003B5AFE" w:rsidRPr="00FC5595" w:rsidRDefault="003B5AFE" w:rsidP="003B5AFE">
      <w:pPr>
        <w:pStyle w:val="Paragrafi"/>
        <w:rPr>
          <w:lang w:val="sq-AL"/>
        </w:rPr>
      </w:pPr>
      <w:r w:rsidRPr="00FC5595">
        <w:rPr>
          <w:lang w:val="sq-AL"/>
        </w:rPr>
        <w:t xml:space="preserve">1. Në çështjen me kërkues Nikolaos Vagenas, </w:t>
      </w:r>
      <w:r w:rsidRPr="00FC5595">
        <w:rPr>
          <w:rFonts w:eastAsia="Calibri"/>
          <w:lang w:val="sq-AL"/>
        </w:rPr>
        <w:t xml:space="preserve">pajtohemi me vendimin e shumicës </w:t>
      </w:r>
      <w:r w:rsidRPr="00FC5595">
        <w:rPr>
          <w:lang w:val="sq-AL"/>
        </w:rPr>
        <w:t xml:space="preserve">për pranimin pjesërisht të kërkesës, shfuqizimin, si të papajtueshëm me Kushtetutën, të vendimit nr. 00-2011-01, datë 13.1.2012 të Kolegjit Civil të Gjykatës së Lartë, </w:t>
      </w:r>
      <w:r w:rsidRPr="00FC5595">
        <w:rPr>
          <w:rFonts w:eastAsia="Calibri"/>
          <w:lang w:val="sq-AL"/>
        </w:rPr>
        <w:t xml:space="preserve">por kemi mendim të ndryshëm lidhur me arsyet e këtij qëndrimi. </w:t>
      </w:r>
    </w:p>
    <w:p w:rsidR="003B5AFE" w:rsidRPr="00FC5595" w:rsidRDefault="003B5AFE" w:rsidP="003B5AFE">
      <w:pPr>
        <w:pStyle w:val="Paragrafi"/>
        <w:rPr>
          <w:rFonts w:eastAsia="Calibri"/>
          <w:color w:val="000000"/>
          <w:lang w:val="sq-AL"/>
        </w:rPr>
      </w:pPr>
      <w:r w:rsidRPr="00FC5595">
        <w:rPr>
          <w:lang w:val="sq-AL"/>
        </w:rPr>
        <w:t xml:space="preserve">2. Shumica, në thelb, ka argumentuar se vendimi i moskalimit, i Kolegjit Civil të Gjykatës së Lartë, duke mos pasqyruar në pjesën hyrëse të tij shkaqet e parashtruara nga kërkuesi në rekurs, </w:t>
      </w:r>
      <w:r w:rsidRPr="00FC5595">
        <w:rPr>
          <w:rFonts w:eastAsia="Calibri"/>
          <w:color w:val="000000"/>
          <w:lang w:val="sq-AL"/>
        </w:rPr>
        <w:t>nuk përmbush detyrimet e sanksionuara nga dispozitat procedurale të KPC-së, si dhe ato të elaboruara nga jurisprudenca kushtetuese</w:t>
      </w:r>
      <w:r w:rsidRPr="00FC5595">
        <w:rPr>
          <w:lang w:val="sq-AL"/>
        </w:rPr>
        <w:t xml:space="preserve"> </w:t>
      </w:r>
      <w:r w:rsidRPr="00FC5595">
        <w:rPr>
          <w:rFonts w:eastAsia="Calibri"/>
          <w:color w:val="000000"/>
          <w:lang w:val="sq-AL"/>
        </w:rPr>
        <w:t xml:space="preserve">lidhur me elementet përbërëse të vendimit gjyqësor. Për rrjedhojë, </w:t>
      </w:r>
      <w:r w:rsidRPr="00FC5595">
        <w:rPr>
          <w:lang w:val="sq-AL"/>
        </w:rPr>
        <w:t>shumica</w:t>
      </w:r>
      <w:r w:rsidRPr="00FC5595">
        <w:rPr>
          <w:rFonts w:eastAsia="Calibri"/>
          <w:color w:val="000000"/>
          <w:lang w:val="sq-AL"/>
        </w:rPr>
        <w:t xml:space="preserve"> ka çmuar se vendimi në fjalë, për shkakun e lartpërmendur, </w:t>
      </w:r>
      <w:r w:rsidRPr="00FC5595">
        <w:rPr>
          <w:lang w:val="sq-AL"/>
        </w:rPr>
        <w:t>krijon dyshime për cenimin e së drejtës së ankimit efektiv,</w:t>
      </w:r>
      <w:r w:rsidRPr="00FC5595">
        <w:rPr>
          <w:rFonts w:eastAsia="Calibri"/>
          <w:color w:val="000000"/>
          <w:lang w:val="sq-AL"/>
        </w:rPr>
        <w:t xml:space="preserve"> por pa i dhënë përgjigje konkrete këtij pretendimi</w:t>
      </w:r>
      <w:r w:rsidRPr="00FC5595">
        <w:rPr>
          <w:lang w:val="sq-AL"/>
        </w:rPr>
        <w:t xml:space="preserve"> të kërkuesit</w:t>
      </w:r>
      <w:r w:rsidRPr="00FC5595">
        <w:rPr>
          <w:rFonts w:eastAsia="Calibri"/>
          <w:color w:val="000000"/>
          <w:lang w:val="sq-AL"/>
        </w:rPr>
        <w:t xml:space="preserve">. </w:t>
      </w:r>
      <w:r w:rsidRPr="00FC5595">
        <w:rPr>
          <w:lang w:val="sq-AL"/>
        </w:rPr>
        <w:t xml:space="preserve">Në përfundim të vlerësimit të saj, shumica ka </w:t>
      </w:r>
      <w:r w:rsidRPr="00FC5595">
        <w:rPr>
          <w:rFonts w:eastAsia="Calibri"/>
          <w:color w:val="000000"/>
          <w:lang w:val="sq-AL"/>
        </w:rPr>
        <w:t xml:space="preserve">arritur në konkluzionin se vendimi i Gjykatës së Lartë </w:t>
      </w:r>
      <w:r w:rsidRPr="00FC5595">
        <w:rPr>
          <w:lang w:val="sq-AL"/>
        </w:rPr>
        <w:t xml:space="preserve">nuk ka respektuar </w:t>
      </w:r>
      <w:r w:rsidRPr="00FC5595">
        <w:rPr>
          <w:lang w:val="sq-AL" w:eastAsia="ja-JP"/>
        </w:rPr>
        <w:t>standardin e arsyetimit të vendimeve gjyqësore</w:t>
      </w:r>
      <w:r w:rsidRPr="00FC5595">
        <w:rPr>
          <w:lang w:val="sq-AL"/>
        </w:rPr>
        <w:t xml:space="preserve">. </w:t>
      </w:r>
    </w:p>
    <w:p w:rsidR="003B5AFE" w:rsidRPr="00FC5595" w:rsidRDefault="003B5AFE" w:rsidP="003B5AFE">
      <w:pPr>
        <w:pStyle w:val="Paragrafi"/>
        <w:rPr>
          <w:rFonts w:eastAsia="Calibri"/>
          <w:color w:val="000000"/>
          <w:lang w:val="sq-AL"/>
        </w:rPr>
      </w:pPr>
      <w:r w:rsidRPr="00FC5595">
        <w:rPr>
          <w:rFonts w:eastAsia="Calibri"/>
          <w:color w:val="000000"/>
          <w:lang w:val="sq-AL"/>
        </w:rPr>
        <w:t xml:space="preserve">3. Ndonëse shumica, duke iu referuar jurisprudencës së kësaj Gjykate, ka pranuar se </w:t>
      </w:r>
      <w:r w:rsidRPr="00FC5595">
        <w:rPr>
          <w:lang w:val="sq-AL"/>
        </w:rPr>
        <w:t>nuk mjafton që arsyetimi i një vendimi të jetë formalisht i pranishë</w:t>
      </w:r>
      <w:r w:rsidRPr="00FC5595">
        <w:rPr>
          <w:rFonts w:eastAsia="Calibri"/>
          <w:lang w:val="sq-AL"/>
        </w:rPr>
        <w:t xml:space="preserve">m </w:t>
      </w:r>
      <w:r w:rsidRPr="00FC5595">
        <w:rPr>
          <w:lang w:val="sq-AL"/>
        </w:rPr>
        <w:t>në kuptimin grafik dhe strukturor, pasi kjo do ta bënte atë thjesht fikti</w:t>
      </w:r>
      <w:r w:rsidRPr="00FC5595">
        <w:rPr>
          <w:rFonts w:eastAsia="Calibri"/>
          <w:color w:val="000000"/>
          <w:lang w:val="sq-AL"/>
        </w:rPr>
        <w:t xml:space="preserve">v (shih paragrafin 20 të vendimit), ajo nuk ka mundur t’i shmanget vetë këtij formalizmi në arsyetimin e shkaqeve për të cilat ka vendosur shfuqizimin e vendimit në fjalë. Korrigjimi i mangësisë së konstatuar nga shumica, nga ana e Kolegjit </w:t>
      </w:r>
      <w:r>
        <w:rPr>
          <w:rFonts w:eastAsia="Calibri"/>
          <w:color w:val="000000"/>
          <w:lang w:val="sq-AL"/>
        </w:rPr>
        <w:t>Civil të Gjykatës së Lartë, pra</w:t>
      </w:r>
      <w:r w:rsidRPr="00FC5595">
        <w:rPr>
          <w:rFonts w:eastAsia="Calibri"/>
          <w:color w:val="000000"/>
          <w:lang w:val="sq-AL"/>
        </w:rPr>
        <w:t xml:space="preserve"> paraqitja në vendimin e mospranimit të Gjykatës së Lartë të shkaqeve të ngritura në rekurs nga kërkuesi, </w:t>
      </w:r>
      <w:r w:rsidRPr="00FC5595">
        <w:rPr>
          <w:lang w:val="sq-AL"/>
        </w:rPr>
        <w:t xml:space="preserve">objektivisht nuk do të passjellë asnjë rezultat konkret në realizimin e së drejtës së tij për një proces të rregullt ligjor. Vendimi i Gjykatës së Lartë, pasi të ketë përmbushur detyrimet që burojnë nga vendimi i Gjykatës Kushtetuese, rrezikon të mbetet përsëri objekt kundërshtimi kushtetues. Nga ky këndvështrim, veç sa më sipër, formalizmi në vendimmarrjen e kësaj Gjykate mund të krijojë një shqetësim të ri lidhur me efektivitetin e vendimeve të saj. </w:t>
      </w:r>
    </w:p>
    <w:p w:rsidR="003B5AFE" w:rsidRPr="00FC5595" w:rsidRDefault="003B5AFE" w:rsidP="003B5AFE">
      <w:pPr>
        <w:pStyle w:val="Paragrafi"/>
        <w:rPr>
          <w:rFonts w:eastAsia="Calibri"/>
          <w:color w:val="000000"/>
          <w:lang w:val="sq-AL"/>
        </w:rPr>
      </w:pPr>
      <w:r w:rsidRPr="00FC5595">
        <w:rPr>
          <w:rFonts w:eastAsia="Calibri"/>
          <w:color w:val="000000"/>
          <w:lang w:val="sq-AL"/>
        </w:rPr>
        <w:t xml:space="preserve">4. Në këtë drejtim, jemi të mendimit se, fillimisht, shumica duhet t’i jepte përgjigje pretendimeve të parashtruara nga kërkuesi. </w:t>
      </w:r>
    </w:p>
    <w:p w:rsidR="003B5AFE" w:rsidRPr="00FC5595" w:rsidRDefault="003B5AFE" w:rsidP="003B5AFE">
      <w:pPr>
        <w:pStyle w:val="Paragrafi"/>
        <w:rPr>
          <w:rFonts w:eastAsia="Calibri"/>
          <w:color w:val="000000"/>
          <w:lang w:val="sq-AL"/>
        </w:rPr>
      </w:pPr>
      <w:r w:rsidRPr="00FC5595">
        <w:rPr>
          <w:lang w:val="sq-AL"/>
        </w:rPr>
        <w:t>5.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w:t>
      </w:r>
      <w:r w:rsidRPr="00FC5595">
        <w:rPr>
          <w:i/>
          <w:lang w:val="sq-AL"/>
        </w:rPr>
        <w:t xml:space="preserve"> </w:t>
      </w:r>
      <w:r w:rsidRPr="00FC5595">
        <w:rPr>
          <w:lang w:val="sq-AL"/>
        </w:rPr>
        <w:t>Një qëndrim i ndryshëm do ta kthente Gjykatën Kushtetuese në një instancë të zakonshme, gjë që nuk është</w:t>
      </w:r>
      <w:r w:rsidRPr="00FC5595">
        <w:rPr>
          <w:lang w:val="sq-AL" w:eastAsia="ja-JP"/>
        </w:rPr>
        <w:t xml:space="preserve"> funksioni i saj (</w:t>
      </w:r>
      <w:r w:rsidRPr="00FC5595">
        <w:rPr>
          <w:i/>
          <w:lang w:val="sq-AL" w:eastAsia="ja-JP"/>
        </w:rPr>
        <w:t>shih vendimet e Gjykatës Kushtetuese nr. 4, datë 28.2.2006 dhe nr. 19, datë 2.4.2012</w:t>
      </w:r>
      <w:r w:rsidRPr="00FC5595">
        <w:rPr>
          <w:lang w:val="sq-AL" w:eastAsia="ja-JP"/>
        </w:rPr>
        <w:t>).</w:t>
      </w:r>
    </w:p>
    <w:p w:rsidR="003B5AFE" w:rsidRPr="00FC5595" w:rsidRDefault="003B5AFE" w:rsidP="003B5AFE">
      <w:pPr>
        <w:pStyle w:val="Paragrafi"/>
        <w:rPr>
          <w:rFonts w:eastAsia="Calibri"/>
          <w:color w:val="000000"/>
          <w:lang w:val="sq-AL"/>
        </w:rPr>
      </w:pPr>
      <w:r w:rsidRPr="00FC5595">
        <w:rPr>
          <w:lang w:val="sq-AL"/>
        </w:rPr>
        <w:t xml:space="preserve">Në vijim të këtij vlerësimi, më poshtë, do t’i </w:t>
      </w:r>
      <w:r w:rsidRPr="00FC5595">
        <w:rPr>
          <w:rFonts w:eastAsia="Calibri"/>
          <w:lang w:val="sq-AL"/>
        </w:rPr>
        <w:t xml:space="preserve">përgjigjemi pretendimeve të ngritura nga kërkuesi. </w:t>
      </w:r>
    </w:p>
    <w:p w:rsidR="003B5AFE" w:rsidRPr="00FC5595" w:rsidRDefault="003B5AFE" w:rsidP="003B5AFE">
      <w:pPr>
        <w:pStyle w:val="Paragrafi"/>
        <w:rPr>
          <w:rFonts w:eastAsia="Calibri"/>
          <w:lang w:val="sq-AL" w:eastAsia="fr-FR"/>
        </w:rPr>
      </w:pPr>
      <w:r w:rsidRPr="00FC5595">
        <w:rPr>
          <w:rFonts w:eastAsia="Calibri"/>
          <w:lang w:val="sq-AL" w:eastAsia="fr-FR"/>
        </w:rPr>
        <w:t>6. Për sa i përket pretendimit për shkeljen e normave procedurale në lidhje me ndërgjyqësinë, kompetencën dhe juridiksionin</w:t>
      </w:r>
      <w:r w:rsidRPr="00FC5595">
        <w:rPr>
          <w:lang w:val="sq-AL"/>
        </w:rPr>
        <w:t xml:space="preserve">, </w:t>
      </w:r>
      <w:r w:rsidRPr="00FC5595">
        <w:rPr>
          <w:rFonts w:eastAsia="Calibri"/>
          <w:lang w:val="sq-AL" w:eastAsia="fr-FR"/>
        </w:rPr>
        <w:t xml:space="preserve">kërkuesi </w:t>
      </w:r>
      <w:r w:rsidRPr="00FC5595">
        <w:rPr>
          <w:lang w:val="sq-AL"/>
        </w:rPr>
        <w:t xml:space="preserve">ka parashtruar se gjykata e apelit nuk e ka krijuar drejt ndërgjyqësinë dhe se ajo duhet të ndërpriste gjykimin për shkak të mungesës së juridiksionit dhe kompetencës. Kjo për arsyen se palët, shoqëria “Vjosa” sh.a. dhe ajo amerikane “Alfagas International” LLC, në dokumentin (ofertë për LPG), ku janë përcaktuar kushtet e furnizimit me gaz të lëngshëm dhe mënyra e pagesës së këtij furnizimi, kanë rënë dakord që mosmarrëveshjet midis tyre do të gjykohen sipas ligjit anglez dhe se gjykimi do të bëhet në Mbretërinë e Bashkuar, si vend neutral. Po ashtu, sipas kërkuesit, fakti se nuk është thirrur si palë ndërgjyqëse në gjykim shoqëria “Alfagas International” LLC, e bën procesin të parregullt në aspektin kushtetues, duke dëmtuar në këtë mënyrë thelbin e vetë procesit. </w:t>
      </w:r>
      <w:r w:rsidRPr="00FC5595">
        <w:rPr>
          <w:rFonts w:eastAsia="Calibri"/>
          <w:lang w:val="sq-AL" w:eastAsia="fr-FR"/>
        </w:rPr>
        <w:t>Në këtë drejtim, G</w:t>
      </w:r>
      <w:r w:rsidRPr="00FC5595">
        <w:rPr>
          <w:lang w:val="sq-AL" w:eastAsia="sq-AL"/>
        </w:rPr>
        <w:t xml:space="preserve">jykata e Lartë nuk i ka dhënë përgjigje këtij pretendimi, edhe pse nga kërkuesi është pretenduar një shkelje e rëndë procedurale, bazuar në nenin 472/1/b të KPC-së në lidhje dhe me nenin 467 të KPC-së. </w:t>
      </w:r>
    </w:p>
    <w:p w:rsidR="003B5AFE" w:rsidRPr="00FC5595" w:rsidRDefault="003B5AFE" w:rsidP="003B5AFE">
      <w:pPr>
        <w:pStyle w:val="Paragrafi"/>
        <w:rPr>
          <w:lang w:val="sq-AL"/>
        </w:rPr>
      </w:pPr>
      <w:r w:rsidRPr="00FC5595">
        <w:rPr>
          <w:rFonts w:eastAsia="Calibri"/>
          <w:lang w:val="sq-AL" w:eastAsia="fr-FR"/>
        </w:rPr>
        <w:t>7. Në</w:t>
      </w:r>
      <w:r w:rsidRPr="00FC5595">
        <w:rPr>
          <w:rFonts w:eastAsia="Calibri"/>
          <w:lang w:val="sq-AL" w:eastAsia="ja-JP"/>
        </w:rPr>
        <w:t xml:space="preserve"> </w:t>
      </w:r>
      <w:r w:rsidRPr="00FC5595">
        <w:rPr>
          <w:lang w:val="sq-AL" w:eastAsia="ja-JP"/>
        </w:rPr>
        <w:t xml:space="preserve">jurisprudencën e Gjykatës, mosformimi i drejtë i ndërgjyqësisë është cilësuar si shkelje e standardeve për një proces të rregullt ligjor dhe është analizuar </w:t>
      </w:r>
      <w:r w:rsidRPr="00FC5595">
        <w:rPr>
          <w:lang w:val="sq-AL"/>
        </w:rPr>
        <w:t>në funksion të cenimit të</w:t>
      </w:r>
      <w:r w:rsidRPr="00FC5595">
        <w:rPr>
          <w:lang w:val="sq-AL" w:eastAsia="ja-JP"/>
        </w:rPr>
        <w:t xml:space="preserve"> parimit të kontradiktoritetit në gjykim, si dhe të barazisë së armëve </w:t>
      </w:r>
      <w:r w:rsidRPr="00FC5595">
        <w:rPr>
          <w:i/>
          <w:lang w:val="sq-AL" w:eastAsia="ja-JP"/>
        </w:rPr>
        <w:t xml:space="preserve">(shih vendimet nr. </w:t>
      </w:r>
      <w:r w:rsidRPr="00FC5595">
        <w:rPr>
          <w:i/>
          <w:lang w:val="sq-AL"/>
        </w:rPr>
        <w:t>14, datë 15.4.2003 dhe nr. 13, datë 18.5.2006 të Gjykatës Kushtetuese</w:t>
      </w:r>
      <w:r w:rsidRPr="00FC5595">
        <w:rPr>
          <w:lang w:val="sq-AL" w:eastAsia="ja-JP"/>
        </w:rPr>
        <w:t xml:space="preserve">). Nga ana tjetër, </w:t>
      </w:r>
      <w:r w:rsidRPr="00FC5595">
        <w:rPr>
          <w:lang w:val="sq-AL"/>
        </w:rPr>
        <w:t xml:space="preserve">parimi i kontradiktoritetit, i parë në këndvështrimin e barazisë së armëve në procesin civil, është një evolucion logjik i së drejtës së palës për të marrë pjesë në gjykim dhe për t’u trajtuar në mënyrë të drejtë dhe të barabartë nga një gjyqtar i drejtë dhe i paanshëm, i cili u garanton të dyja palëve të njëjtat mundësi, për të shpalosur provat dhe argumentet e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FC5595">
        <w:rPr>
          <w:i/>
          <w:lang w:val="sq-AL"/>
        </w:rPr>
        <w:t>(shih vendime</w:t>
      </w:r>
      <w:r w:rsidRPr="00FC5595">
        <w:rPr>
          <w:i/>
          <w:iCs/>
          <w:lang w:val="sq-AL"/>
        </w:rPr>
        <w:t xml:space="preserve">t nr. 33, datë 24.11.2003; </w:t>
      </w:r>
      <w:r w:rsidRPr="00FC5595">
        <w:rPr>
          <w:i/>
          <w:lang w:val="sq-AL"/>
        </w:rPr>
        <w:t>nr. 16, datë 8.6.2006; nr. 13, datë 21.7.2008;</w:t>
      </w:r>
      <w:r w:rsidRPr="00FC5595">
        <w:rPr>
          <w:i/>
          <w:iCs/>
          <w:lang w:val="sq-AL"/>
        </w:rPr>
        <w:t xml:space="preserve"> nr. 30, datë 26.11.2009;</w:t>
      </w:r>
      <w:r w:rsidRPr="00FC5595">
        <w:rPr>
          <w:i/>
          <w:lang w:val="sq-AL"/>
        </w:rPr>
        <w:t xml:space="preserve"> nr 38, datë 30.12.2010; nr. 34, datë 25.7.2011 të Gjykatës Kushtetuese</w:t>
      </w:r>
      <w:r w:rsidRPr="00FC5595">
        <w:rPr>
          <w:lang w:val="sq-AL"/>
        </w:rPr>
        <w:t xml:space="preserve">). </w:t>
      </w:r>
    </w:p>
    <w:p w:rsidR="003B5AFE" w:rsidRPr="00FC5595" w:rsidRDefault="003B5AFE" w:rsidP="003B5AFE">
      <w:pPr>
        <w:pStyle w:val="Paragrafi"/>
        <w:rPr>
          <w:lang w:val="sq-AL"/>
        </w:rPr>
      </w:pPr>
      <w:r w:rsidRPr="00FC5595">
        <w:rPr>
          <w:lang w:val="sq-AL" w:eastAsia="ja-JP"/>
        </w:rPr>
        <w:t>8. Gjithsesi, Gjykata ka vlerësuar se pretendimi i mosformimit të drejtë të ndërgjyqësisë duhet analizuar edhe në aspektin e lidhjes së drejtpërdrejtë që ka ekzistenca e shkeljes ligjore me vetë kërkuesin, si dhe të ndikimit që kjo shkelje mund të ketë sjellë mbi ecurinë e procesit gjyqësor (</w:t>
      </w:r>
      <w:r w:rsidRPr="00FC5595">
        <w:rPr>
          <w:i/>
          <w:lang w:val="sq-AL" w:eastAsia="ja-JP"/>
        </w:rPr>
        <w:t xml:space="preserve">shih vendimin </w:t>
      </w:r>
      <w:r w:rsidRPr="00FC5595">
        <w:rPr>
          <w:i/>
          <w:lang w:val="sq-AL"/>
        </w:rPr>
        <w:t>nr. 13, datë 18.5.2006 të Gjykatës Kushtetuese</w:t>
      </w:r>
      <w:r w:rsidRPr="00FC5595">
        <w:rPr>
          <w:lang w:val="sq-AL"/>
        </w:rPr>
        <w:t>)</w:t>
      </w:r>
      <w:r w:rsidRPr="00FC5595">
        <w:rPr>
          <w:lang w:val="sq-AL" w:eastAsia="ja-JP"/>
        </w:rPr>
        <w:t>.</w:t>
      </w:r>
    </w:p>
    <w:p w:rsidR="003B5AFE" w:rsidRPr="00FC5595" w:rsidRDefault="003B5AFE" w:rsidP="003B5AFE">
      <w:pPr>
        <w:pStyle w:val="Paragrafi"/>
        <w:rPr>
          <w:lang w:val="sq-AL" w:eastAsia="ja-JP"/>
        </w:rPr>
      </w:pPr>
      <w:r w:rsidRPr="00FC5595">
        <w:rPr>
          <w:lang w:val="sq-AL"/>
        </w:rPr>
        <w:t xml:space="preserve">9. Në rastin në shqyrtim, objekt i procesit gjyqësor është kërkimi për përmbushjen e një detyrimi monetar, të lindur fillimisht ndërmjet shoqërive “Vjosa” sh.a. dhe “Alfagas International” LLC, ndërkohë që kjo e fundit nuk është thirrur si palë ndërgjyqëse në procesin gjyqësor. Në këto kushte, jemi të mendimit se pretendimi i kërkuesit se në shqyrtimin e konfliktit duhet të merrte pjesë edhe shoqëria “Alfagas International” LLC, sepse formimi i drejtë i ndërgjyqësisë përbënte kusht të domosdoshëm për rregullsinë e procesit gjyqësor, duhet të merrte përgjigje në vendimin e Gjykatës së Lartë, përderisa ai i referohet shkaqeve të parashikuara nga neni 472/1/b i </w:t>
      </w:r>
      <w:r w:rsidRPr="00FC5595">
        <w:rPr>
          <w:lang w:val="sq-AL" w:eastAsia="ja-JP"/>
        </w:rPr>
        <w:t>KPC-së</w:t>
      </w:r>
      <w:r w:rsidRPr="00FC5595">
        <w:rPr>
          <w:lang w:val="sq-AL"/>
        </w:rPr>
        <w:t xml:space="preserve">. Për më tepër, kur një pretendim i tillë është i lidhur me </w:t>
      </w:r>
      <w:r w:rsidRPr="00FC5595">
        <w:rPr>
          <w:lang w:val="sq-AL" w:eastAsia="ja-JP"/>
        </w:rPr>
        <w:t>respektimin e parimit të kontradiktoritetit dhe barazisë së armëve në procesin gjyqësor.</w:t>
      </w:r>
    </w:p>
    <w:p w:rsidR="003B5AFE" w:rsidRDefault="003B5AFE" w:rsidP="003B5AFE">
      <w:pPr>
        <w:pStyle w:val="Paragrafi"/>
        <w:rPr>
          <w:rFonts w:eastAsia="Calibri"/>
          <w:lang w:val="sq-AL" w:eastAsia="fr-FR"/>
        </w:rPr>
      </w:pPr>
      <w:r w:rsidRPr="00FC5595">
        <w:rPr>
          <w:rFonts w:eastAsia="Calibri"/>
          <w:lang w:val="sq-AL" w:eastAsia="fr-FR"/>
        </w:rPr>
        <w:t>10. Kërkuesi, gjithashtu, ka pretenduar se Kolegji Civil i Gjykatës së Lartë</w:t>
      </w:r>
      <w:r w:rsidRPr="00FC5595">
        <w:rPr>
          <w:lang w:val="sq-AL"/>
        </w:rPr>
        <w:t xml:space="preserve">, edhe pse në prezencë të dy vendimeve gjyqësore me qëndrime të ndryshme nga njëri-tjetri, duke vendosur moskalimin e rekursit për shqyrtim në seancë gjyqësore, i </w:t>
      </w:r>
      <w:r w:rsidRPr="00FC5595">
        <w:rPr>
          <w:rFonts w:eastAsia="Calibri"/>
          <w:lang w:val="sq-AL" w:eastAsia="fr-FR"/>
        </w:rPr>
        <w:t xml:space="preserve">ka mohuar atij të drejtën e ankimit efektiv në kuptim të nenit 43 të Kushtetutës, si dhe të drejtën për t’u dëgjuar para se të gjykohet. </w:t>
      </w:r>
    </w:p>
    <w:p w:rsidR="003B5AFE" w:rsidRPr="00FC5595" w:rsidRDefault="003B5AFE" w:rsidP="003B5AFE">
      <w:pPr>
        <w:pStyle w:val="Paragrafi"/>
        <w:rPr>
          <w:rFonts w:eastAsia="Calibri"/>
          <w:lang w:val="sq-AL" w:eastAsia="fr-FR"/>
        </w:rPr>
      </w:pPr>
    </w:p>
    <w:p w:rsidR="003B5AFE" w:rsidRPr="00FC5595" w:rsidRDefault="003B5AFE" w:rsidP="003B5AFE">
      <w:pPr>
        <w:pStyle w:val="Paragrafi"/>
        <w:rPr>
          <w:i/>
          <w:lang w:val="sq-AL"/>
        </w:rPr>
      </w:pPr>
      <w:r w:rsidRPr="00FC5595">
        <w:rPr>
          <w:rFonts w:eastAsia="Calibri"/>
          <w:lang w:val="sq-AL" w:eastAsia="fr-FR"/>
        </w:rPr>
        <w:t xml:space="preserve">11. Neni </w:t>
      </w:r>
      <w:r w:rsidRPr="00FC5595">
        <w:rPr>
          <w:lang w:val="sq-AL"/>
        </w:rPr>
        <w:t>43 i Kushtetutës parashikon se “</w:t>
      </w:r>
      <w:r w:rsidRPr="00FC5595">
        <w:rPr>
          <w:i/>
          <w:lang w:val="sq-AL"/>
        </w:rPr>
        <w:t>kushdo ka të drejtë të ankohet kundër një vendimi gjyqësor në një gjykatë më të lartë, përveçse kur në Kushtetutë parashikohet ndryshe</w:t>
      </w:r>
      <w:r w:rsidRPr="00FC5595">
        <w:rPr>
          <w:lang w:val="sq-AL"/>
        </w:rPr>
        <w:t>”. Në jurisprudencën e kësaj Gjykate,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FC5595">
        <w:rPr>
          <w:i/>
          <w:lang w:val="sq-AL"/>
        </w:rPr>
        <w:t>shih vendimet nr. 5, datë 2.3.2010; nr. 12, datë 14.4.2010; nr. 14 datë 26.3.2012 të Gjykatës Kushtetuese</w:t>
      </w:r>
      <w:r w:rsidRPr="00FC5595">
        <w:rPr>
          <w:lang w:val="sq-AL"/>
        </w:rPr>
        <w:t>). Pra, me Kushtetutë, kujtdo i garantohet e drejta për t’u ankuar të paktën një herë kundër çdo vendimi gjyqësor të dhënë ndaj tij. Kjo garanci e rëndësishme kushtetuese është edhe një tejkalim pozitiv krahasuar me standardet që ofron në këtë drejtim Konventa Europiane e të Drejtave të Njeriut (</w:t>
      </w:r>
      <w:r w:rsidRPr="00FC5595">
        <w:rPr>
          <w:i/>
          <w:lang w:val="sq-AL"/>
        </w:rPr>
        <w:t>shih vendimet nr. 14, datë 5.7.2005; nr. 12, datë 14.4.2010 të Gjykatës Kushtetuese</w:t>
      </w:r>
      <w:r w:rsidRPr="00FC5595">
        <w:rPr>
          <w:lang w:val="sq-AL"/>
        </w:rPr>
        <w:t>).</w:t>
      </w:r>
    </w:p>
    <w:p w:rsidR="003B5AFE" w:rsidRPr="00FC5595" w:rsidRDefault="003B5AFE" w:rsidP="003B5AFE">
      <w:pPr>
        <w:pStyle w:val="Paragrafi"/>
        <w:rPr>
          <w:rFonts w:eastAsia="Calibri"/>
          <w:lang w:val="sq-AL" w:eastAsia="fr-FR"/>
        </w:rPr>
      </w:pPr>
      <w:r w:rsidRPr="00FC5595">
        <w:rPr>
          <w:rFonts w:eastAsia="Calibri"/>
          <w:lang w:val="sq-AL" w:eastAsia="fr-FR"/>
        </w:rPr>
        <w:t xml:space="preserve">12. Gjykata ka pohuar se e drejta e ankimit, e sanksionuar në nenin 43 të Kushtetutës, është një e drejtë procedurale që shërben për të mbrojtur një të drejtë substanciale. Kjo e drejtë bazohet në parimin se </w:t>
      </w:r>
      <w:r w:rsidRPr="00FC5595">
        <w:rPr>
          <w:rFonts w:eastAsia="Calibri"/>
          <w:i/>
          <w:lang w:val="sq-AL" w:eastAsia="fr-FR"/>
        </w:rPr>
        <w:t>“...nuk mund të ekzistojë një e drejtë pa të drejtën e ankimit</w:t>
      </w:r>
      <w:r w:rsidRPr="00FC5595">
        <w:rPr>
          <w:rFonts w:eastAsia="Calibri"/>
          <w:lang w:val="sq-AL" w:eastAsia="fr-FR"/>
        </w:rPr>
        <w:t>” (</w:t>
      </w:r>
      <w:r w:rsidRPr="00FC5595">
        <w:rPr>
          <w:rFonts w:eastAsia="Calibri"/>
          <w:i/>
          <w:lang w:val="sq-AL" w:eastAsia="fr-FR"/>
        </w:rPr>
        <w:t>shih vendimet nr. 12, datë 14.4.2010; nr. 14 datë 26.3.2012 të Gjykatës Kushtetuese</w:t>
      </w:r>
      <w:r w:rsidRPr="00FC5595">
        <w:rPr>
          <w:rFonts w:eastAsia="Calibri"/>
          <w:lang w:val="sq-AL" w:eastAsia="fr-FR"/>
        </w:rPr>
        <w:t>).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së drejtës së individit për të pasur akses në gjykatë.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FC5595">
        <w:rPr>
          <w:rFonts w:eastAsia="Calibri"/>
          <w:i/>
          <w:lang w:val="sq-AL" w:eastAsia="fr-FR"/>
        </w:rPr>
        <w:t>shih vendimet nr. 4, datë 23.2.2011; nr. 14, datë 3.6.2009 dhe nr. 7 datë 11.3.2008 të Gjykatës Kushtetuese</w:t>
      </w:r>
      <w:r w:rsidRPr="00FC5595">
        <w:rPr>
          <w:rFonts w:eastAsia="Calibri"/>
          <w:lang w:val="sq-AL" w:eastAsia="fr-FR"/>
        </w:rPr>
        <w:t>). Në këtë aspekt, duke iu referuar jurisprudencës së GJEDNJ-së, Gjykata ka çmuar se, veçanërisht, mjetet procedurale të ankimit të ofruara nga legjislacioni i brendshëm dhe praktika duhet të tregojnë se ato kanë qenë efektive (</w:t>
      </w:r>
      <w:r w:rsidRPr="00FC5595">
        <w:rPr>
          <w:rFonts w:eastAsia="Calibri"/>
          <w:i/>
          <w:lang w:val="sq-AL" w:eastAsia="fr-FR"/>
        </w:rPr>
        <w:t>shih vendimet nr. 30, datë 17.6.2010; nr. 14 datë 26.3.2012 të Gjykatës Kushtetuese</w:t>
      </w:r>
      <w:r w:rsidRPr="00FC5595">
        <w:rPr>
          <w:rFonts w:eastAsia="Calibri"/>
          <w:lang w:val="sq-AL" w:eastAsia="fr-FR"/>
        </w:rPr>
        <w:t xml:space="preserve">). </w:t>
      </w:r>
    </w:p>
    <w:p w:rsidR="003B5AFE" w:rsidRPr="00FC5595" w:rsidRDefault="003B5AFE" w:rsidP="003B5AFE">
      <w:pPr>
        <w:pStyle w:val="Paragrafi"/>
        <w:rPr>
          <w:lang w:val="sq-AL"/>
        </w:rPr>
      </w:pPr>
      <w:r w:rsidRPr="00FC5595">
        <w:rPr>
          <w:lang w:val="sq-AL"/>
        </w:rPr>
        <w:t>13. Nga sa më sipër, në rastin objekt shqyrtimi, duke qenë se vendimi i gjykatës së apelit, lidhur me themelin e çështjes, ka qenë diametralisht i kundërt me atë të gjykatës së shkallës së parë, me qëllim që kërkuesit t’i garantohej e drejta për t’u ankuar të paktën një herë kundër çdo vendimi gjyqësor të dhënë kundër tij (në rastin konkret ndaj vendimit të gjykatës së apelit që e ka ngarkuar me detyrimin të paguajë shumën e kërkuar) dhe duke konsideruar edhe shkeljet procedurale të konstatuara dhe ngritura në rekurs, në mënyrë që ankimi i kërkuesit të ishte një mjet efektiv, vlerësojmë se gjykimi në Gjykatën e Lartë do të shërbente realisht si një “gjykim apeli” (në shkallë të dytë) dhe se, në këto kushte, duhej vendosur kalimi i çështjes në seancë gjyqësore. Në këtë drejtim, mendojmë se pretendimi i kërkuesit për mohim të së drejtës së ankimit efektiv për shkak të mospranimit të rekursit, është i bazuar.</w:t>
      </w:r>
    </w:p>
    <w:p w:rsidR="003B5AFE" w:rsidRPr="00FC5595" w:rsidRDefault="003B5AFE" w:rsidP="003B5AFE">
      <w:pPr>
        <w:pStyle w:val="Paragrafi"/>
        <w:rPr>
          <w:iCs/>
          <w:lang w:val="sq-AL"/>
        </w:rPr>
      </w:pPr>
      <w:r w:rsidRPr="00FC5595">
        <w:rPr>
          <w:lang w:val="sq-AL"/>
        </w:rPr>
        <w:t>14. Lidhur me pretendimin e kërkuesit për (mos)arsyetimin e vendimit të mospranimit të Kolegjit Civil të Gjykatës së Lartë, Gjykata në jurisprudencën e saj,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FC5595">
        <w:rPr>
          <w:i/>
          <w:lang w:val="sq-AL"/>
        </w:rPr>
        <w:t>shih vendimet n. 19, datë 19.7.2005;</w:t>
      </w:r>
      <w:r w:rsidRPr="00FC5595">
        <w:rPr>
          <w:lang w:val="sq-AL"/>
        </w:rPr>
        <w:t xml:space="preserve"> </w:t>
      </w:r>
      <w:r w:rsidRPr="00FC5595">
        <w:rPr>
          <w:i/>
          <w:lang w:val="sq-AL"/>
        </w:rPr>
        <w:t>nr. 22, datë 6.6.2011 të Gjykatës Kushtetuese</w:t>
      </w:r>
      <w:r w:rsidRPr="00FC5595">
        <w:rPr>
          <w:lang w:val="sq-AL"/>
        </w:rPr>
        <w:t>). Nisur nga sa analizuam më lart, në lidhje me vlerësimin tonë për pretendimet e tjera të ngritura nga kërkuesi, çmojmë se ky pretendim i tij është i bazuar.</w:t>
      </w:r>
    </w:p>
    <w:p w:rsidR="003B5AFE" w:rsidRPr="00FC5595" w:rsidRDefault="003B5AFE" w:rsidP="003B5AFE">
      <w:pPr>
        <w:pStyle w:val="Paragrafi"/>
        <w:rPr>
          <w:iCs/>
          <w:lang w:val="sq-AL"/>
        </w:rPr>
      </w:pPr>
      <w:r w:rsidRPr="00FC5595">
        <w:rPr>
          <w:lang w:val="sq-AL"/>
        </w:rPr>
        <w:t xml:space="preserve">15. Si përfundim, në kushtet kur janë të pranishme pretendime që kanë të bëjnë me shkeljen e dispozitave procedurale që kanë ndikuar në dhënien e vendimit, si dhe të parimeve themelore të procesit të rregullt ligjor, </w:t>
      </w:r>
      <w:r w:rsidRPr="00FC5595">
        <w:rPr>
          <w:iCs/>
          <w:lang w:val="sq-AL"/>
        </w:rPr>
        <w:t xml:space="preserve">Gjykata e Lartë duhet të mbajë një qëndrim të shprehur lidhur me pretendimet e ngritura nga kërkuesi, si në funksion të rolit të saj si gjykatë e ligjit ashtu dhe në kontrollin e respektimin e standardeve kushtetuese nga gjykatat më të ulëta. Në këto raste, </w:t>
      </w:r>
      <w:r w:rsidRPr="00FC5595">
        <w:rPr>
          <w:lang w:val="sq-AL"/>
        </w:rPr>
        <w:t xml:space="preserve">Gjykatës Kushtetuese nuk i mbetet gjë tjetër veçse të vendosë për shfuqizimin e vendimit të Kolegjit përkatës të Gjykatës së Lartë, i cili nuk i ka dhënë përgjigje pretendimeve të kërkuesit, </w:t>
      </w:r>
      <w:r w:rsidRPr="00FC5595">
        <w:rPr>
          <w:iCs/>
          <w:lang w:val="sq-AL"/>
        </w:rPr>
        <w:t>duke e “detyruar” atë në këtë mënyrë, të</w:t>
      </w:r>
      <w:r w:rsidRPr="00FC5595">
        <w:rPr>
          <w:lang w:val="sq-AL"/>
        </w:rPr>
        <w:t xml:space="preserve"> shprehet për arsyet e mospranimit të shkaqeve të ngritura në rekurs. </w:t>
      </w:r>
    </w:p>
    <w:p w:rsidR="003B5AFE" w:rsidRPr="00FC5595" w:rsidRDefault="003B5AFE" w:rsidP="003B5AFE">
      <w:pPr>
        <w:pStyle w:val="Paragrafi"/>
        <w:rPr>
          <w:lang w:val="sq-AL"/>
        </w:rPr>
      </w:pPr>
      <w:r w:rsidRPr="00FC5595">
        <w:rPr>
          <w:lang w:val="sq-AL"/>
        </w:rPr>
        <w:t xml:space="preserve"> 16. Në këtë këndvështrim, jemi të mendimit se vendimi i Gjykatës së Lartë i ka cenuar kërkuesit të drejtën për një proces të rregullt ligjor.</w:t>
      </w:r>
    </w:p>
    <w:p w:rsidR="003B5AFE" w:rsidRPr="00FC5595" w:rsidRDefault="003B5AFE" w:rsidP="003B5AFE">
      <w:pPr>
        <w:pStyle w:val="Paragrafi"/>
        <w:rPr>
          <w:lang w:val="sq-AL"/>
        </w:rPr>
      </w:pPr>
      <w:r w:rsidRPr="00FC5595">
        <w:rPr>
          <w:lang w:val="sq-AL"/>
        </w:rPr>
        <w:tab/>
      </w:r>
    </w:p>
    <w:p w:rsidR="003B5AFE" w:rsidRPr="00FC5595" w:rsidRDefault="003B5AFE" w:rsidP="003B5AFE">
      <w:pPr>
        <w:pStyle w:val="Paragrafi"/>
        <w:rPr>
          <w:lang w:val="sq-AL"/>
        </w:rPr>
      </w:pPr>
      <w:r w:rsidRPr="00FC5595">
        <w:rPr>
          <w:lang w:val="sq-AL"/>
        </w:rPr>
        <w:t>Anëtarë: Altina Xhoxhaj, Vladimir Kristo</w:t>
      </w:r>
    </w:p>
    <w:sectPr w:rsidR="003B5AFE" w:rsidRPr="00FC5595" w:rsidSect="008516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0A9" w:rsidRDefault="000C40A9" w:rsidP="003B5AFE">
      <w:r>
        <w:separator/>
      </w:r>
    </w:p>
  </w:endnote>
  <w:endnote w:type="continuationSeparator" w:id="0">
    <w:p w:rsidR="000C40A9" w:rsidRDefault="000C40A9" w:rsidP="003B5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0A9" w:rsidRDefault="000C40A9" w:rsidP="003B5AFE">
      <w:r>
        <w:separator/>
      </w:r>
    </w:p>
  </w:footnote>
  <w:footnote w:type="continuationSeparator" w:id="0">
    <w:p w:rsidR="000C40A9" w:rsidRDefault="000C40A9" w:rsidP="003B5AFE">
      <w:r>
        <w:continuationSeparator/>
      </w:r>
    </w:p>
  </w:footnote>
  <w:footnote w:id="1">
    <w:p w:rsidR="003B5AFE" w:rsidRPr="000E6C3D" w:rsidRDefault="003B5AFE" w:rsidP="003B5AFE">
      <w:pPr>
        <w:pStyle w:val="FootnoteText"/>
        <w:spacing w:after="200" w:line="240" w:lineRule="atLeast"/>
        <w:rPr>
          <w:rFonts w:ascii="CG Times" w:hAnsi="CG Times"/>
          <w:color w:val="000000"/>
        </w:rPr>
      </w:pPr>
      <w:r w:rsidRPr="000E6C3D">
        <w:rPr>
          <w:rStyle w:val="FootnoteReference"/>
          <w:rFonts w:ascii="CG Times" w:hAnsi="CG Times"/>
        </w:rPr>
        <w:footnoteRef/>
      </w:r>
      <w:r w:rsidRPr="000E6C3D">
        <w:rPr>
          <w:rFonts w:ascii="CG Times" w:hAnsi="CG Times"/>
        </w:rPr>
        <w:t xml:space="preserve"> </w:t>
      </w:r>
      <w:r w:rsidRPr="000E6C3D">
        <w:rPr>
          <w:rFonts w:ascii="CG Times" w:hAnsi="CG Times"/>
          <w:color w:val="000000"/>
        </w:rPr>
        <w:t>Gjyqtarët V. Kristo dhe A. Xhoxhaj janë</w:t>
      </w:r>
      <w:r w:rsidRPr="000E6C3D">
        <w:rPr>
          <w:rFonts w:ascii="CG Times" w:hAnsi="CG Times"/>
        </w:rPr>
        <w:t xml:space="preserve"> shprehur me mendim paralel</w:t>
      </w:r>
      <w:r w:rsidRPr="000E6C3D">
        <w:rPr>
          <w:rFonts w:ascii="CG Times" w:hAnsi="CG Times"/>
          <w:color w:val="00000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5AFE"/>
    <w:rsid w:val="000C40A9"/>
    <w:rsid w:val="001004BF"/>
    <w:rsid w:val="003B5AFE"/>
    <w:rsid w:val="008516A7"/>
    <w:rsid w:val="009A326D"/>
    <w:rsid w:val="00D83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57C2B7A-4934-4E76-BBC6-6780A4F5E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AF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B5AF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3B5A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B5AFE"/>
    <w:rPr>
      <w:rFonts w:ascii="CG Times" w:eastAsia="MS Mincho" w:hAnsi="CG Times" w:cs="CG Times"/>
      <w:b/>
      <w:bCs/>
      <w:sz w:val="22"/>
      <w:szCs w:val="22"/>
      <w:lang w:val="en-GB" w:eastAsia="en-US" w:bidi="ar-SA"/>
    </w:rPr>
  </w:style>
  <w:style w:type="paragraph" w:customStyle="1" w:styleId="Paragrafi">
    <w:name w:val="Paragrafi"/>
    <w:link w:val="ParagrafiChar"/>
    <w:rsid w:val="003B5A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B5AFE"/>
    <w:rPr>
      <w:rFonts w:ascii="CG Times" w:eastAsia="MS Mincho" w:hAnsi="CG Times" w:cs="CG Times"/>
      <w:sz w:val="22"/>
      <w:szCs w:val="22"/>
      <w:lang w:val="en-US" w:eastAsia="en-US" w:bidi="ar-SA"/>
    </w:rPr>
  </w:style>
  <w:style w:type="paragraph" w:styleId="BodyText">
    <w:name w:val="Body Text"/>
    <w:basedOn w:val="Normal"/>
    <w:link w:val="BodyTextChar"/>
    <w:rsid w:val="003B5AFE"/>
    <w:pPr>
      <w:spacing w:after="120"/>
    </w:pPr>
  </w:style>
  <w:style w:type="character" w:customStyle="1" w:styleId="BodyTextChar">
    <w:name w:val="Body Text Char"/>
    <w:basedOn w:val="DefaultParagraphFont"/>
    <w:link w:val="BodyText"/>
    <w:rsid w:val="003B5AFE"/>
    <w:rPr>
      <w:rFonts w:ascii="Times New Roman" w:eastAsia="MS Mincho" w:hAnsi="Times New Roman" w:cs="Times New Roman"/>
      <w:sz w:val="24"/>
      <w:szCs w:val="24"/>
    </w:rPr>
  </w:style>
  <w:style w:type="paragraph" w:customStyle="1" w:styleId="Titulli">
    <w:name w:val="Titulli"/>
    <w:next w:val="Normal"/>
    <w:link w:val="TitulliChar"/>
    <w:rsid w:val="003B5AF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3B5AF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B5AF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B5AFE"/>
    <w:rPr>
      <w:rFonts w:ascii="CG Times" w:eastAsia="MS Mincho" w:hAnsi="CG Times" w:cs="CG Times"/>
      <w:caps/>
      <w:sz w:val="22"/>
      <w:szCs w:val="22"/>
      <w:lang w:val="en-GB" w:eastAsia="en-US" w:bidi="ar-SA"/>
    </w:rPr>
  </w:style>
  <w:style w:type="character" w:customStyle="1" w:styleId="hps">
    <w:name w:val="hps"/>
    <w:basedOn w:val="DefaultParagraphFont"/>
    <w:rsid w:val="003B5AFE"/>
  </w:style>
  <w:style w:type="paragraph" w:styleId="FootnoteText">
    <w:name w:val="footnote text"/>
    <w:basedOn w:val="Normal"/>
    <w:link w:val="FootnoteTextChar"/>
    <w:uiPriority w:val="99"/>
    <w:rsid w:val="003B5AFE"/>
    <w:rPr>
      <w:sz w:val="20"/>
      <w:szCs w:val="20"/>
      <w:lang w:val="sq-AL"/>
    </w:rPr>
  </w:style>
  <w:style w:type="character" w:customStyle="1" w:styleId="FootnoteTextChar">
    <w:name w:val="Footnote Text Char"/>
    <w:basedOn w:val="DefaultParagraphFont"/>
    <w:link w:val="FootnoteText"/>
    <w:uiPriority w:val="99"/>
    <w:rsid w:val="003B5AF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3B5AFE"/>
    <w:rPr>
      <w:vertAlign w:val="superscript"/>
    </w:rPr>
  </w:style>
  <w:style w:type="character" w:customStyle="1" w:styleId="TitulliChar">
    <w:name w:val="Titulli Char"/>
    <w:basedOn w:val="DefaultParagraphFont"/>
    <w:link w:val="Titulli"/>
    <w:rsid w:val="003B5AF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3B5AF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B5AF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5007</Words>
  <Characters>28544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2019-03-18T13:13:00Z</dcterms:created>
  <dcterms:modified xsi:type="dcterms:W3CDTF">2019-03-18T13:13:00Z</dcterms:modified>
</cp:coreProperties>
</file>