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E2A" w:rsidRPr="00896428" w:rsidRDefault="005B5E2A" w:rsidP="005B5E2A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VENDIM</w:t>
      </w:r>
    </w:p>
    <w:p w:rsidR="005B5E2A" w:rsidRPr="00896428" w:rsidRDefault="005B5E2A" w:rsidP="005B5E2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24, datë 29.5.2013</w:t>
      </w:r>
    </w:p>
    <w:p w:rsidR="005B5E2A" w:rsidRPr="00896428" w:rsidRDefault="005B5E2A" w:rsidP="005B5E2A">
      <w:pPr>
        <w:pStyle w:val="Paragrafi"/>
        <w:rPr>
          <w:lang w:val="sq-AL"/>
        </w:rPr>
      </w:pPr>
    </w:p>
    <w:p w:rsidR="005B5E2A" w:rsidRPr="00896428" w:rsidRDefault="005B5E2A" w:rsidP="005B5E2A">
      <w:pPr>
        <w:pStyle w:val="Titulli"/>
        <w:rPr>
          <w:lang w:val="sq-AL"/>
        </w:rPr>
      </w:pPr>
      <w:r w:rsidRPr="00896428">
        <w:rPr>
          <w:lang w:val="sq-AL"/>
        </w:rPr>
        <w:t>NË EMËR TË REPUBLIKËS SË SHQIPËRISË</w:t>
      </w:r>
    </w:p>
    <w:p w:rsidR="005B5E2A" w:rsidRPr="00896428" w:rsidRDefault="005B5E2A" w:rsidP="005B5E2A">
      <w:pPr>
        <w:pStyle w:val="Paragrafi"/>
        <w:rPr>
          <w:lang w:val="sq-AL"/>
        </w:rPr>
      </w:pP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Gjykata Kushtetuese e Republikës së Shqipërisë, e përbërë nga: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Bashkim Dedja</w:t>
      </w:r>
      <w:r w:rsidRPr="00896428">
        <w:rPr>
          <w:lang w:val="sq-AL"/>
        </w:rPr>
        <w:tab/>
      </w:r>
      <w:r w:rsidRPr="00896428">
        <w:rPr>
          <w:lang w:val="sq-AL"/>
        </w:rPr>
        <w:tab/>
      </w:r>
      <w:r>
        <w:rPr>
          <w:lang w:val="sq-AL"/>
        </w:rPr>
        <w:t>k</w:t>
      </w:r>
      <w:r w:rsidRPr="00896428">
        <w:rPr>
          <w:lang w:val="sq-AL"/>
        </w:rPr>
        <w:t>ryetar</w:t>
      </w:r>
      <w:r>
        <w:rPr>
          <w:lang w:val="sq-AL"/>
        </w:rPr>
        <w:t xml:space="preserve"> </w:t>
      </w:r>
      <w:r w:rsidRPr="00896428">
        <w:rPr>
          <w:lang w:val="sq-AL"/>
        </w:rPr>
        <w:t>i Gjykatës Kushtetuese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Sokol Berberi</w:t>
      </w:r>
      <w:r w:rsidRPr="00896428">
        <w:rPr>
          <w:lang w:val="sq-AL"/>
        </w:rPr>
        <w:tab/>
      </w:r>
      <w:r w:rsidRPr="00896428">
        <w:rPr>
          <w:lang w:val="sq-AL"/>
        </w:rPr>
        <w:tab/>
      </w:r>
      <w:r>
        <w:rPr>
          <w:lang w:val="sq-AL"/>
        </w:rPr>
        <w:t>a</w:t>
      </w:r>
      <w:r w:rsidRPr="00896428">
        <w:rPr>
          <w:lang w:val="sq-AL"/>
        </w:rPr>
        <w:t>nëtar</w:t>
      </w:r>
      <w:r>
        <w:rPr>
          <w:lang w:val="sq-AL"/>
        </w:rPr>
        <w:t xml:space="preserve"> </w:t>
      </w:r>
      <w:r w:rsidRPr="00896428">
        <w:rPr>
          <w:lang w:val="sq-AL"/>
        </w:rPr>
        <w:t>i</w:t>
      </w:r>
      <w:r w:rsidRPr="00896428">
        <w:rPr>
          <w:lang w:val="sq-AL"/>
        </w:rPr>
        <w:tab/>
      </w:r>
      <w:r>
        <w:rPr>
          <w:lang w:val="sq-AL"/>
        </w:rPr>
        <w:tab/>
      </w:r>
      <w:r w:rsidRPr="00896428">
        <w:rPr>
          <w:lang w:val="sq-AL"/>
        </w:rPr>
        <w:t>“</w:t>
      </w:r>
      <w:r w:rsidRPr="00896428">
        <w:rPr>
          <w:lang w:val="sq-AL"/>
        </w:rPr>
        <w:tab/>
        <w:t>“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Vitore Tusha</w:t>
      </w:r>
      <w:r w:rsidRPr="00896428">
        <w:rPr>
          <w:lang w:val="sq-AL"/>
        </w:rPr>
        <w:tab/>
      </w:r>
      <w:r w:rsidRPr="00896428">
        <w:rPr>
          <w:lang w:val="sq-AL"/>
        </w:rPr>
        <w:tab/>
      </w:r>
      <w:r>
        <w:rPr>
          <w:lang w:val="sq-AL"/>
        </w:rPr>
        <w:t>a</w:t>
      </w:r>
      <w:r w:rsidRPr="00896428">
        <w:rPr>
          <w:lang w:val="sq-AL"/>
        </w:rPr>
        <w:t xml:space="preserve">nëtare e </w:t>
      </w:r>
      <w:r w:rsidRPr="00896428">
        <w:rPr>
          <w:lang w:val="sq-AL"/>
        </w:rPr>
        <w:tab/>
        <w:t>“</w:t>
      </w:r>
      <w:r w:rsidRPr="00896428">
        <w:rPr>
          <w:lang w:val="sq-AL"/>
        </w:rPr>
        <w:tab/>
        <w:t>“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Altina Xhoxhaj</w:t>
      </w:r>
      <w:r w:rsidRPr="00896428">
        <w:rPr>
          <w:lang w:val="sq-AL"/>
        </w:rPr>
        <w:tab/>
        <w:t xml:space="preserve"> </w:t>
      </w:r>
      <w:r w:rsidRPr="00896428">
        <w:rPr>
          <w:lang w:val="sq-AL"/>
        </w:rPr>
        <w:tab/>
      </w:r>
      <w:r>
        <w:rPr>
          <w:lang w:val="sq-AL"/>
        </w:rPr>
        <w:t>a</w:t>
      </w:r>
      <w:r w:rsidRPr="00896428">
        <w:rPr>
          <w:lang w:val="sq-AL"/>
        </w:rPr>
        <w:t xml:space="preserve">nëtare e </w:t>
      </w:r>
      <w:r w:rsidRPr="00896428">
        <w:rPr>
          <w:lang w:val="sq-AL"/>
        </w:rPr>
        <w:tab/>
        <w:t>“</w:t>
      </w:r>
      <w:r w:rsidRPr="00896428">
        <w:rPr>
          <w:lang w:val="sq-AL"/>
        </w:rPr>
        <w:tab/>
        <w:t>“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Fatmir Hoxha</w:t>
      </w:r>
      <w:r w:rsidRPr="00896428">
        <w:rPr>
          <w:lang w:val="sq-AL"/>
        </w:rPr>
        <w:tab/>
      </w:r>
      <w:r w:rsidRPr="00896428">
        <w:rPr>
          <w:lang w:val="sq-AL"/>
        </w:rPr>
        <w:tab/>
      </w:r>
      <w:r>
        <w:rPr>
          <w:lang w:val="sq-AL"/>
        </w:rPr>
        <w:t>a</w:t>
      </w:r>
      <w:r w:rsidRPr="00896428">
        <w:rPr>
          <w:lang w:val="sq-AL"/>
        </w:rPr>
        <w:t>nëtar</w:t>
      </w:r>
      <w:r>
        <w:rPr>
          <w:lang w:val="sq-AL"/>
        </w:rPr>
        <w:t xml:space="preserve"> </w:t>
      </w:r>
      <w:r w:rsidRPr="00896428">
        <w:rPr>
          <w:lang w:val="sq-AL"/>
        </w:rPr>
        <w:t>i</w:t>
      </w:r>
      <w:r w:rsidRPr="00896428">
        <w:rPr>
          <w:lang w:val="sq-AL"/>
        </w:rPr>
        <w:tab/>
      </w:r>
      <w:r>
        <w:rPr>
          <w:lang w:val="sq-AL"/>
        </w:rPr>
        <w:tab/>
      </w:r>
      <w:r w:rsidRPr="00896428">
        <w:rPr>
          <w:lang w:val="sq-AL"/>
        </w:rPr>
        <w:t>“</w:t>
      </w:r>
      <w:r w:rsidRPr="00896428">
        <w:rPr>
          <w:lang w:val="sq-AL"/>
        </w:rPr>
        <w:tab/>
        <w:t>“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Gani Dizdari</w:t>
      </w:r>
      <w:r w:rsidRPr="00896428">
        <w:rPr>
          <w:lang w:val="sq-AL"/>
        </w:rPr>
        <w:tab/>
      </w:r>
      <w:r w:rsidRPr="00896428">
        <w:rPr>
          <w:lang w:val="sq-AL"/>
        </w:rPr>
        <w:tab/>
      </w:r>
      <w:r>
        <w:rPr>
          <w:lang w:val="sq-AL"/>
        </w:rPr>
        <w:t>a</w:t>
      </w:r>
      <w:r w:rsidRPr="00896428">
        <w:rPr>
          <w:lang w:val="sq-AL"/>
        </w:rPr>
        <w:t>nëtar</w:t>
      </w:r>
      <w:r>
        <w:rPr>
          <w:lang w:val="sq-AL"/>
        </w:rPr>
        <w:t xml:space="preserve"> </w:t>
      </w:r>
      <w:r w:rsidRPr="00896428">
        <w:rPr>
          <w:lang w:val="sq-AL"/>
        </w:rPr>
        <w:t>i</w:t>
      </w:r>
      <w:r w:rsidRPr="00896428">
        <w:rPr>
          <w:lang w:val="sq-AL"/>
        </w:rPr>
        <w:tab/>
      </w:r>
      <w:r>
        <w:rPr>
          <w:lang w:val="sq-AL"/>
        </w:rPr>
        <w:tab/>
      </w:r>
      <w:r w:rsidRPr="00896428">
        <w:rPr>
          <w:lang w:val="sq-AL"/>
        </w:rPr>
        <w:t>“</w:t>
      </w:r>
      <w:r w:rsidRPr="00896428">
        <w:rPr>
          <w:lang w:val="sq-AL"/>
        </w:rPr>
        <w:tab/>
        <w:t>“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Besnik Imeraj</w:t>
      </w:r>
      <w:r w:rsidRPr="00896428">
        <w:rPr>
          <w:lang w:val="sq-AL"/>
        </w:rPr>
        <w:tab/>
      </w:r>
      <w:r w:rsidRPr="00896428">
        <w:rPr>
          <w:lang w:val="sq-AL"/>
        </w:rPr>
        <w:tab/>
      </w:r>
      <w:r>
        <w:rPr>
          <w:lang w:val="sq-AL"/>
        </w:rPr>
        <w:t>a</w:t>
      </w:r>
      <w:r w:rsidRPr="00896428">
        <w:rPr>
          <w:lang w:val="sq-AL"/>
        </w:rPr>
        <w:t>nëtar</w:t>
      </w:r>
      <w:r>
        <w:rPr>
          <w:lang w:val="sq-AL"/>
        </w:rPr>
        <w:t xml:space="preserve"> </w:t>
      </w:r>
      <w:r w:rsidRPr="00896428">
        <w:rPr>
          <w:lang w:val="sq-AL"/>
        </w:rPr>
        <w:t>i</w:t>
      </w:r>
      <w:r w:rsidRPr="00896428">
        <w:rPr>
          <w:lang w:val="sq-AL"/>
        </w:rPr>
        <w:tab/>
      </w:r>
      <w:r>
        <w:rPr>
          <w:lang w:val="sq-AL"/>
        </w:rPr>
        <w:tab/>
      </w:r>
      <w:r w:rsidRPr="00896428">
        <w:rPr>
          <w:lang w:val="sq-AL"/>
        </w:rPr>
        <w:t>“</w:t>
      </w:r>
      <w:r w:rsidRPr="00896428">
        <w:rPr>
          <w:lang w:val="sq-AL"/>
        </w:rPr>
        <w:tab/>
        <w:t>“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Fatos Lulo</w:t>
      </w:r>
      <w:r w:rsidRPr="00896428">
        <w:rPr>
          <w:lang w:val="sq-AL"/>
        </w:rPr>
        <w:tab/>
      </w:r>
      <w:r w:rsidRPr="00896428">
        <w:rPr>
          <w:lang w:val="sq-AL"/>
        </w:rPr>
        <w:tab/>
      </w:r>
      <w:r>
        <w:rPr>
          <w:lang w:val="sq-AL"/>
        </w:rPr>
        <w:t>a</w:t>
      </w:r>
      <w:r w:rsidRPr="00896428">
        <w:rPr>
          <w:lang w:val="sq-AL"/>
        </w:rPr>
        <w:t>nëtar</w:t>
      </w:r>
      <w:r>
        <w:rPr>
          <w:lang w:val="sq-AL"/>
        </w:rPr>
        <w:t xml:space="preserve"> </w:t>
      </w:r>
      <w:r w:rsidRPr="00896428">
        <w:rPr>
          <w:lang w:val="sq-AL"/>
        </w:rPr>
        <w:t>i</w:t>
      </w:r>
      <w:r w:rsidRPr="00896428">
        <w:rPr>
          <w:lang w:val="sq-AL"/>
        </w:rPr>
        <w:tab/>
      </w:r>
      <w:r>
        <w:rPr>
          <w:lang w:val="sq-AL"/>
        </w:rPr>
        <w:tab/>
      </w:r>
      <w:r w:rsidRPr="00896428">
        <w:rPr>
          <w:lang w:val="sq-AL"/>
        </w:rPr>
        <w:t>“</w:t>
      </w:r>
      <w:r w:rsidRPr="00896428">
        <w:rPr>
          <w:lang w:val="sq-AL"/>
        </w:rPr>
        <w:tab/>
        <w:t>“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Vladimir Kristo</w:t>
      </w:r>
      <w:r w:rsidRPr="00896428">
        <w:rPr>
          <w:lang w:val="sq-AL"/>
        </w:rPr>
        <w:tab/>
      </w:r>
      <w:r w:rsidRPr="00896428">
        <w:rPr>
          <w:lang w:val="sq-AL"/>
        </w:rPr>
        <w:tab/>
      </w:r>
      <w:r>
        <w:rPr>
          <w:lang w:val="sq-AL"/>
        </w:rPr>
        <w:t>a</w:t>
      </w:r>
      <w:r w:rsidRPr="00896428">
        <w:rPr>
          <w:lang w:val="sq-AL"/>
        </w:rPr>
        <w:t>nëtar</w:t>
      </w:r>
      <w:r>
        <w:rPr>
          <w:lang w:val="sq-AL"/>
        </w:rPr>
        <w:t xml:space="preserve"> </w:t>
      </w:r>
      <w:r w:rsidRPr="00896428">
        <w:rPr>
          <w:lang w:val="sq-AL"/>
        </w:rPr>
        <w:t>i</w:t>
      </w:r>
      <w:r w:rsidRPr="00896428">
        <w:rPr>
          <w:lang w:val="sq-AL"/>
        </w:rPr>
        <w:tab/>
      </w:r>
      <w:r>
        <w:rPr>
          <w:lang w:val="sq-AL"/>
        </w:rPr>
        <w:tab/>
      </w:r>
      <w:r w:rsidRPr="00896428">
        <w:rPr>
          <w:lang w:val="sq-AL"/>
        </w:rPr>
        <w:t>“</w:t>
      </w:r>
      <w:r w:rsidRPr="00896428">
        <w:rPr>
          <w:lang w:val="sq-AL"/>
        </w:rPr>
        <w:tab/>
        <w:t>“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me sekret</w:t>
      </w:r>
      <w:r>
        <w:rPr>
          <w:lang w:val="sq-AL"/>
        </w:rPr>
        <w:t>are Blerina Basha, në datën 28.</w:t>
      </w:r>
      <w:r w:rsidRPr="00896428">
        <w:rPr>
          <w:lang w:val="sq-AL"/>
        </w:rPr>
        <w:t xml:space="preserve">5.2013, mori në shqyrtim në seancë gjyqësore, mbi bazë dokumentesh, çështjen </w:t>
      </w:r>
      <w:r>
        <w:rPr>
          <w:lang w:val="sq-AL"/>
        </w:rPr>
        <w:t xml:space="preserve">nr. </w:t>
      </w:r>
      <w:r w:rsidRPr="00896428">
        <w:rPr>
          <w:lang w:val="sq-AL"/>
        </w:rPr>
        <w:t>17 Akti, që i përket: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KËRKUES: Feta Bundo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SUBJEKTE TË INTERESUARA: Drejtoria e Përgjithshme e Doganave</w:t>
      </w:r>
      <w:r>
        <w:rPr>
          <w:lang w:val="sq-AL"/>
        </w:rPr>
        <w:t>,</w:t>
      </w:r>
      <w:r w:rsidRPr="00896428">
        <w:rPr>
          <w:lang w:val="sq-AL"/>
        </w:rPr>
        <w:t xml:space="preserve"> Zyra Përmbarimore Tiranë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OBJEKTI: Ndreqje gabimi në shkrim, në vendimin </w:t>
      </w:r>
      <w:r>
        <w:rPr>
          <w:lang w:val="sq-AL"/>
        </w:rPr>
        <w:t>nr. 12, datë 16.</w:t>
      </w:r>
      <w:r w:rsidRPr="00896428">
        <w:rPr>
          <w:lang w:val="sq-AL"/>
        </w:rPr>
        <w:t>4.2013 të Gjykatës Kushtetuese të Republikës së Shqipërisë.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BAZA LIGJORE: Neni 80, pika 2 e ligjit </w:t>
      </w:r>
      <w:r>
        <w:rPr>
          <w:lang w:val="sq-AL"/>
        </w:rPr>
        <w:t>nr. 8577, datë 10.</w:t>
      </w:r>
      <w:r w:rsidRPr="00896428">
        <w:rPr>
          <w:lang w:val="sq-AL"/>
        </w:rPr>
        <w:t xml:space="preserve">2.2000 “Për organizimin dhe funksionimin e Gjykatës Kushtetuese të Republikës së Shqipërisë”. </w:t>
      </w:r>
    </w:p>
    <w:p w:rsidR="005B5E2A" w:rsidRPr="00D56D4B" w:rsidRDefault="005B5E2A" w:rsidP="005B5E2A">
      <w:pPr>
        <w:pStyle w:val="Paragrafi"/>
        <w:rPr>
          <w:sz w:val="16"/>
          <w:lang w:val="sq-AL"/>
        </w:rPr>
      </w:pPr>
      <w:r w:rsidRPr="00896428">
        <w:rPr>
          <w:lang w:val="sq-AL"/>
        </w:rPr>
        <w:tab/>
      </w:r>
    </w:p>
    <w:p w:rsidR="005B5E2A" w:rsidRPr="00896428" w:rsidRDefault="005B5E2A" w:rsidP="005B5E2A">
      <w:pPr>
        <w:pStyle w:val="VENDOSI"/>
        <w:rPr>
          <w:lang w:val="sq-AL"/>
        </w:rPr>
      </w:pPr>
      <w:r w:rsidRPr="00896428">
        <w:rPr>
          <w:lang w:val="sq-AL"/>
        </w:rPr>
        <w:t>GJYKATA KUSHTETUESE,</w:t>
      </w:r>
    </w:p>
    <w:p w:rsidR="005B5E2A" w:rsidRPr="00D56D4B" w:rsidRDefault="005B5E2A" w:rsidP="005B5E2A">
      <w:pPr>
        <w:pStyle w:val="Paragrafi"/>
        <w:rPr>
          <w:sz w:val="18"/>
          <w:lang w:val="sq-AL"/>
        </w:rPr>
      </w:pP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Pasi dëgjoi relatorin e çështjes, Vladimir Kristo, shqyrtoi kërkesën e paraqitur dhe diskutoi çështjen në tërësi:</w:t>
      </w:r>
    </w:p>
    <w:p w:rsidR="005B5E2A" w:rsidRPr="00D56D4B" w:rsidRDefault="005B5E2A" w:rsidP="005B5E2A">
      <w:pPr>
        <w:pStyle w:val="Paragrafi"/>
        <w:rPr>
          <w:sz w:val="16"/>
          <w:lang w:val="sq-AL"/>
        </w:rPr>
      </w:pPr>
    </w:p>
    <w:p w:rsidR="005B5E2A" w:rsidRPr="00896428" w:rsidRDefault="005B5E2A" w:rsidP="005B5E2A">
      <w:pPr>
        <w:pStyle w:val="VENDOSI"/>
        <w:rPr>
          <w:lang w:val="sq-AL"/>
        </w:rPr>
      </w:pPr>
      <w:r w:rsidRPr="00896428">
        <w:rPr>
          <w:lang w:val="sq-AL"/>
        </w:rPr>
        <w:t>VËREN:</w:t>
      </w:r>
    </w:p>
    <w:p w:rsidR="005B5E2A" w:rsidRPr="00896428" w:rsidRDefault="005B5E2A" w:rsidP="005B5E2A">
      <w:pPr>
        <w:pStyle w:val="VENDOSI"/>
        <w:rPr>
          <w:lang w:val="sq-AL"/>
        </w:rPr>
      </w:pPr>
      <w:r w:rsidRPr="00896428">
        <w:rPr>
          <w:lang w:val="sq-AL"/>
        </w:rPr>
        <w:t>I</w:t>
      </w:r>
    </w:p>
    <w:p w:rsidR="005B5E2A" w:rsidRPr="00D56D4B" w:rsidRDefault="005B5E2A" w:rsidP="005B5E2A">
      <w:pPr>
        <w:pStyle w:val="Paragrafi"/>
        <w:rPr>
          <w:sz w:val="18"/>
          <w:lang w:val="sq-AL"/>
        </w:rPr>
      </w:pPr>
    </w:p>
    <w:p w:rsidR="005B5E2A" w:rsidRPr="00490E94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1. </w:t>
      </w:r>
      <w:r w:rsidRPr="00490E94">
        <w:rPr>
          <w:lang w:val="sq-AL"/>
        </w:rPr>
        <w:t>Kërkuesi Feta Bundo i është drejtuar me kërkesë Gjykatës Kushtetuese, me objekt: “Konstatimi i cenimit të së drejtës për një proces të rregullt ligjor, si rrjedhojë e mosekzekutimit të vendimit të formës së prerë brenda një afati të arsyeshëm”.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2. Gjykata Kushtetuese, me vendimin </w:t>
      </w:r>
      <w:r>
        <w:rPr>
          <w:lang w:val="sq-AL"/>
        </w:rPr>
        <w:t>nr. 12, datë 16.</w:t>
      </w:r>
      <w:r w:rsidRPr="00896428">
        <w:rPr>
          <w:lang w:val="sq-AL"/>
        </w:rPr>
        <w:t xml:space="preserve">4.2013, ka vendosur: </w:t>
      </w:r>
    </w:p>
    <w:p w:rsidR="005B5E2A" w:rsidRPr="00EB6DDD" w:rsidRDefault="005B5E2A" w:rsidP="005B5E2A">
      <w:pPr>
        <w:pStyle w:val="Paragrafi"/>
        <w:rPr>
          <w:i/>
          <w:lang w:val="sq-AL"/>
        </w:rPr>
      </w:pPr>
      <w:r w:rsidRPr="00EB6DDD">
        <w:rPr>
          <w:i/>
          <w:lang w:val="sq-AL"/>
        </w:rPr>
        <w:t>“Konstatimin e cenimit të së drejtës për një proces të rregullt ligjor, si rrjedhojë e mosekzekutimit të vendimit gjyqësor të formës së prerë nr. 17, datë 15.3.2006 të Gjykatës së Apelit Tiranë brenda një afati të arsyeshëm”.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3. Pas zbardhjes së vendimit, kërkuesi i është drejtuar me kërkesë Gjykatës Kushtetuese, me objekt:</w:t>
      </w:r>
      <w:r>
        <w:rPr>
          <w:lang w:val="sq-AL"/>
        </w:rPr>
        <w:t xml:space="preserve"> </w:t>
      </w:r>
      <w:r w:rsidRPr="00EB6DDD">
        <w:rPr>
          <w:i/>
          <w:lang w:val="sq-AL"/>
        </w:rPr>
        <w:t>“Ndreqje gabimi në vendimin nr. 12, datë 16.4.2013 të Gjykatës Kushtetuese”.</w:t>
      </w:r>
      <w:r w:rsidRPr="00896428">
        <w:rPr>
          <w:lang w:val="sq-AL"/>
        </w:rPr>
        <w:t xml:space="preserve"> </w:t>
      </w:r>
    </w:p>
    <w:p w:rsidR="005B5E2A" w:rsidRPr="00896428" w:rsidRDefault="005B5E2A" w:rsidP="005B5E2A">
      <w:pPr>
        <w:pStyle w:val="Paragrafi"/>
        <w:rPr>
          <w:lang w:val="sq-AL"/>
        </w:rPr>
      </w:pPr>
    </w:p>
    <w:p w:rsidR="005B5E2A" w:rsidRPr="00896428" w:rsidRDefault="005B5E2A" w:rsidP="005B5E2A">
      <w:pPr>
        <w:pStyle w:val="VENDOSI"/>
        <w:rPr>
          <w:lang w:val="sq-AL"/>
        </w:rPr>
      </w:pPr>
      <w:r w:rsidRPr="00896428">
        <w:rPr>
          <w:lang w:val="sq-AL"/>
        </w:rPr>
        <w:t>II</w:t>
      </w:r>
    </w:p>
    <w:p w:rsidR="005B5E2A" w:rsidRPr="00896428" w:rsidRDefault="005B5E2A" w:rsidP="005B5E2A">
      <w:pPr>
        <w:pStyle w:val="Paragrafi"/>
        <w:rPr>
          <w:lang w:val="sq-AL"/>
        </w:rPr>
      </w:pP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4. Gjykata Kushtetuese, </w:t>
      </w:r>
      <w:r>
        <w:rPr>
          <w:lang w:val="sq-AL"/>
        </w:rPr>
        <w:t>pasi administroi vendimin nr 12.</w:t>
      </w:r>
      <w:r w:rsidRPr="00896428">
        <w:rPr>
          <w:lang w:val="sq-AL"/>
        </w:rPr>
        <w:t xml:space="preserve"> datë 16.04.2013, konstaton se janë bërë gabime materiale dhe konkretisht: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- në faqen 3, pika 4, në vend të </w:t>
      </w:r>
      <w:r w:rsidRPr="009408D4">
        <w:rPr>
          <w:b/>
          <w:lang w:val="sq-AL"/>
        </w:rPr>
        <w:t>“vendim nr. 17, datë 15.3.2005”</w:t>
      </w:r>
      <w:r w:rsidRPr="00896428">
        <w:rPr>
          <w:lang w:val="sq-AL"/>
        </w:rPr>
        <w:t xml:space="preserve"> duhet të ishte shkruar </w:t>
      </w:r>
      <w:r w:rsidRPr="009408D4">
        <w:rPr>
          <w:b/>
          <w:lang w:val="sq-AL"/>
        </w:rPr>
        <w:t>“vendim nr. 17, datë 15.3.2006”</w:t>
      </w:r>
      <w:r w:rsidRPr="00896428">
        <w:rPr>
          <w:lang w:val="sq-AL"/>
        </w:rPr>
        <w:t xml:space="preserve">; </w:t>
      </w:r>
    </w:p>
    <w:p w:rsidR="005B5E2A" w:rsidRPr="009408D4" w:rsidRDefault="005B5E2A" w:rsidP="005B5E2A">
      <w:pPr>
        <w:pStyle w:val="Paragrafi"/>
        <w:rPr>
          <w:b/>
          <w:lang w:val="sq-AL"/>
        </w:rPr>
      </w:pPr>
      <w:r w:rsidRPr="00896428">
        <w:rPr>
          <w:lang w:val="sq-AL"/>
        </w:rPr>
        <w:t xml:space="preserve">- në faqen 11 të vendimit, në dispozitiv është shkruar </w:t>
      </w:r>
      <w:r w:rsidRPr="009408D4">
        <w:rPr>
          <w:b/>
          <w:lang w:val="sq-AL"/>
        </w:rPr>
        <w:t>“vendimit nr. 4894, datë 14.6.2010 të Gjykatës së Rrethit Gjyqësor Tiranë”</w:t>
      </w:r>
      <w:r w:rsidRPr="00896428">
        <w:rPr>
          <w:lang w:val="sq-AL"/>
        </w:rPr>
        <w:t xml:space="preserve">, duhet të ishte </w:t>
      </w:r>
      <w:r w:rsidRPr="009408D4">
        <w:rPr>
          <w:b/>
          <w:lang w:val="sq-AL"/>
        </w:rPr>
        <w:t>“vendimit nr. 17, datë 15.3.2006 të Gjykatës së Apelit Tiranë”.</w:t>
      </w:r>
    </w:p>
    <w:p w:rsidR="005B5E2A" w:rsidRPr="009408D4" w:rsidRDefault="005B5E2A" w:rsidP="005B5E2A">
      <w:pPr>
        <w:pStyle w:val="Paragrafi"/>
        <w:rPr>
          <w:b/>
          <w:lang w:val="sq-AL"/>
        </w:rPr>
      </w:pPr>
    </w:p>
    <w:p w:rsidR="005B5E2A" w:rsidRPr="00896428" w:rsidRDefault="005B5E2A" w:rsidP="005B5E2A">
      <w:pPr>
        <w:pStyle w:val="TitulliTitull"/>
        <w:rPr>
          <w:lang w:val="sq-AL"/>
        </w:rPr>
      </w:pPr>
      <w:r w:rsidRPr="00896428">
        <w:rPr>
          <w:lang w:val="sq-AL"/>
        </w:rPr>
        <w:t>PËR KËTO ARSYE,</w:t>
      </w:r>
    </w:p>
    <w:p w:rsidR="005B5E2A" w:rsidRPr="00896428" w:rsidRDefault="005B5E2A" w:rsidP="005B5E2A">
      <w:pPr>
        <w:pStyle w:val="Paragrafi"/>
        <w:rPr>
          <w:lang w:val="sq-AL"/>
        </w:rPr>
      </w:pP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Gjykata Kushtetuese e Republikës së Shqipërisë, në mbështetje të nenit 80 të ligjit </w:t>
      </w:r>
      <w:r>
        <w:rPr>
          <w:lang w:val="sq-AL"/>
        </w:rPr>
        <w:t>nr. 8577, datë 10.</w:t>
      </w:r>
      <w:r w:rsidRPr="00896428">
        <w:rPr>
          <w:lang w:val="sq-AL"/>
        </w:rPr>
        <w:t xml:space="preserve">2.2000 “Për organizimin dhe funksionimin e Gjykatës Kushtetuese të Republikës së Shqipërisë”, njëzëri, </w:t>
      </w:r>
    </w:p>
    <w:p w:rsidR="005B5E2A" w:rsidRPr="00896428" w:rsidRDefault="005B5E2A" w:rsidP="005B5E2A">
      <w:pPr>
        <w:pStyle w:val="Paragrafi"/>
        <w:rPr>
          <w:lang w:val="sq-AL"/>
        </w:rPr>
      </w:pPr>
    </w:p>
    <w:p w:rsidR="005B5E2A" w:rsidRPr="00896428" w:rsidRDefault="005B5E2A" w:rsidP="005B5E2A">
      <w:pPr>
        <w:pStyle w:val="VENDOSI"/>
        <w:rPr>
          <w:lang w:val="sq-AL"/>
        </w:rPr>
      </w:pPr>
      <w:r w:rsidRPr="00896428">
        <w:rPr>
          <w:lang w:val="sq-AL"/>
        </w:rPr>
        <w:t>VENDOSI:</w:t>
      </w:r>
    </w:p>
    <w:p w:rsidR="005B5E2A" w:rsidRPr="00896428" w:rsidRDefault="005B5E2A" w:rsidP="005B5E2A">
      <w:pPr>
        <w:pStyle w:val="Paragrafi"/>
        <w:rPr>
          <w:lang w:val="sq-AL"/>
        </w:rPr>
      </w:pP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- Pranimin e kërkesës.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- Ndreqjen e vendimit </w:t>
      </w:r>
      <w:r>
        <w:rPr>
          <w:lang w:val="sq-AL"/>
        </w:rPr>
        <w:t>nr. 12, datë 16.</w:t>
      </w:r>
      <w:r w:rsidRPr="00896428">
        <w:rPr>
          <w:lang w:val="sq-AL"/>
        </w:rPr>
        <w:t>4.2013 të Gjykatës Kushtetuese, si vijon: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- në vend të </w:t>
      </w:r>
      <w:r w:rsidRPr="009408D4">
        <w:rPr>
          <w:b/>
          <w:lang w:val="sq-AL"/>
        </w:rPr>
        <w:t>“vendim nr. 17, datë 15.3.2005”</w:t>
      </w:r>
      <w:r w:rsidRPr="00896428">
        <w:rPr>
          <w:lang w:val="sq-AL"/>
        </w:rPr>
        <w:t xml:space="preserve"> do të jetë </w:t>
      </w:r>
      <w:r w:rsidRPr="009408D4">
        <w:rPr>
          <w:b/>
          <w:lang w:val="sq-AL"/>
        </w:rPr>
        <w:t>“vendim nr. 17, datë 15.3.2006”</w:t>
      </w:r>
      <w:r w:rsidRPr="00896428">
        <w:rPr>
          <w:lang w:val="sq-AL"/>
        </w:rPr>
        <w:t xml:space="preserve">; 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- në dispozitiv, në vend të </w:t>
      </w:r>
      <w:r w:rsidRPr="009408D4">
        <w:rPr>
          <w:b/>
          <w:lang w:val="sq-AL"/>
        </w:rPr>
        <w:t>“vendimit nr. 4894, datë 14.06.2010 të Gjykatës së Rrethit Gjyqësor Tiranë”</w:t>
      </w:r>
      <w:r w:rsidRPr="00896428">
        <w:rPr>
          <w:lang w:val="sq-AL"/>
        </w:rPr>
        <w:t xml:space="preserve">, do të jetë </w:t>
      </w:r>
      <w:r w:rsidRPr="009408D4">
        <w:rPr>
          <w:b/>
          <w:lang w:val="sq-AL"/>
        </w:rPr>
        <w:t>“vendimit nr. 17, datë 15.3.2006 të Gjykatës së Apelit Tiranë”.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 xml:space="preserve">- Një kopje e këtij vendimi i bashkohet vendimit </w:t>
      </w:r>
      <w:r>
        <w:rPr>
          <w:lang w:val="sq-AL"/>
        </w:rPr>
        <w:t>nr. 12, datë 16.</w:t>
      </w:r>
      <w:r w:rsidRPr="00896428">
        <w:rPr>
          <w:lang w:val="sq-AL"/>
        </w:rPr>
        <w:t>4.2013 të Gjykatës Kushtetuese.</w:t>
      </w:r>
    </w:p>
    <w:p w:rsidR="005B5E2A" w:rsidRPr="00896428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Ky vendim është përfundimtar, i formës së prerë dhe hyn në fuqi ditën e botimit në Fletoren Zyrtare.</w:t>
      </w:r>
    </w:p>
    <w:p w:rsidR="005B5E2A" w:rsidRDefault="005B5E2A" w:rsidP="005B5E2A">
      <w:pPr>
        <w:pStyle w:val="Paragrafi"/>
        <w:rPr>
          <w:lang w:val="sq-AL"/>
        </w:rPr>
      </w:pPr>
      <w:r w:rsidRPr="00896428">
        <w:rPr>
          <w:lang w:val="sq-AL"/>
        </w:rPr>
        <w:t>Anëtarë: Bashkim Dedja (kryetar), Vitore Tusha, Sokol Berberi, Gani Dizdari, Fatmir Hoxha, Altina Xhoxhaj, Vladimir Kristo, Fatos Lulo, Besnik Imeraj.</w:t>
      </w:r>
      <w:r w:rsidRPr="00896428">
        <w:rPr>
          <w:lang w:val="sq-AL"/>
        </w:rPr>
        <w:tab/>
      </w:r>
      <w:r w:rsidRPr="00896428">
        <w:rPr>
          <w:lang w:val="sq-AL"/>
        </w:rPr>
        <w:tab/>
      </w:r>
    </w:p>
    <w:sectPr w:rsidR="005B5E2A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5E2A"/>
    <w:rsid w:val="005B5E2A"/>
    <w:rsid w:val="00614ECE"/>
    <w:rsid w:val="00F9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43B509-675D-4E67-9139-BD33444F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5E2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B5E2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5E2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B5E2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B5E2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B5E2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5B5E2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B5E2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B5E2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B5E2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5B5E2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B5E2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