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702" w:rsidRPr="00BF461B" w:rsidRDefault="00EF0702" w:rsidP="00EF0702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F461B">
        <w:rPr>
          <w:sz w:val="21"/>
          <w:szCs w:val="21"/>
        </w:rPr>
        <w:t>VENDIM</w:t>
      </w:r>
    </w:p>
    <w:p w:rsidR="00EF0702" w:rsidRPr="00BF461B" w:rsidRDefault="00EF0702" w:rsidP="00EF0702">
      <w:pPr>
        <w:pStyle w:val="NumriData"/>
        <w:keepNext w:val="0"/>
        <w:rPr>
          <w:sz w:val="21"/>
          <w:szCs w:val="21"/>
        </w:rPr>
      </w:pPr>
      <w:r w:rsidRPr="00BF461B">
        <w:rPr>
          <w:sz w:val="21"/>
          <w:szCs w:val="21"/>
        </w:rPr>
        <w:t xml:space="preserve">Nr. 28, </w:t>
      </w:r>
      <w:proofErr w:type="spellStart"/>
      <w:r w:rsidRPr="00BF461B">
        <w:rPr>
          <w:sz w:val="21"/>
          <w:szCs w:val="21"/>
        </w:rPr>
        <w:t>datë</w:t>
      </w:r>
      <w:proofErr w:type="spellEnd"/>
      <w:r w:rsidRPr="00BF461B">
        <w:rPr>
          <w:sz w:val="21"/>
          <w:szCs w:val="21"/>
        </w:rPr>
        <w:t xml:space="preserve"> 25.6.2013</w:t>
      </w:r>
    </w:p>
    <w:p w:rsidR="00EF0702" w:rsidRPr="00BF461B" w:rsidRDefault="00EF0702" w:rsidP="00EF0702">
      <w:pPr>
        <w:pStyle w:val="Paragrafi"/>
        <w:jc w:val="center"/>
        <w:rPr>
          <w:b/>
          <w:sz w:val="21"/>
          <w:szCs w:val="21"/>
          <w:lang w:val="sq-AL"/>
        </w:rPr>
      </w:pPr>
    </w:p>
    <w:p w:rsidR="00EF0702" w:rsidRPr="00BF461B" w:rsidRDefault="00EF0702" w:rsidP="00EF0702">
      <w:pPr>
        <w:pStyle w:val="TitulliTitull"/>
        <w:keepNext w:val="0"/>
        <w:rPr>
          <w:sz w:val="21"/>
          <w:szCs w:val="21"/>
        </w:rPr>
      </w:pPr>
      <w:r w:rsidRPr="00BF461B">
        <w:rPr>
          <w:sz w:val="21"/>
          <w:szCs w:val="21"/>
        </w:rPr>
        <w:t>NË EMËR TË REPUBLIKËS SË SHQIPËRISË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>Gjykata Kushtetuese e Republikës së Shqipërisë, e përbërë nga: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>Bashkim Dedja</w:t>
      </w:r>
      <w:r w:rsidRPr="00BF461B">
        <w:rPr>
          <w:sz w:val="21"/>
          <w:szCs w:val="21"/>
          <w:lang w:val="sq-AL"/>
        </w:rPr>
        <w:tab/>
      </w:r>
      <w:r w:rsidRPr="00BF461B">
        <w:rPr>
          <w:sz w:val="21"/>
          <w:szCs w:val="21"/>
          <w:lang w:val="sq-AL"/>
        </w:rPr>
        <w:tab/>
        <w:t xml:space="preserve">Kryetar i  Gjykatës Kushtetuese 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>Vladimir Kristo</w:t>
      </w:r>
      <w:r w:rsidRPr="00BF461B">
        <w:rPr>
          <w:sz w:val="21"/>
          <w:szCs w:val="21"/>
          <w:lang w:val="sq-AL"/>
        </w:rPr>
        <w:tab/>
      </w:r>
      <w:r w:rsidRPr="00BF461B">
        <w:rPr>
          <w:sz w:val="21"/>
          <w:szCs w:val="21"/>
          <w:lang w:val="sq-AL"/>
        </w:rPr>
        <w:tab/>
        <w:t>Anëtar   i           “          “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>Xhezair Zaganjori</w:t>
      </w:r>
      <w:r w:rsidRPr="00BF461B">
        <w:rPr>
          <w:sz w:val="21"/>
          <w:szCs w:val="21"/>
          <w:lang w:val="sq-AL"/>
        </w:rPr>
        <w:tab/>
        <w:t>Anëtar   i</w:t>
      </w:r>
      <w:r w:rsidRPr="00BF461B">
        <w:rPr>
          <w:sz w:val="21"/>
          <w:szCs w:val="21"/>
          <w:lang w:val="sq-AL"/>
        </w:rPr>
        <w:tab/>
        <w:t>“</w:t>
      </w:r>
      <w:r w:rsidRPr="00BF461B">
        <w:rPr>
          <w:sz w:val="21"/>
          <w:szCs w:val="21"/>
          <w:lang w:val="sq-AL"/>
        </w:rPr>
        <w:tab/>
        <w:t>“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>Vitore Tusha</w:t>
      </w:r>
      <w:r w:rsidRPr="00BF461B">
        <w:rPr>
          <w:sz w:val="21"/>
          <w:szCs w:val="21"/>
          <w:lang w:val="sq-AL"/>
        </w:rPr>
        <w:tab/>
      </w:r>
      <w:r w:rsidRPr="00BF461B">
        <w:rPr>
          <w:sz w:val="21"/>
          <w:szCs w:val="21"/>
          <w:lang w:val="sq-AL"/>
        </w:rPr>
        <w:tab/>
        <w:t>Anëtare e</w:t>
      </w:r>
      <w:r w:rsidRPr="00BF461B">
        <w:rPr>
          <w:sz w:val="21"/>
          <w:szCs w:val="21"/>
          <w:lang w:val="sq-AL"/>
        </w:rPr>
        <w:tab/>
        <w:t>“</w:t>
      </w:r>
      <w:r w:rsidRPr="00BF461B">
        <w:rPr>
          <w:sz w:val="21"/>
          <w:szCs w:val="21"/>
          <w:lang w:val="sq-AL"/>
        </w:rPr>
        <w:tab/>
        <w:t>“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>Admir Thanza</w:t>
      </w:r>
      <w:r w:rsidRPr="00BF461B">
        <w:rPr>
          <w:sz w:val="21"/>
          <w:szCs w:val="21"/>
          <w:lang w:val="sq-AL"/>
        </w:rPr>
        <w:tab/>
      </w:r>
      <w:r w:rsidRPr="00BF461B">
        <w:rPr>
          <w:sz w:val="21"/>
          <w:szCs w:val="21"/>
          <w:lang w:val="sq-AL"/>
        </w:rPr>
        <w:tab/>
        <w:t>Anëtar   i</w:t>
      </w:r>
      <w:r w:rsidRPr="00BF461B">
        <w:rPr>
          <w:sz w:val="21"/>
          <w:szCs w:val="21"/>
          <w:lang w:val="sq-AL"/>
        </w:rPr>
        <w:tab/>
        <w:t>“</w:t>
      </w:r>
      <w:r w:rsidRPr="00BF461B">
        <w:rPr>
          <w:sz w:val="21"/>
          <w:szCs w:val="21"/>
          <w:lang w:val="sq-AL"/>
        </w:rPr>
        <w:tab/>
        <w:t>“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>Altina Xhoxhaj</w:t>
      </w:r>
      <w:r w:rsidRPr="00BF461B">
        <w:rPr>
          <w:sz w:val="21"/>
          <w:szCs w:val="21"/>
          <w:lang w:val="sq-AL"/>
        </w:rPr>
        <w:tab/>
      </w:r>
      <w:r w:rsidRPr="00BF461B">
        <w:rPr>
          <w:sz w:val="21"/>
          <w:szCs w:val="21"/>
          <w:lang w:val="sq-AL"/>
        </w:rPr>
        <w:tab/>
        <w:t>Anëtare e</w:t>
      </w:r>
      <w:r w:rsidRPr="00BF461B">
        <w:rPr>
          <w:sz w:val="21"/>
          <w:szCs w:val="21"/>
          <w:lang w:val="sq-AL"/>
        </w:rPr>
        <w:tab/>
        <w:t>“</w:t>
      </w:r>
      <w:r w:rsidRPr="00BF461B">
        <w:rPr>
          <w:sz w:val="21"/>
          <w:szCs w:val="21"/>
          <w:lang w:val="sq-AL"/>
        </w:rPr>
        <w:tab/>
        <w:t xml:space="preserve">“  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 xml:space="preserve">Fatmir Hoxha </w:t>
      </w:r>
      <w:r w:rsidRPr="00BF461B">
        <w:rPr>
          <w:sz w:val="21"/>
          <w:szCs w:val="21"/>
          <w:lang w:val="sq-AL"/>
        </w:rPr>
        <w:tab/>
      </w:r>
      <w:r w:rsidRPr="00BF461B">
        <w:rPr>
          <w:sz w:val="21"/>
          <w:szCs w:val="21"/>
          <w:lang w:val="sq-AL"/>
        </w:rPr>
        <w:tab/>
        <w:t>Anëtar   i</w:t>
      </w:r>
      <w:r w:rsidRPr="00BF461B">
        <w:rPr>
          <w:sz w:val="21"/>
          <w:szCs w:val="21"/>
          <w:lang w:val="sq-AL"/>
        </w:rPr>
        <w:tab/>
        <w:t>“</w:t>
      </w:r>
      <w:r w:rsidRPr="00BF461B">
        <w:rPr>
          <w:sz w:val="21"/>
          <w:szCs w:val="21"/>
          <w:lang w:val="sq-AL"/>
        </w:rPr>
        <w:tab/>
        <w:t>“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>Sokol Berberi</w:t>
      </w:r>
      <w:r w:rsidRPr="00BF461B">
        <w:rPr>
          <w:sz w:val="21"/>
          <w:szCs w:val="21"/>
          <w:lang w:val="sq-AL"/>
        </w:rPr>
        <w:tab/>
      </w:r>
      <w:r w:rsidRPr="00BF461B">
        <w:rPr>
          <w:sz w:val="21"/>
          <w:szCs w:val="21"/>
          <w:lang w:val="sq-AL"/>
        </w:rPr>
        <w:tab/>
        <w:t>Anëtar   i</w:t>
      </w:r>
      <w:r w:rsidRPr="00BF461B">
        <w:rPr>
          <w:sz w:val="21"/>
          <w:szCs w:val="21"/>
          <w:lang w:val="sq-AL"/>
        </w:rPr>
        <w:tab/>
        <w:t>“</w:t>
      </w:r>
      <w:r w:rsidRPr="00BF461B">
        <w:rPr>
          <w:sz w:val="21"/>
          <w:szCs w:val="21"/>
          <w:lang w:val="sq-AL"/>
        </w:rPr>
        <w:tab/>
        <w:t>“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 xml:space="preserve"> me sekretare Blerina Basha, në datën </w:t>
      </w:r>
      <w:r w:rsidRPr="00BF461B">
        <w:rPr>
          <w:sz w:val="21"/>
          <w:szCs w:val="21"/>
          <w:lang w:val="sq-AL"/>
        </w:rPr>
        <w:softHyphen/>
      </w:r>
      <w:r w:rsidRPr="00BF461B">
        <w:rPr>
          <w:sz w:val="21"/>
          <w:szCs w:val="21"/>
          <w:lang w:val="sq-AL"/>
        </w:rPr>
        <w:softHyphen/>
      </w:r>
      <w:r w:rsidRPr="00BF461B">
        <w:rPr>
          <w:sz w:val="21"/>
          <w:szCs w:val="21"/>
          <w:lang w:val="sq-AL"/>
        </w:rPr>
        <w:softHyphen/>
      </w:r>
      <w:r w:rsidRPr="00BF461B">
        <w:rPr>
          <w:sz w:val="21"/>
          <w:szCs w:val="21"/>
          <w:lang w:val="sq-AL"/>
        </w:rPr>
        <w:softHyphen/>
      </w:r>
      <w:r w:rsidRPr="00BF461B">
        <w:rPr>
          <w:sz w:val="21"/>
          <w:szCs w:val="21"/>
          <w:lang w:val="sq-AL"/>
        </w:rPr>
        <w:softHyphen/>
      </w:r>
      <w:r w:rsidRPr="00BF461B">
        <w:rPr>
          <w:sz w:val="21"/>
          <w:szCs w:val="21"/>
          <w:lang w:val="sq-AL"/>
        </w:rPr>
        <w:softHyphen/>
        <w:t>7.2.2013 mori në shqyrtim në seancë gjyqësore mbi bazë dokumentesh,  çështjen me nr. 50/23 Akti, që i përket: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 xml:space="preserve">KËRKUESE: Liljana Selishta 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>SUBJEKT I INTERESUAR: Ministria e Drejtësisë, përfaqësuar nga Avokatura e Shtetit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 xml:space="preserve"> OBJEKTI: Konstatimi i cenimit të së drejtës për një proces të rregullt ligjor, si rrjedhojë e moszhvillimit të gjykimit brenda një afati të arsyeshëm. </w:t>
      </w:r>
    </w:p>
    <w:p w:rsidR="00EF0702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>BAZA LIGJORE: Nenet 42, 131/f, dhe 134/g të Kushtetutës së Republikës së Shqipërisë dhe neni 6 i Konventës Europiane për të Drejtat e Njeriut.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ab/>
      </w:r>
    </w:p>
    <w:p w:rsidR="00EF0702" w:rsidRPr="00BF461B" w:rsidRDefault="00EF0702" w:rsidP="00EF0702">
      <w:pPr>
        <w:pStyle w:val="VENDOSI"/>
        <w:keepNext w:val="0"/>
        <w:rPr>
          <w:sz w:val="21"/>
          <w:szCs w:val="21"/>
        </w:rPr>
      </w:pPr>
      <w:r w:rsidRPr="00BF461B">
        <w:rPr>
          <w:sz w:val="21"/>
          <w:szCs w:val="21"/>
        </w:rPr>
        <w:t>GJYKATA  KUSHTETUESE,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>pasi dëgjoi relatorin e çështjes, Sokol Berberi, shqyrtoi dokumentet e paraqitura dhe pasi bisedoi çështjen në tërësi,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</w:p>
    <w:p w:rsidR="00EF0702" w:rsidRPr="00BF461B" w:rsidRDefault="00EF0702" w:rsidP="00EF0702">
      <w:pPr>
        <w:pStyle w:val="VENDOSI"/>
        <w:keepNext w:val="0"/>
        <w:rPr>
          <w:sz w:val="21"/>
          <w:szCs w:val="21"/>
        </w:rPr>
      </w:pPr>
      <w:r w:rsidRPr="00BF461B">
        <w:rPr>
          <w:sz w:val="21"/>
          <w:szCs w:val="21"/>
        </w:rPr>
        <w:t>VËREN: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</w:p>
    <w:p w:rsidR="00EF0702" w:rsidRPr="00BF461B" w:rsidRDefault="00EF0702" w:rsidP="00EF0702">
      <w:pPr>
        <w:pStyle w:val="VENDOSI"/>
        <w:keepNext w:val="0"/>
        <w:rPr>
          <w:b/>
          <w:sz w:val="21"/>
          <w:szCs w:val="21"/>
        </w:rPr>
      </w:pPr>
      <w:r w:rsidRPr="00BF461B">
        <w:rPr>
          <w:b/>
          <w:sz w:val="21"/>
          <w:szCs w:val="21"/>
        </w:rPr>
        <w:t>I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 xml:space="preserve">1. Kërkuesja, në cilësinë e paditëses, i është drejtuar Gjykatës së Rrethit Gjyqësor Tiranë me kërkesëpadinë me objekt “Pjesëtimin e sendit të përbashkët”. Me vendimin nr. 3877, datë 2.12.2008, Gjykata e Rrethit Gjyqësor Tiranë ka vendosur lejimin e pjesëtimit të sendit të përbashkët, duke i takuar kërkueses 4/20 pjesë ideale në natyrë. 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 xml:space="preserve">2. Gjykata e Apelit, me vendimin nr. 259, datë 10.9.2009, ka vendosur lënien në fuqi të këtij vendimi. Kërkuesja i është drejtuar Gjykatës së Rrethit Gjyqësor Tiranë me kërkesë për vazhdimin e gjykimit të çështjes (fazës së dytë të pjesëtimit). Kancelaria e gjykatës e ka bërë me dije kërkuesen se dosja është dërguar për shqyrtim rekursi në Gjykatën e Lartë. Gjatë kohës, duke filluar nga momenti i depozitimit të kërkesës në Gjykatën Kushtetuese (25.6.2012) e deri në momentin e marrjes në shqyrtim të saj nga kjo gjykatë (20.11.2012), Gjykata e Lartë, me vendimin nr. 00-2012-2215, datë 23.10.2012, ka vendosur, në dhomë këshillimi, mospranimin e rekursit të depozituar në datën 28.10.2009. Sipas rregullores së brendshme të Gjykatës së Lartë, disa lloje çështjesh, si pasojë e afateve të shkurtra për gjykim, parashikuar nga legjislacioni në fuqi, apo nevojës për vazhdimin e gjykimit në shkallët e tjera, shqyrtohen me procedurë të përshpejtuar. Ndër rastet kur Gjykata e Lartë vepron me procedurë të përshpejtuar, përfshihen edhe çështjet e pjesëtimit të pasurisë (faza e parë).   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 xml:space="preserve">3. </w:t>
      </w:r>
      <w:r w:rsidRPr="00BF461B">
        <w:rPr>
          <w:b/>
          <w:i/>
          <w:sz w:val="21"/>
          <w:szCs w:val="21"/>
          <w:lang w:val="sq-AL"/>
        </w:rPr>
        <w:t>Kërkuesja</w:t>
      </w:r>
      <w:r w:rsidRPr="00BF461B">
        <w:rPr>
          <w:sz w:val="21"/>
          <w:szCs w:val="21"/>
          <w:lang w:val="sq-AL"/>
        </w:rPr>
        <w:t xml:space="preserve"> i është drejtuar Gjykatës Kushtetuese (Gjykata) duke pretenduar cenimin e së drejtës për një proces të rregullt ligjor, si rrjedhojë e moszhvillimit të gjykimit brenda një afati të arsyeshëm. Ajo ka argumentuar se kanë kaluar katër vjet nga momenti i depozitimit të padisë në Gjykatën e Rrethit Gjyqësor Tiranë (28.1.2008) dhe ende nuk ka përfunduar procesi gjyqësor i fazës së dytë të pjesëtimit. Sipas kërkueses, edhe pse dosja ndodhej në Gjykatën e Lartë për shqyrtim rekursi, Gjykata e Rrethit Gjyqësor Tiranë duhej të vazhdonte me fazën e dytë të pjesëtimit të pasurisë. Bazuar në nenin 451 të Kodit të Procedurës Civile (KPC), vendimi nr. 3877, datë 2.12.2008 i Gjykatës së Rrethit Tiranë konsiderohet vendim i formës së prerë dhe, sipas nenit 371 të KPC-së, kur vendimi i ndërmjetëm ka marrë formë të prerë, gjykata vazhdon me gjykimin në fazën e dytë.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 xml:space="preserve">4. </w:t>
      </w:r>
      <w:r w:rsidRPr="00BF461B">
        <w:rPr>
          <w:b/>
          <w:i/>
          <w:sz w:val="21"/>
          <w:szCs w:val="21"/>
          <w:lang w:val="sq-AL"/>
        </w:rPr>
        <w:t>Subjekti i interesuar</w:t>
      </w:r>
      <w:r w:rsidRPr="00BF461B">
        <w:rPr>
          <w:sz w:val="21"/>
          <w:szCs w:val="21"/>
          <w:lang w:val="sq-AL"/>
        </w:rPr>
        <w:t>, Ministria e Drejtësisë, nëpërmjet Avokaturës së Shtetit, në parashtrimet me shkrim ka pretenduar se: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>4.1 Sipas KPC-së, ndaj vendimit të fazës së parë të pjesëtimit të sendeve në bashkëpronësi, lejohet ankim i veçantë i cili pezullon vazhdimin e mëtejshëm të gjykimit. Ndaj, me të drejtë, Gjykata e Rrethit Gjyqësor Tiranë e ka dërguar dosjen në Gjykatën e Lartë dhe nuk ka vazhduar me fazën e dytë të pjesëtimit;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>4.2 Vendimi gjyqësor i Gjykatës së Apelit Tiranë, në rastin konkret, nuk është i formës së prerë, pasi në kuadrin e jurisprudencës së GJEDNJ-së dhe legjislacionit procedural civil, një vendim quhet i formës së prerë vetëm kur është ezauruar gjykimi në Gjykatën e Lartë, në rastet e paraqitjes së rekursit;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 xml:space="preserve">4.3 Pretendimet e kërkueses janë të paargumentuara dhe të pambështetura në fakte dhe për këto arsye duhet të deklarohen haptazi të pabazuara.  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</w:p>
    <w:p w:rsidR="00EF0702" w:rsidRPr="00BF461B" w:rsidRDefault="00EF0702" w:rsidP="00EF0702">
      <w:pPr>
        <w:pStyle w:val="VENDOSI"/>
        <w:keepNext w:val="0"/>
        <w:rPr>
          <w:b/>
          <w:sz w:val="21"/>
          <w:szCs w:val="21"/>
        </w:rPr>
      </w:pPr>
      <w:r w:rsidRPr="00BF461B">
        <w:rPr>
          <w:b/>
          <w:sz w:val="21"/>
          <w:szCs w:val="21"/>
        </w:rPr>
        <w:t>II</w:t>
      </w:r>
    </w:p>
    <w:p w:rsidR="00EF0702" w:rsidRPr="00BF461B" w:rsidRDefault="00EF0702" w:rsidP="00EF0702">
      <w:pPr>
        <w:pStyle w:val="VENDOSI"/>
        <w:keepNext w:val="0"/>
        <w:rPr>
          <w:b/>
          <w:sz w:val="21"/>
          <w:szCs w:val="21"/>
        </w:rPr>
      </w:pPr>
      <w:proofErr w:type="spellStart"/>
      <w:r w:rsidRPr="00BF461B">
        <w:rPr>
          <w:b/>
          <w:caps w:val="0"/>
          <w:sz w:val="21"/>
          <w:szCs w:val="21"/>
        </w:rPr>
        <w:t>Vlerësimi</w:t>
      </w:r>
      <w:proofErr w:type="spellEnd"/>
      <w:r w:rsidRPr="00BF461B">
        <w:rPr>
          <w:b/>
          <w:caps w:val="0"/>
          <w:sz w:val="21"/>
          <w:szCs w:val="21"/>
        </w:rPr>
        <w:t xml:space="preserve"> </w:t>
      </w:r>
      <w:proofErr w:type="spellStart"/>
      <w:r w:rsidRPr="00BF461B">
        <w:rPr>
          <w:b/>
          <w:caps w:val="0"/>
          <w:sz w:val="21"/>
          <w:szCs w:val="21"/>
        </w:rPr>
        <w:t>i</w:t>
      </w:r>
      <w:proofErr w:type="spellEnd"/>
      <w:r w:rsidRPr="00BF461B">
        <w:rPr>
          <w:b/>
          <w:caps w:val="0"/>
          <w:sz w:val="21"/>
          <w:szCs w:val="21"/>
        </w:rPr>
        <w:t xml:space="preserve"> </w:t>
      </w:r>
      <w:proofErr w:type="spellStart"/>
      <w:r w:rsidRPr="00BF461B">
        <w:rPr>
          <w:b/>
          <w:caps w:val="0"/>
          <w:sz w:val="21"/>
          <w:szCs w:val="21"/>
        </w:rPr>
        <w:t>Gjykatës</w:t>
      </w:r>
      <w:proofErr w:type="spellEnd"/>
    </w:p>
    <w:p w:rsidR="00EF0702" w:rsidRPr="003722D5" w:rsidRDefault="00EF0702" w:rsidP="00EF0702">
      <w:pPr>
        <w:pStyle w:val="Paragrafi"/>
        <w:rPr>
          <w:i/>
          <w:sz w:val="21"/>
          <w:szCs w:val="21"/>
          <w:lang w:val="sq-AL"/>
        </w:rPr>
      </w:pPr>
      <w:r w:rsidRPr="003722D5">
        <w:rPr>
          <w:i/>
          <w:sz w:val="21"/>
          <w:szCs w:val="21"/>
          <w:lang w:val="sq-AL"/>
        </w:rPr>
        <w:t>Për pretendimin e cenimit të së drejtës për një proces të rregullt gjyqësor për shkak të moszhvillimit të gjykimit brenda një afati të arsyeshëm, në kuptim të nenit 42 të Kushtetutës</w:t>
      </w:r>
    </w:p>
    <w:p w:rsidR="00EF0702" w:rsidRDefault="00EF0702" w:rsidP="00EF0702">
      <w:pPr>
        <w:pStyle w:val="Paragrafi"/>
        <w:rPr>
          <w:sz w:val="21"/>
          <w:szCs w:val="21"/>
          <w:lang w:val="sq-AL"/>
        </w:rPr>
      </w:pP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 xml:space="preserve">5. Kërkuesja ka argumentuar se mosvazhdimi i gjykimit të çështjes me fazën e dytë të pjesëtimit ka sjellë cenimin e të drejtës për një proces të rregullt ligjor. Ajo ka pretenduar se mosvazhdimi i gjykimit për një kohë të gjatë, duke filluar nga nxjerrja e vendimit nr. 259, datë 10.9.2009 të Gjykatës së Apelit Tiranë, ka penguar realizimin e të drejtave të saj pasurore. 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>6. Gjykata, gjatë votimit të çështjes mbi këtë pretendim, për arsye se votat u ndanë në mënyrë të barabartë</w:t>
      </w:r>
      <w:r w:rsidRPr="00BF461B">
        <w:rPr>
          <w:sz w:val="21"/>
          <w:szCs w:val="21"/>
          <w:lang w:val="sq-AL"/>
        </w:rPr>
        <w:footnoteReference w:id="1"/>
      </w:r>
      <w:r w:rsidRPr="00BF461B">
        <w:rPr>
          <w:sz w:val="21"/>
          <w:szCs w:val="21"/>
          <w:lang w:val="sq-AL"/>
        </w:rPr>
        <w:t xml:space="preserve">, nuk arriti shumicën e të gjithë anëtarëve të saj, të kërkuar nga neni 133/2 i Kushtetutës dhe neni 72/1 i ligjit nr. 8577, datë 10.2.2000 “Për organizimin dhe funksionimin e Gjykatës Kushtetuese të Republikës së Shqipërisë”. Në këto kushte, Gjykata, në bazë të nenit 74 të ligjit nr. 8577, datë 10.2.2000 “Për organizimin dhe funksionimin e Gjykatës Kushtetuese të Republikës së Shqipërisë”, ka konkluduar se kjo kërkesë e kërkueses duhet të refuzohet. Sipas këtij neni, refuzimi nuk përbën pengesë që kërkuesja të riparaqesë kërkesën, në rast se krijohen kushte për formimin e shumicës së kërkuar. 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</w:p>
    <w:p w:rsidR="00EF0702" w:rsidRPr="00BF461B" w:rsidRDefault="00EF0702" w:rsidP="00EF0702">
      <w:pPr>
        <w:pStyle w:val="VENDOSI"/>
        <w:keepNext w:val="0"/>
        <w:rPr>
          <w:sz w:val="21"/>
          <w:szCs w:val="21"/>
        </w:rPr>
      </w:pPr>
      <w:r w:rsidRPr="00BF461B">
        <w:rPr>
          <w:sz w:val="21"/>
          <w:szCs w:val="21"/>
        </w:rPr>
        <w:t>PËR KËTO ARSYE,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 xml:space="preserve">Gjykata Kushtetuese e Republikës së Shqipërisë, në mbështetje të nenit 131, germa “a” dhe nenit 134, pika 1, germa “f” të Kushtetutës; nenit 74 të ligjit nr. 8577, datë 10.2.2000 “Për organizimin dhe funksionimin e Gjykatës Kushtetuese të Republikës së Shqipërisë”, 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</w:p>
    <w:p w:rsidR="00EF0702" w:rsidRPr="00BF461B" w:rsidRDefault="00EF0702" w:rsidP="00EF0702">
      <w:pPr>
        <w:pStyle w:val="VENDOSI"/>
        <w:keepNext w:val="0"/>
        <w:rPr>
          <w:sz w:val="21"/>
          <w:szCs w:val="21"/>
        </w:rPr>
      </w:pPr>
      <w:r w:rsidRPr="00BF461B">
        <w:rPr>
          <w:sz w:val="21"/>
          <w:szCs w:val="21"/>
        </w:rPr>
        <w:t>VENDOSI: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 xml:space="preserve">- Refuzimin e kërkesës. 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>Ky vendim është përfundimtar, i formës së prerë dhe hyn në fuqi ditën e botimit në Fletoren Zyrtare.</w:t>
      </w: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</w:p>
    <w:p w:rsidR="00EF0702" w:rsidRPr="00BF461B" w:rsidRDefault="00EF0702" w:rsidP="00EF0702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>Anëtarë: Bashkim Dedja (kryetar), Xhezair Zaganjori, Vladimir Kristo, Admir Thanza, Sokol Berberi, Fatmir Hoxha</w:t>
      </w:r>
      <w:r>
        <w:rPr>
          <w:sz w:val="21"/>
          <w:szCs w:val="21"/>
          <w:lang w:val="sq-AL"/>
        </w:rPr>
        <w:t xml:space="preserve">, </w:t>
      </w:r>
      <w:r w:rsidRPr="00BF461B">
        <w:rPr>
          <w:sz w:val="21"/>
          <w:szCs w:val="21"/>
          <w:lang w:val="sq-AL"/>
        </w:rPr>
        <w:t>Altina Xhoxhaj, Vitore Tusha</w:t>
      </w:r>
      <w:r w:rsidRPr="00BF461B">
        <w:rPr>
          <w:sz w:val="21"/>
          <w:szCs w:val="21"/>
          <w:lang w:val="sq-AL"/>
        </w:rPr>
        <w:tab/>
      </w:r>
      <w:r w:rsidRPr="00BF461B">
        <w:rPr>
          <w:sz w:val="21"/>
          <w:szCs w:val="21"/>
          <w:lang w:val="sq-AL"/>
        </w:rPr>
        <w:tab/>
      </w:r>
      <w:r w:rsidRPr="00BF461B">
        <w:rPr>
          <w:sz w:val="21"/>
          <w:szCs w:val="21"/>
          <w:lang w:val="sq-AL"/>
        </w:rPr>
        <w:tab/>
        <w:t xml:space="preserve"> </w:t>
      </w:r>
      <w:r w:rsidRPr="00BF461B">
        <w:rPr>
          <w:sz w:val="21"/>
          <w:szCs w:val="21"/>
          <w:lang w:val="sq-AL"/>
        </w:rPr>
        <w:tab/>
      </w:r>
      <w:r w:rsidRPr="00BF461B">
        <w:rPr>
          <w:sz w:val="21"/>
          <w:szCs w:val="21"/>
          <w:lang w:val="sq-AL"/>
        </w:rPr>
        <w:tab/>
      </w:r>
      <w:r w:rsidRPr="00BF461B">
        <w:rPr>
          <w:sz w:val="21"/>
          <w:szCs w:val="21"/>
          <w:lang w:val="sq-AL"/>
        </w:rPr>
        <w:tab/>
      </w:r>
    </w:p>
    <w:sectPr w:rsidR="00EF0702" w:rsidRPr="00BF461B" w:rsidSect="008F3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C35" w:rsidRDefault="00831C35" w:rsidP="00EF0702">
      <w:pPr>
        <w:spacing w:after="0" w:line="240" w:lineRule="auto"/>
      </w:pPr>
      <w:r>
        <w:separator/>
      </w:r>
    </w:p>
  </w:endnote>
  <w:endnote w:type="continuationSeparator" w:id="0">
    <w:p w:rsidR="00831C35" w:rsidRDefault="00831C35" w:rsidP="00EF0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C35" w:rsidRDefault="00831C35" w:rsidP="00EF0702">
      <w:pPr>
        <w:spacing w:after="0" w:line="240" w:lineRule="auto"/>
      </w:pPr>
      <w:r>
        <w:separator/>
      </w:r>
    </w:p>
  </w:footnote>
  <w:footnote w:type="continuationSeparator" w:id="0">
    <w:p w:rsidR="00831C35" w:rsidRDefault="00831C35" w:rsidP="00EF0702">
      <w:pPr>
        <w:spacing w:after="0" w:line="240" w:lineRule="auto"/>
      </w:pPr>
      <w:r>
        <w:continuationSeparator/>
      </w:r>
    </w:p>
  </w:footnote>
  <w:footnote w:id="1">
    <w:p w:rsidR="00EF0702" w:rsidRPr="00856F8F" w:rsidRDefault="00EF0702" w:rsidP="00EF0702">
      <w:pPr>
        <w:pStyle w:val="FootnoteText"/>
        <w:rPr>
          <w:rFonts w:ascii="CG Times" w:hAnsi="CG Times"/>
        </w:rPr>
      </w:pPr>
      <w:r w:rsidRPr="00856F8F">
        <w:rPr>
          <w:rStyle w:val="FootnoteReference"/>
          <w:rFonts w:ascii="CG Times" w:hAnsi="CG Times"/>
        </w:rPr>
        <w:footnoteRef/>
      </w:r>
      <w:r w:rsidRPr="00856F8F">
        <w:rPr>
          <w:rFonts w:ascii="CG Times" w:hAnsi="CG Times"/>
        </w:rPr>
        <w:t xml:space="preserve"> Votuan për pranimin gjyqtarët: Bashkim Dedja, Sokol Berberi, Admir Thanza, Fatmir Hoxha. Votuan për rrëzimin gjyqtarët: Vladimir Kristo, Xhezair Zaganjori, Vitore Tusha, Altina Xhoxhaj.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0702"/>
    <w:rsid w:val="00521409"/>
    <w:rsid w:val="00831C35"/>
    <w:rsid w:val="008F3441"/>
    <w:rsid w:val="00EF0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624A29-36A7-4E9D-937B-AE9E29A3D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44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F070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F070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F070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F070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F070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Titull">
    <w:name w:val="Titulli_Titull"/>
    <w:link w:val="TitulliTitullChar"/>
    <w:rsid w:val="00EF0702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F070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F070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rsid w:val="00EF0702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0702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rsid w:val="00EF0702"/>
    <w:rPr>
      <w:vertAlign w:val="superscript"/>
    </w:rPr>
  </w:style>
  <w:style w:type="character" w:customStyle="1" w:styleId="TitulliTitullChar">
    <w:name w:val="Titulli_Titull Char"/>
    <w:basedOn w:val="DefaultParagraphFont"/>
    <w:link w:val="TitulliTitull"/>
    <w:rsid w:val="00EF070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F070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922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2019-03-18T13:45:00Z</dcterms:created>
  <dcterms:modified xsi:type="dcterms:W3CDTF">2019-03-18T13:45:00Z</dcterms:modified>
</cp:coreProperties>
</file>