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CC7" w:rsidRPr="00A61C6E" w:rsidRDefault="00830CC7" w:rsidP="00830CC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61C6E">
        <w:rPr>
          <w:sz w:val="21"/>
          <w:szCs w:val="21"/>
          <w:lang w:val="sq-AL"/>
        </w:rPr>
        <w:t>VENDIM</w:t>
      </w:r>
    </w:p>
    <w:p w:rsidR="00830CC7" w:rsidRPr="00A61C6E" w:rsidRDefault="00830CC7" w:rsidP="00830CC7">
      <w:pPr>
        <w:pStyle w:val="NumriData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Nr. 49, datë 21.11.2013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Titull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NË EMËR TË REPUBLIKËS SË SHQIPËRISË</w:t>
      </w:r>
    </w:p>
    <w:p w:rsidR="00830CC7" w:rsidRPr="0082737D" w:rsidRDefault="00830CC7" w:rsidP="00830CC7">
      <w:pPr>
        <w:pStyle w:val="Paragrafi"/>
        <w:rPr>
          <w:sz w:val="16"/>
          <w:szCs w:val="21"/>
          <w:lang w:val="sq-AL"/>
        </w:rPr>
      </w:pP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Gjykata Kushtetuese e Republikës së Shqipërisë, e përbërë nga: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Bashkim Dedja</w:t>
      </w:r>
      <w:r w:rsidRPr="00A61C6E">
        <w:rPr>
          <w:sz w:val="21"/>
          <w:szCs w:val="21"/>
          <w:lang w:val="sq-AL"/>
        </w:rPr>
        <w:tab/>
      </w:r>
      <w:r w:rsidRPr="00A61C6E">
        <w:rPr>
          <w:sz w:val="21"/>
          <w:szCs w:val="21"/>
          <w:lang w:val="sq-AL"/>
        </w:rPr>
        <w:tab/>
        <w:t>Kryetar  i Gjykatës Kushtetuese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Vladimir Kristo</w:t>
      </w:r>
      <w:r w:rsidRPr="00A61C6E">
        <w:rPr>
          <w:sz w:val="21"/>
          <w:szCs w:val="21"/>
          <w:lang w:val="sq-AL"/>
        </w:rPr>
        <w:tab/>
      </w:r>
      <w:r w:rsidRPr="00A61C6E">
        <w:rPr>
          <w:sz w:val="21"/>
          <w:szCs w:val="21"/>
          <w:lang w:val="sq-AL"/>
        </w:rPr>
        <w:tab/>
        <w:t>Anëtar   i</w:t>
      </w:r>
      <w:r w:rsidRPr="00A61C6E">
        <w:rPr>
          <w:sz w:val="21"/>
          <w:szCs w:val="21"/>
          <w:lang w:val="sq-AL"/>
        </w:rPr>
        <w:tab/>
        <w:t>“</w:t>
      </w:r>
      <w:r w:rsidRPr="00A61C6E">
        <w:rPr>
          <w:sz w:val="21"/>
          <w:szCs w:val="21"/>
          <w:lang w:val="sq-AL"/>
        </w:rPr>
        <w:tab/>
        <w:t>“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Sokol Berberi</w:t>
      </w:r>
      <w:r w:rsidRPr="00A61C6E">
        <w:rPr>
          <w:sz w:val="21"/>
          <w:szCs w:val="21"/>
          <w:lang w:val="sq-AL"/>
        </w:rPr>
        <w:tab/>
      </w:r>
      <w:r w:rsidRPr="00A61C6E">
        <w:rPr>
          <w:sz w:val="21"/>
          <w:szCs w:val="21"/>
          <w:lang w:val="sq-AL"/>
        </w:rPr>
        <w:tab/>
        <w:t>Anëtar   i</w:t>
      </w:r>
      <w:r w:rsidRPr="00A61C6E">
        <w:rPr>
          <w:sz w:val="21"/>
          <w:szCs w:val="21"/>
          <w:lang w:val="sq-AL"/>
        </w:rPr>
        <w:tab/>
        <w:t>“</w:t>
      </w:r>
      <w:r w:rsidRPr="00A61C6E">
        <w:rPr>
          <w:sz w:val="21"/>
          <w:szCs w:val="21"/>
          <w:lang w:val="sq-AL"/>
        </w:rPr>
        <w:tab/>
        <w:t>“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Vitore Tusha</w:t>
      </w:r>
      <w:r w:rsidRPr="00A61C6E">
        <w:rPr>
          <w:sz w:val="21"/>
          <w:szCs w:val="21"/>
          <w:lang w:val="sq-AL"/>
        </w:rPr>
        <w:tab/>
      </w:r>
      <w:r w:rsidRPr="00A61C6E">
        <w:rPr>
          <w:sz w:val="21"/>
          <w:szCs w:val="21"/>
          <w:lang w:val="sq-AL"/>
        </w:rPr>
        <w:tab/>
        <w:t xml:space="preserve">Anëtare e </w:t>
      </w:r>
      <w:r w:rsidRPr="00A61C6E">
        <w:rPr>
          <w:sz w:val="21"/>
          <w:szCs w:val="21"/>
          <w:lang w:val="sq-AL"/>
        </w:rPr>
        <w:tab/>
        <w:t>“</w:t>
      </w:r>
      <w:r w:rsidRPr="00A61C6E">
        <w:rPr>
          <w:sz w:val="21"/>
          <w:szCs w:val="21"/>
          <w:lang w:val="sq-AL"/>
        </w:rPr>
        <w:tab/>
        <w:t>“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Altina Xhoxhaj</w:t>
      </w:r>
      <w:r w:rsidRPr="00A61C6E">
        <w:rPr>
          <w:sz w:val="21"/>
          <w:szCs w:val="21"/>
          <w:lang w:val="sq-AL"/>
        </w:rPr>
        <w:tab/>
      </w:r>
      <w:r w:rsidRPr="00A61C6E">
        <w:rPr>
          <w:sz w:val="21"/>
          <w:szCs w:val="21"/>
          <w:lang w:val="sq-AL"/>
        </w:rPr>
        <w:tab/>
        <w:t>Anëtare e</w:t>
      </w:r>
      <w:r w:rsidRPr="00A61C6E">
        <w:rPr>
          <w:sz w:val="21"/>
          <w:szCs w:val="21"/>
          <w:lang w:val="sq-AL"/>
        </w:rPr>
        <w:tab/>
        <w:t>“</w:t>
      </w:r>
      <w:r w:rsidRPr="00A61C6E">
        <w:rPr>
          <w:sz w:val="21"/>
          <w:szCs w:val="21"/>
          <w:lang w:val="sq-AL"/>
        </w:rPr>
        <w:tab/>
        <w:t>“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Fatmir Hoxha</w:t>
      </w:r>
      <w:r w:rsidRPr="00A61C6E">
        <w:rPr>
          <w:sz w:val="21"/>
          <w:szCs w:val="21"/>
          <w:lang w:val="sq-AL"/>
        </w:rPr>
        <w:tab/>
        <w:t xml:space="preserve">  </w:t>
      </w:r>
      <w:r w:rsidRPr="00A61C6E">
        <w:rPr>
          <w:sz w:val="21"/>
          <w:szCs w:val="21"/>
          <w:lang w:val="sq-AL"/>
        </w:rPr>
        <w:tab/>
        <w:t xml:space="preserve">Anëtar   i </w:t>
      </w:r>
      <w:r w:rsidRPr="00A61C6E">
        <w:rPr>
          <w:sz w:val="21"/>
          <w:szCs w:val="21"/>
          <w:lang w:val="sq-AL"/>
        </w:rPr>
        <w:tab/>
        <w:t>“</w:t>
      </w:r>
      <w:r w:rsidRPr="00A61C6E">
        <w:rPr>
          <w:sz w:val="21"/>
          <w:szCs w:val="21"/>
          <w:lang w:val="sq-AL"/>
        </w:rPr>
        <w:tab/>
        <w:t>“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Gani Dizdari</w:t>
      </w:r>
      <w:r w:rsidRPr="00A61C6E">
        <w:rPr>
          <w:sz w:val="21"/>
          <w:szCs w:val="21"/>
          <w:lang w:val="sq-AL"/>
        </w:rPr>
        <w:tab/>
      </w:r>
      <w:r w:rsidRPr="00A61C6E">
        <w:rPr>
          <w:sz w:val="21"/>
          <w:szCs w:val="21"/>
          <w:lang w:val="sq-AL"/>
        </w:rPr>
        <w:tab/>
        <w:t>Anëtar  i</w:t>
      </w:r>
      <w:r w:rsidRPr="00A61C6E">
        <w:rPr>
          <w:sz w:val="21"/>
          <w:szCs w:val="21"/>
          <w:lang w:val="sq-AL"/>
        </w:rPr>
        <w:tab/>
        <w:t>“</w:t>
      </w:r>
      <w:r w:rsidRPr="00A61C6E">
        <w:rPr>
          <w:sz w:val="21"/>
          <w:szCs w:val="21"/>
          <w:lang w:val="sq-AL"/>
        </w:rPr>
        <w:tab/>
        <w:t>“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me sekretare Elta Milori, në datën 17.09.2013 mori në shqyrtim në seancë plenare mbi bazë dokumentesh çështjen nr.28 Akti, që i përket: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KËRKUES: Ëngjëll Hysenbegasi, Daniela Cetri, Lindita Lulaj, Isuf Melçani, Mjeser Minarolli, Shkëlqim Minarolli, Luljeta Mulosmani, Fatlinda Selenica, Hysnie Minarolli.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SUBJEKTE TË INTERESUARA: Zhuli Bregasi, Hektor Bregasi, Viliam Bregasi, bashkia Pogradec.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OBJEKTI: Shfuqizimi, si i papajtueshëm me Kushtetutën, i vendimit nr.255, datë 10.02.2005, të Gjykatës së Rrethit Gjyqësor Korçë; i vendimit nr.282, datë 09.10.2009, të Gjykatës së Apelit Korçë dhe i vendimit nr.00-2012-2408, datë 15.11.2012, të Kolegjit Civil të Gjykatës së Lartë.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BAZA LIGJORE: Nenet 131, shkronja “f”, 134, pika 1, shkronja “g” të Kushtetutës së Republikës së Shqipërisë; nenet 27, 28, 29, 30 të ligjit nr.8577, datë 10.02.2000  “Për organizimin dhe funksionimin e Gjykatës Kushtetuese të Republikës së Shqipërisë”.</w:t>
      </w:r>
    </w:p>
    <w:p w:rsidR="00830CC7" w:rsidRPr="0082737D" w:rsidRDefault="00830CC7" w:rsidP="00830CC7">
      <w:pPr>
        <w:pStyle w:val="Paragrafi"/>
        <w:rPr>
          <w:sz w:val="16"/>
          <w:szCs w:val="21"/>
          <w:lang w:val="sq-AL"/>
        </w:rPr>
      </w:pPr>
    </w:p>
    <w:p w:rsidR="00830CC7" w:rsidRPr="00A61C6E" w:rsidRDefault="00830CC7" w:rsidP="00830CC7">
      <w:pPr>
        <w:pStyle w:val="VENDOS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GJYKATA KUSHTETUESE,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pasi dëgjoi relatorin e çështjes, Gani Dizdari, shqyrtoi pretendimet e kërkuesve, të cilët kërkuan pranimin e kërkesës, dhe pasi e diskutoi çështjen në tërësi,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VENDOS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VËREN:</w:t>
      </w:r>
    </w:p>
    <w:p w:rsidR="00830CC7" w:rsidRPr="00A61C6E" w:rsidRDefault="00830CC7" w:rsidP="00830CC7">
      <w:pPr>
        <w:pStyle w:val="VENDOS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I</w:t>
      </w:r>
    </w:p>
    <w:p w:rsidR="00830CC7" w:rsidRPr="0082737D" w:rsidRDefault="00830CC7" w:rsidP="00830CC7">
      <w:pPr>
        <w:pStyle w:val="Paragrafi"/>
        <w:rPr>
          <w:sz w:val="16"/>
          <w:szCs w:val="21"/>
          <w:lang w:val="sq-AL"/>
        </w:rPr>
      </w:pP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1. Kërkuesit Ëngjëll Hysenbegasi, etj., dhe subjektet e interesuara Zhuli Bregasi, etj., janë përkatësisht trashëgimtarë ligjorë të vëllezërve Starova. Të dyja palët, me kërkesa të veçanta, i janë drejtuar Komisionit të Kthimit dhe Kompensimit të Pronave (KKKP), pranë bashkisë Pogradec, duke kërkuar: </w:t>
      </w:r>
      <w:r w:rsidRPr="00A61C6E">
        <w:rPr>
          <w:b/>
          <w:i/>
          <w:sz w:val="21"/>
          <w:szCs w:val="21"/>
          <w:lang w:val="sq-AL"/>
        </w:rPr>
        <w:t>kërkuesit</w:t>
      </w:r>
      <w:r w:rsidRPr="00A61C6E">
        <w:rPr>
          <w:sz w:val="21"/>
          <w:szCs w:val="21"/>
          <w:lang w:val="sq-AL"/>
        </w:rPr>
        <w:t xml:space="preserve"> - të  njihen bashkëpronarë mbi objektin ish-muze dhe një godinë dykatëshe pas tij; </w:t>
      </w:r>
      <w:r w:rsidRPr="00A61C6E">
        <w:rPr>
          <w:b/>
          <w:i/>
          <w:sz w:val="21"/>
          <w:szCs w:val="21"/>
          <w:lang w:val="sq-AL"/>
        </w:rPr>
        <w:t>subjektet e interesuara</w:t>
      </w:r>
      <w:r w:rsidRPr="00A61C6E">
        <w:rPr>
          <w:sz w:val="21"/>
          <w:szCs w:val="21"/>
          <w:lang w:val="sq-AL"/>
        </w:rPr>
        <w:t xml:space="preserve"> - të njihen pronarë të vetëm mbi këto objekte. Vendimet e KKKP-së, që kanë njohur bashkëpronarë mbi këto objekte trashëgimtarët e dy vëllezërve Starova, janë kundërshtuar në Gjykatën e Rrethit Gjyqësor Korçë.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2. Gjykata e Rrethit Gjyqësor Korçë, me vendimin nr.255, datë 10.02.2005, ka vendosur pranimin e padisë, shfuqizimin e vendimit të KKKP-së Pogradec, si dhe njohjen e pronësisë vetëm për trashëgimtarët e Neki Starovës.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3. Gjykata e Apelit Korçë, me vendimin nr.122, datë 25.05.2005, ka vendosur lënien në fuqi të vendimit nr.255, datë 10.02.2005, të Gjykatës së Rrethit Gjyqësor Korçë.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4. Kolegji Civil i Gjykatës së Lartë, me vendimin nr.317, datë 15.03.2007, ka vendosur: lënien në fuqi të vendimit të Gjykatës së Apelit Korçë.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5. Gjykata Kushtetuese, me vendimin nr.23, datë 04.11.2008, ka vendosur: shfuqizimin, si të papajtueshëm me Kushtetutën, të vendimit nr.122, datë 25.05.2005, të Gjykatës së Apelit Korçë dhe të vendimit nr.317, datë 15.03.2007, të Kolegjit Civil të Gjykatës së Lartë; </w:t>
      </w:r>
      <w:r>
        <w:rPr>
          <w:sz w:val="21"/>
          <w:szCs w:val="21"/>
          <w:lang w:val="sq-AL"/>
        </w:rPr>
        <w:t>d</w:t>
      </w:r>
      <w:r w:rsidRPr="00A61C6E">
        <w:rPr>
          <w:sz w:val="21"/>
          <w:szCs w:val="21"/>
          <w:lang w:val="sq-AL"/>
        </w:rPr>
        <w:t>ërgimin e çështjes për rishqyrtim në Gjykatën e Apelit Korçë.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6. Gjykata e Apelit Korçë, me vendimin nr.282, datë 09.10.2009, ka vendosur: lënien në fuqi të vendimit nr.255, datë 10.02.2005, të Gjykatës së Rrethit Gjyqësor Korçë.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7. Kolegji Civil i Gjykatës së Lartë (dhomë këshillimi), me vendimin nr. 00-2012-2408, datë 15.11.2012, ka vendosur mospranimin e rekursit.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947058" w:rsidRDefault="00830CC7" w:rsidP="00830CC7">
      <w:pPr>
        <w:pStyle w:val="VENDOSI"/>
        <w:rPr>
          <w:b/>
          <w:sz w:val="21"/>
          <w:szCs w:val="21"/>
          <w:lang w:val="sq-AL"/>
        </w:rPr>
      </w:pPr>
      <w:r w:rsidRPr="00947058">
        <w:rPr>
          <w:b/>
          <w:sz w:val="21"/>
          <w:szCs w:val="21"/>
          <w:lang w:val="sq-AL"/>
        </w:rPr>
        <w:t>II</w:t>
      </w:r>
    </w:p>
    <w:p w:rsidR="00830CC7" w:rsidRPr="00947058" w:rsidRDefault="00830CC7" w:rsidP="00830CC7">
      <w:pPr>
        <w:pStyle w:val="VENDOSI"/>
        <w:rPr>
          <w:b/>
          <w:sz w:val="21"/>
          <w:szCs w:val="21"/>
          <w:lang w:val="sq-AL"/>
        </w:rPr>
      </w:pPr>
      <w:r w:rsidRPr="00947058">
        <w:rPr>
          <w:b/>
          <w:caps w:val="0"/>
          <w:sz w:val="21"/>
          <w:szCs w:val="21"/>
          <w:lang w:val="sq-AL"/>
        </w:rPr>
        <w:t>Pretendimet e palëve parashtruar Gjykatës Kushtetuese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8. Kërkuesit i janë drejtuar Gjykatës Kushtetuese, duke kërkuar shfuqizimin e vendimeve objekt kërkese. Ata kanë pretenduar se është cenuar e drejta për një proces të rregullt ligjor, duke parashtruar në mënyrë të përmbledhur: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8.1 Është cenuar parimi i gjykimit nga një gjykatë e caktuar me ligj, pasi Gjykata e Rrethit Gjyqësor Korçë ka gjykuar çështjen me një gjyqtar, ndërkohë që duhej të gjykohej me trup gjykues prej tre gjyqtarësh, pasi vlera e padisë ishte mbi 3 milionë lekë;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 8.2 Gjykata e Apelit Korçë, gjatë rigjykimit, nuk ka marrë parasysh urdhërimet e Gjykatës Kushtetuese;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 8.3 Kolegji Civil i Gjykatës së Lartë (dhomë këshillimi) nuk ka dhënë një vendim përfundimtar për zgjidhjen e çështjes, duke cenuar parimin e arsyetimit të vendimit;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8.4 Është cenuar parimi i sigurisë juridike, pasi gjendja e bashkëpronësisë është prishur me vendime gjyqësore;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8.5 Është cenuar parimi i paanshmërisë nga Gjykata e Apelit Korçë, duke dhënë një vendim shumë të shpejtë, pas kthimit për rishqyrtim nga Gjykata Kushtetuese. 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9. </w:t>
      </w:r>
      <w:r w:rsidRPr="00A61C6E">
        <w:rPr>
          <w:b/>
          <w:i/>
          <w:sz w:val="21"/>
          <w:szCs w:val="21"/>
          <w:lang w:val="sq-AL"/>
        </w:rPr>
        <w:t xml:space="preserve">Subjektet e interesuara Zhuli Bregasi, Hektor Bregasi dhe bashkia Pogradec </w:t>
      </w:r>
      <w:r w:rsidRPr="00A61C6E">
        <w:rPr>
          <w:sz w:val="21"/>
          <w:szCs w:val="21"/>
          <w:lang w:val="sq-AL"/>
        </w:rPr>
        <w:t xml:space="preserve">nuk paraqitën prapësime me shkrim për pretendimet e parashtruara nga kërkuesit. 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947058" w:rsidRDefault="00830CC7" w:rsidP="00830CC7">
      <w:pPr>
        <w:pStyle w:val="VENDOSI"/>
        <w:rPr>
          <w:b/>
          <w:sz w:val="21"/>
          <w:szCs w:val="21"/>
          <w:lang w:val="sq-AL"/>
        </w:rPr>
      </w:pPr>
      <w:r w:rsidRPr="00947058">
        <w:rPr>
          <w:b/>
          <w:sz w:val="21"/>
          <w:szCs w:val="21"/>
          <w:lang w:val="sq-AL"/>
        </w:rPr>
        <w:t>III</w:t>
      </w:r>
    </w:p>
    <w:p w:rsidR="00830CC7" w:rsidRPr="00947058" w:rsidRDefault="00830CC7" w:rsidP="00830CC7">
      <w:pPr>
        <w:pStyle w:val="VENDOSI"/>
        <w:rPr>
          <w:b/>
          <w:sz w:val="21"/>
          <w:szCs w:val="21"/>
          <w:lang w:val="sq-AL"/>
        </w:rPr>
      </w:pPr>
      <w:r w:rsidRPr="00947058">
        <w:rPr>
          <w:b/>
          <w:caps w:val="0"/>
          <w:sz w:val="21"/>
          <w:szCs w:val="21"/>
          <w:lang w:val="sq-AL"/>
        </w:rPr>
        <w:t>Vlerësimi i Gjykatës Kushtetuese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 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10. Kërkuesit kanë pretenduar se gjatë procesit gjyqësor, të zhvilluar në gjykatat e juridiksionit të zakonshëm, është cenuar e drejta për një proces të rregullt ligjor, në drejtim të mosrespektimit të së drejtës së gjykimit nga një gjykatë e caktuar me ligj, parimit të paanësisë, parimit të arsyetimit të vendimeve gjyqësore dhe parimit të sigurisë juridike. 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 11. Gjykata Kushtetuese, pas marrjes në shqyrtim të pretendimeve, gjatë votimit të çështjes nuk arriti shumicën e të gjithë anëtarëve të saj</w:t>
      </w:r>
      <w:r w:rsidRPr="00A61C6E">
        <w:rPr>
          <w:sz w:val="21"/>
          <w:szCs w:val="21"/>
          <w:vertAlign w:val="superscript"/>
          <w:lang w:val="sq-AL"/>
        </w:rPr>
        <w:footnoteReference w:id="1"/>
      </w:r>
      <w:r w:rsidRPr="00A61C6E">
        <w:rPr>
          <w:sz w:val="21"/>
          <w:szCs w:val="21"/>
          <w:lang w:val="sq-AL"/>
        </w:rPr>
        <w:t>, të kërkuar nga neni 133, pika 2, i Kushtetutës dhe neni 72, pika 1, i ligjit nr. 8577, datë 10.02.2000 “Për organizimin dhe funksionimin e Gjykatës Kushtetuese të Republikës së Shqipërisë”.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 12. Në këto kushte, Gjykata vlerëson se kërkesa duhet të refuzohet. Në bazë të nenit 74 të ligjit nr.8577, datë 10.02.2000 “Për organizimin dhe funksionimin e Gjykatës Kushtetuese të Republikës së Shqipërisë”</w:t>
      </w:r>
      <w:r>
        <w:rPr>
          <w:sz w:val="21"/>
          <w:szCs w:val="21"/>
          <w:lang w:val="sq-AL"/>
        </w:rPr>
        <w:t>,</w:t>
      </w:r>
      <w:r w:rsidRPr="00A61C6E">
        <w:rPr>
          <w:sz w:val="21"/>
          <w:szCs w:val="21"/>
          <w:lang w:val="sq-AL"/>
        </w:rPr>
        <w:t xml:space="preserve"> refuzimi nuk përbën pengesë që kërkuesit të paraqesin përsëri kërkesë, në rast se krijohen kushte për formimin e shumicës së kërkuar. </w:t>
      </w:r>
    </w:p>
    <w:p w:rsidR="00830CC7" w:rsidRPr="00A61C6E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VENDOS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PËR KËTO ARSYE,</w:t>
      </w:r>
    </w:p>
    <w:p w:rsidR="00830CC7" w:rsidRPr="00A61C6E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Gjykata Kushtetuese e Republikës së Shqipërisë, në mbështetje të nenit 131, shkronja “f”, dhe nenit 134, pika 1, shkronja “g” të Kushtetutës; neneve 72, 74 të ligjit nr. 8577, datë 10.02.2000 “Për organizimin dhe funksionimin e Gjykatës Kushtetuese të Republikës së Shqipërisë”, 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VENDOS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VENDOSI:</w:t>
      </w:r>
    </w:p>
    <w:p w:rsidR="00830CC7" w:rsidRPr="0082737D" w:rsidRDefault="00830CC7" w:rsidP="00830CC7">
      <w:pPr>
        <w:pStyle w:val="Paragrafi"/>
        <w:rPr>
          <w:sz w:val="18"/>
          <w:szCs w:val="21"/>
          <w:lang w:val="sq-AL"/>
        </w:rPr>
      </w:pP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- Refuzimin e kërkesës. 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Ky vendim është përfundimtar, i formës së prerë dhe hyn në fuqi ditën e botimit në Fletoren Zyrtare.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>Vendosur në Tiranë, më 26.09.2013</w:t>
      </w:r>
    </w:p>
    <w:p w:rsidR="00830CC7" w:rsidRPr="00A61C6E" w:rsidRDefault="00830CC7" w:rsidP="00830CC7">
      <w:pPr>
        <w:pStyle w:val="Paragrafi"/>
        <w:rPr>
          <w:sz w:val="21"/>
          <w:szCs w:val="21"/>
          <w:lang w:val="sq-AL"/>
        </w:rPr>
      </w:pPr>
      <w:r w:rsidRPr="00A61C6E">
        <w:rPr>
          <w:sz w:val="21"/>
          <w:szCs w:val="21"/>
          <w:lang w:val="sq-AL"/>
        </w:rPr>
        <w:t xml:space="preserve">Anëtarë: Bashkim Dedja (kryetar), Sokol Berberi, Vladimir Kristo, Altina Xhoxhaj, Vitore Tusha, </w:t>
      </w:r>
      <w:r w:rsidRPr="00A61C6E">
        <w:rPr>
          <w:sz w:val="21"/>
          <w:szCs w:val="21"/>
          <w:lang w:val="sq-AL"/>
        </w:rPr>
        <w:tab/>
        <w:t>Gani Dizdari, Fatmir Hoxha.</w:t>
      </w:r>
      <w:r>
        <w:rPr>
          <w:sz w:val="21"/>
          <w:szCs w:val="21"/>
          <w:lang w:val="sq-AL"/>
        </w:rPr>
        <w:tab/>
      </w:r>
    </w:p>
    <w:sectPr w:rsidR="00830CC7" w:rsidRPr="00A61C6E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89E" w:rsidRDefault="00A0189E" w:rsidP="00830CC7">
      <w:pPr>
        <w:spacing w:after="0" w:line="240" w:lineRule="auto"/>
      </w:pPr>
      <w:r>
        <w:separator/>
      </w:r>
    </w:p>
  </w:endnote>
  <w:endnote w:type="continuationSeparator" w:id="0">
    <w:p w:rsidR="00A0189E" w:rsidRDefault="00A0189E" w:rsidP="0083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89E" w:rsidRDefault="00A0189E" w:rsidP="00830CC7">
      <w:pPr>
        <w:spacing w:after="0" w:line="240" w:lineRule="auto"/>
      </w:pPr>
      <w:r>
        <w:separator/>
      </w:r>
    </w:p>
  </w:footnote>
  <w:footnote w:type="continuationSeparator" w:id="0">
    <w:p w:rsidR="00A0189E" w:rsidRDefault="00A0189E" w:rsidP="00830CC7">
      <w:pPr>
        <w:spacing w:after="0" w:line="240" w:lineRule="auto"/>
      </w:pPr>
      <w:r>
        <w:continuationSeparator/>
      </w:r>
    </w:p>
  </w:footnote>
  <w:footnote w:id="1">
    <w:p w:rsidR="00830CC7" w:rsidRPr="0082737D" w:rsidRDefault="00830CC7" w:rsidP="00830CC7">
      <w:pPr>
        <w:pStyle w:val="FootnoteText"/>
        <w:ind w:firstLine="142"/>
        <w:jc w:val="both"/>
        <w:rPr>
          <w:rFonts w:ascii="CG Times" w:hAnsi="CG Times"/>
          <w:sz w:val="18"/>
          <w:szCs w:val="18"/>
        </w:rPr>
      </w:pPr>
      <w:r w:rsidRPr="0082737D">
        <w:rPr>
          <w:rStyle w:val="FootnoteReference"/>
          <w:rFonts w:ascii="CG Times" w:hAnsi="CG Times"/>
          <w:sz w:val="18"/>
          <w:szCs w:val="18"/>
        </w:rPr>
        <w:footnoteRef/>
      </w:r>
      <w:r w:rsidRPr="0082737D">
        <w:rPr>
          <w:rFonts w:ascii="CG Times" w:hAnsi="CG Times"/>
          <w:sz w:val="18"/>
          <w:szCs w:val="18"/>
        </w:rPr>
        <w:t xml:space="preserve"> Gjyqtarët: Bashkim Dedja, Sokol Berberi dhe Gani Dizdari, votuan për pranimin pjesërisht të kërkesës.</w:t>
      </w:r>
    </w:p>
    <w:p w:rsidR="00830CC7" w:rsidRPr="0082737D" w:rsidRDefault="00830CC7" w:rsidP="00830CC7">
      <w:pPr>
        <w:pStyle w:val="FootnoteText"/>
        <w:ind w:left="284"/>
        <w:jc w:val="both"/>
        <w:rPr>
          <w:rFonts w:ascii="CG Times" w:hAnsi="CG Times"/>
          <w:sz w:val="18"/>
          <w:szCs w:val="18"/>
        </w:rPr>
      </w:pPr>
      <w:r w:rsidRPr="0082737D">
        <w:rPr>
          <w:rFonts w:ascii="CG Times" w:hAnsi="CG Times"/>
          <w:sz w:val="18"/>
          <w:szCs w:val="18"/>
        </w:rPr>
        <w:t>Gjyqtarët: Vladimir Kristo, Vitore Tusha, Altina Xhoxhaj dhe Fatmir Hoxha, votuan për rrëzimin e kërkesës.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0CC7"/>
    <w:rsid w:val="00830CC7"/>
    <w:rsid w:val="00A0189E"/>
    <w:rsid w:val="00CA4BC0"/>
    <w:rsid w:val="00EE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E4F4D1-911C-4299-A5DE-8A5994372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0C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30CC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0CC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30CC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30CC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30CC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30CC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30CC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uiPriority w:val="99"/>
    <w:rsid w:val="00830CC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30CC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rsid w:val="00830CC7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830CC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30CC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925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